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9.xml" ContentType="application/vnd.openxmlformats-officedocument.wordprocessingml.header+xml"/>
  <Override PartName="/word/header4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62E5D" w14:textId="77777777" w:rsidR="00A84AAB" w:rsidRPr="00051CB3" w:rsidRDefault="00A84AAB" w:rsidP="00A84AAB">
      <w:pPr>
        <w:pStyle w:val="Tertiarytitle"/>
        <w:spacing w:after="0"/>
        <w:ind w:right="2894"/>
        <w:rPr>
          <w:b w:val="0"/>
          <w:bCs/>
        </w:rPr>
      </w:pPr>
      <w:r w:rsidRPr="00051CB3">
        <w:rPr>
          <w:b w:val="0"/>
          <w:bCs/>
        </w:rPr>
        <w:t>2024-25</w:t>
      </w:r>
    </w:p>
    <w:p w14:paraId="3E54AE71" w14:textId="5E16B914" w:rsidR="007D536F" w:rsidRPr="007D536F" w:rsidRDefault="007D536F" w:rsidP="00A84AAB">
      <w:pPr>
        <w:pStyle w:val="Title"/>
        <w:spacing w:before="0"/>
        <w:ind w:right="2894"/>
        <w:rPr>
          <w:sz w:val="52"/>
          <w:szCs w:val="52"/>
        </w:rPr>
      </w:pPr>
      <w:r w:rsidRPr="007D536F">
        <w:rPr>
          <w:sz w:val="52"/>
          <w:szCs w:val="52"/>
        </w:rPr>
        <w:t>Model Report for Victorian Government Departments</w:t>
      </w:r>
    </w:p>
    <w:p w14:paraId="718CCBBC" w14:textId="2EBA4E16" w:rsidR="001D3380" w:rsidRDefault="0095165D" w:rsidP="00886C99">
      <w:pPr>
        <w:pStyle w:val="Subtitle"/>
        <w:tabs>
          <w:tab w:val="left" w:pos="4820"/>
        </w:tabs>
      </w:pPr>
      <w:bookmarkStart w:id="0" w:name="_Hlk49853564"/>
      <w:r>
        <w:t xml:space="preserve">Part </w:t>
      </w:r>
      <w:r w:rsidR="00454FE1">
        <w:t xml:space="preserve">two </w:t>
      </w:r>
    </w:p>
    <w:p w14:paraId="5C3BC13C" w14:textId="279D274B" w:rsidR="003719CD" w:rsidRPr="007F16BF" w:rsidRDefault="001D3380" w:rsidP="00886C99">
      <w:pPr>
        <w:pStyle w:val="Subtitle"/>
        <w:tabs>
          <w:tab w:val="left" w:pos="4820"/>
        </w:tabs>
      </w:pPr>
      <w:r>
        <w:t xml:space="preserve">Model </w:t>
      </w:r>
      <w:r w:rsidR="0086672C">
        <w:t>f</w:t>
      </w:r>
      <w:r>
        <w:t xml:space="preserve">inancial </w:t>
      </w:r>
      <w:r w:rsidR="0086672C">
        <w:t>s</w:t>
      </w:r>
      <w:r>
        <w:t>tatements</w:t>
      </w:r>
    </w:p>
    <w:p w14:paraId="7B7102A5" w14:textId="77777777" w:rsidR="003719CD" w:rsidRPr="00B2671F" w:rsidRDefault="003719CD" w:rsidP="003719CD">
      <w:pPr>
        <w:pStyle w:val="CoverSpacer"/>
      </w:pPr>
    </w:p>
    <w:bookmarkEnd w:id="0"/>
    <w:p w14:paraId="397F6AB4" w14:textId="77777777" w:rsidR="003719CD" w:rsidRDefault="003719CD" w:rsidP="003719CD">
      <w:pPr>
        <w:pStyle w:val="CoverSpacer"/>
        <w:sectPr w:rsidR="003719CD" w:rsidSect="003719CD">
          <w:headerReference w:type="default" r:id="rId13"/>
          <w:footerReference w:type="even" r:id="rId14"/>
          <w:footerReference w:type="default" r:id="rId15"/>
          <w:footerReference w:type="first" r:id="rId16"/>
          <w:pgSz w:w="11906" w:h="16838" w:code="9"/>
          <w:pgMar w:top="1627" w:right="1440" w:bottom="1440" w:left="1440" w:header="706" w:footer="461" w:gutter="0"/>
          <w:pgNumType w:fmt="lowerRoman" w:start="1"/>
          <w:cols w:space="708"/>
          <w:vAlign w:val="bottom"/>
          <w:docGrid w:linePitch="360"/>
        </w:sectPr>
      </w:pPr>
    </w:p>
    <w:p w14:paraId="682D517B" w14:textId="77777777" w:rsidR="003719CD" w:rsidRDefault="003719CD" w:rsidP="003719CD">
      <w:pPr>
        <w:pStyle w:val="NormalTight"/>
      </w:pPr>
    </w:p>
    <w:p w14:paraId="014482DB" w14:textId="2EF5C158" w:rsidR="003719CD" w:rsidRPr="00F6022B" w:rsidRDefault="00F6022B" w:rsidP="00F6022B">
      <w:pPr>
        <w:pStyle w:val="SectionTitle"/>
      </w:pPr>
      <w:bookmarkStart w:id="1" w:name="_Toc130211685"/>
      <w:bookmarkStart w:id="2" w:name="_Toc66196254"/>
      <w:r w:rsidRPr="00F6022B">
        <w:t xml:space="preserve">Department of Technology – </w:t>
      </w:r>
      <w:r w:rsidRPr="00F6022B">
        <w:br/>
        <w:t>Model Financial Statements</w:t>
      </w:r>
      <w:bookmarkEnd w:id="1"/>
      <w:bookmarkEnd w:id="2"/>
    </w:p>
    <w:p w14:paraId="3C5CBA3D" w14:textId="77777777" w:rsidR="003719CD" w:rsidRDefault="003719CD" w:rsidP="002002F4">
      <w:pPr>
        <w:pStyle w:val="Heading2"/>
      </w:pPr>
      <w:r>
        <w:t>How this report is structured</w:t>
      </w:r>
    </w:p>
    <w:p w14:paraId="4C619638" w14:textId="53525C91" w:rsidR="003719CD" w:rsidRDefault="003719CD" w:rsidP="00DC39DE">
      <w:r>
        <w:t>The Department of Technology (Department) present</w:t>
      </w:r>
      <w:r w:rsidR="003759DF">
        <w:t>s</w:t>
      </w:r>
      <w:r>
        <w:t xml:space="preserve"> its audited general-purpose financial statements for the financial year ended 30 June </w:t>
      </w:r>
      <w:fldSimple w:instr="DOCPROPERTY  YearCurrent  \* MERGEFORMAT">
        <w:r w:rsidR="00A545BA">
          <w:t>20X2</w:t>
        </w:r>
      </w:fldSimple>
      <w:r>
        <w:t xml:space="preserve"> in the following structure to provide users with the information about the Department’s stewardship of resources entrusted to it.</w:t>
      </w:r>
    </w:p>
    <w:tbl>
      <w:tblPr>
        <w:tblStyle w:val="DTFTextTable"/>
        <w:tblW w:w="9749" w:type="dxa"/>
        <w:tblLayout w:type="fixed"/>
        <w:tblLook w:val="0680" w:firstRow="0" w:lastRow="0" w:firstColumn="1" w:lastColumn="0" w:noHBand="1" w:noVBand="1"/>
      </w:tblPr>
      <w:tblGrid>
        <w:gridCol w:w="1527"/>
        <w:gridCol w:w="6804"/>
        <w:gridCol w:w="172"/>
        <w:gridCol w:w="1246"/>
      </w:tblGrid>
      <w:tr w:rsidR="003719CD" w:rsidRPr="00940E38" w14:paraId="5BACA159"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56CCC267" w14:textId="77777777" w:rsidR="003719CD" w:rsidRPr="00940E38" w:rsidRDefault="003719CD" w:rsidP="007D536F">
            <w:pPr>
              <w:rPr>
                <w:rFonts w:ascii="Arial" w:eastAsia="Calibri" w:hAnsi="Arial" w:cs="Arial"/>
              </w:rPr>
            </w:pPr>
            <w:r w:rsidRPr="00940E38">
              <w:rPr>
                <w:rFonts w:ascii="Arial" w:eastAsia="Calibri" w:hAnsi="Arial" w:cs="Arial"/>
              </w:rPr>
              <w:t>Financial statements</w:t>
            </w:r>
          </w:p>
        </w:tc>
        <w:tc>
          <w:tcPr>
            <w:tcW w:w="6804" w:type="dxa"/>
            <w:tcBorders>
              <w:top w:val="single" w:sz="6" w:space="0" w:color="auto"/>
              <w:bottom w:val="nil"/>
            </w:tcBorders>
          </w:tcPr>
          <w:p w14:paraId="084ABE04"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Comprehensive operating statement</w:t>
            </w:r>
          </w:p>
        </w:tc>
        <w:tc>
          <w:tcPr>
            <w:tcW w:w="1418" w:type="dxa"/>
            <w:gridSpan w:val="2"/>
            <w:tcBorders>
              <w:top w:val="single" w:sz="6" w:space="0" w:color="auto"/>
              <w:bottom w:val="nil"/>
            </w:tcBorders>
          </w:tcPr>
          <w:p w14:paraId="366855B4" w14:textId="48A5C1F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OperatingStatement \h  \* MERGEFORMAT </w:instrText>
            </w:r>
            <w:r w:rsidRPr="00940E38">
              <w:fldChar w:fldCharType="separate"/>
            </w:r>
            <w:r w:rsidR="00D26320">
              <w:rPr>
                <w:noProof/>
              </w:rPr>
              <w:t>8</w:t>
            </w:r>
            <w:r w:rsidRPr="00940E38">
              <w:fldChar w:fldCharType="end"/>
            </w:r>
          </w:p>
        </w:tc>
      </w:tr>
      <w:tr w:rsidR="003719CD" w:rsidRPr="00940E38" w14:paraId="1B632EE2" w14:textId="77777777" w:rsidTr="5A2E01D0">
        <w:tc>
          <w:tcPr>
            <w:cnfStyle w:val="001000000000" w:firstRow="0" w:lastRow="0" w:firstColumn="1" w:lastColumn="0" w:oddVBand="0" w:evenVBand="0" w:oddHBand="0" w:evenHBand="0" w:firstRowFirstColumn="0" w:firstRowLastColumn="0" w:lastRowFirstColumn="0" w:lastRowLastColumn="0"/>
            <w:tcW w:w="1527" w:type="dxa"/>
            <w:vMerge/>
          </w:tcPr>
          <w:p w14:paraId="08B6ADB3" w14:textId="77777777" w:rsidR="003719CD" w:rsidRPr="00940E38" w:rsidRDefault="003719CD" w:rsidP="007D536F">
            <w:pPr>
              <w:rPr>
                <w:rFonts w:ascii="Arial" w:eastAsia="Calibri" w:hAnsi="Arial" w:cs="Arial"/>
              </w:rPr>
            </w:pPr>
          </w:p>
        </w:tc>
        <w:tc>
          <w:tcPr>
            <w:tcW w:w="6804" w:type="dxa"/>
            <w:tcBorders>
              <w:top w:val="nil"/>
            </w:tcBorders>
          </w:tcPr>
          <w:p w14:paraId="633261C0"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Balance sheet</w:t>
            </w:r>
          </w:p>
        </w:tc>
        <w:tc>
          <w:tcPr>
            <w:tcW w:w="1418" w:type="dxa"/>
            <w:gridSpan w:val="2"/>
            <w:tcBorders>
              <w:top w:val="nil"/>
            </w:tcBorders>
          </w:tcPr>
          <w:p w14:paraId="1EDCE5A8" w14:textId="4A707311"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BalanceSheet \h  \* MERGEFORMAT </w:instrText>
            </w:r>
            <w:r w:rsidRPr="00940E38">
              <w:fldChar w:fldCharType="separate"/>
            </w:r>
            <w:r w:rsidR="00D26320">
              <w:rPr>
                <w:noProof/>
              </w:rPr>
              <w:t>11</w:t>
            </w:r>
            <w:r w:rsidRPr="00940E38">
              <w:fldChar w:fldCharType="end"/>
            </w:r>
          </w:p>
        </w:tc>
      </w:tr>
      <w:tr w:rsidR="003719CD" w:rsidRPr="00011D59" w14:paraId="1FCAB07B"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tcPr>
          <w:p w14:paraId="470A4734" w14:textId="77777777" w:rsidR="003719CD" w:rsidRPr="00940E38" w:rsidRDefault="003719CD" w:rsidP="007D536F">
            <w:pPr>
              <w:rPr>
                <w:rFonts w:ascii="Arial" w:eastAsia="Calibri" w:hAnsi="Arial" w:cs="Arial"/>
              </w:rPr>
            </w:pPr>
          </w:p>
        </w:tc>
        <w:tc>
          <w:tcPr>
            <w:tcW w:w="6804" w:type="dxa"/>
          </w:tcPr>
          <w:p w14:paraId="705A6B15"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Cash flow statement</w:t>
            </w:r>
          </w:p>
        </w:tc>
        <w:tc>
          <w:tcPr>
            <w:tcW w:w="1418" w:type="dxa"/>
            <w:gridSpan w:val="2"/>
          </w:tcPr>
          <w:p w14:paraId="57CAF29F" w14:textId="7C7969F1" w:rsidR="003719CD" w:rsidRPr="00011D59"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011D59">
              <w:fldChar w:fldCharType="begin"/>
            </w:r>
            <w:r w:rsidRPr="00011D59">
              <w:instrText xml:space="preserve"> PAGEREF  CashFlowStatement \h  \* MERGEFORMAT </w:instrText>
            </w:r>
            <w:r w:rsidRPr="00011D59">
              <w:fldChar w:fldCharType="separate"/>
            </w:r>
            <w:r w:rsidR="00D26320" w:rsidRPr="00D26320">
              <w:rPr>
                <w:noProof/>
                <w:lang w:val="en-US"/>
              </w:rPr>
              <w:t>14</w:t>
            </w:r>
            <w:r w:rsidRPr="00011D59">
              <w:fldChar w:fldCharType="end"/>
            </w:r>
          </w:p>
        </w:tc>
      </w:tr>
      <w:tr w:rsidR="003719CD" w:rsidRPr="00940E38" w14:paraId="609057EE" w14:textId="77777777" w:rsidTr="5A2E01D0">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3DE115AE" w14:textId="77777777" w:rsidR="003719CD" w:rsidRPr="00940E38" w:rsidRDefault="003719CD" w:rsidP="007D536F">
            <w:pPr>
              <w:rPr>
                <w:rFonts w:ascii="Arial" w:eastAsia="Calibri" w:hAnsi="Arial" w:cs="Arial"/>
              </w:rPr>
            </w:pPr>
          </w:p>
        </w:tc>
        <w:tc>
          <w:tcPr>
            <w:tcW w:w="6804" w:type="dxa"/>
            <w:tcBorders>
              <w:bottom w:val="single" w:sz="6" w:space="0" w:color="auto"/>
            </w:tcBorders>
          </w:tcPr>
          <w:p w14:paraId="7F099A7C"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Statement of changes in equity</w:t>
            </w:r>
          </w:p>
        </w:tc>
        <w:tc>
          <w:tcPr>
            <w:tcW w:w="1418" w:type="dxa"/>
            <w:gridSpan w:val="2"/>
            <w:tcBorders>
              <w:bottom w:val="single" w:sz="6" w:space="0" w:color="auto"/>
            </w:tcBorders>
          </w:tcPr>
          <w:p w14:paraId="2E7884EE" w14:textId="7A22238D"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SOCIE \h  \* MERGEFORMAT </w:instrText>
            </w:r>
            <w:r w:rsidRPr="00940E38">
              <w:fldChar w:fldCharType="separate"/>
            </w:r>
            <w:r w:rsidR="00D26320">
              <w:rPr>
                <w:noProof/>
              </w:rPr>
              <w:t>17</w:t>
            </w:r>
            <w:r w:rsidRPr="00940E38">
              <w:fldChar w:fldCharType="end"/>
            </w:r>
          </w:p>
        </w:tc>
      </w:tr>
      <w:tr w:rsidR="003719CD" w:rsidRPr="00940E38" w14:paraId="4F621128" w14:textId="77777777" w:rsidTr="007D536F">
        <w:tc>
          <w:tcPr>
            <w:cnfStyle w:val="001000000000" w:firstRow="0" w:lastRow="0" w:firstColumn="1" w:lastColumn="0" w:oddVBand="0" w:evenVBand="0" w:oddHBand="0" w:evenHBand="0" w:firstRowFirstColumn="0" w:firstRowLastColumn="0" w:lastRowFirstColumn="0" w:lastRowLastColumn="0"/>
            <w:tcW w:w="1527" w:type="dxa"/>
            <w:vMerge w:val="restart"/>
            <w:tcBorders>
              <w:top w:val="single" w:sz="6" w:space="0" w:color="auto"/>
              <w:bottom w:val="nil"/>
            </w:tcBorders>
          </w:tcPr>
          <w:p w14:paraId="1C8A2B84" w14:textId="77777777" w:rsidR="003719CD" w:rsidRPr="00940E38" w:rsidRDefault="003719CD" w:rsidP="007D536F">
            <w:pPr>
              <w:rPr>
                <w:rFonts w:ascii="Arial" w:eastAsia="Calibri" w:hAnsi="Arial" w:cs="Arial"/>
              </w:rPr>
            </w:pPr>
            <w:r w:rsidRPr="00940E38">
              <w:rPr>
                <w:rFonts w:ascii="Arial" w:eastAsia="Calibri" w:hAnsi="Arial" w:cs="Arial"/>
              </w:rPr>
              <w:t xml:space="preserve">Notes to the financial statements </w:t>
            </w:r>
          </w:p>
        </w:tc>
        <w:tc>
          <w:tcPr>
            <w:tcW w:w="6804" w:type="dxa"/>
            <w:tcBorders>
              <w:top w:val="single" w:sz="6" w:space="0" w:color="auto"/>
              <w:bottom w:val="nil"/>
            </w:tcBorders>
            <w:shd w:val="clear" w:color="auto" w:fill="E7E6E6" w:themeFill="background2"/>
          </w:tcPr>
          <w:p w14:paraId="7BB42990"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940E38">
              <w:rPr>
                <w:rFonts w:ascii="Arial" w:eastAsia="Calibri" w:hAnsi="Arial" w:cs="Arial"/>
                <w:b/>
              </w:rPr>
              <w:t xml:space="preserve">1. </w:t>
            </w:r>
            <w:r w:rsidRPr="00940E38">
              <w:rPr>
                <w:rFonts w:ascii="Arial" w:eastAsia="Calibri" w:hAnsi="Arial" w:cs="Arial"/>
                <w:b/>
              </w:rPr>
              <w:tab/>
              <w:t>About this report</w:t>
            </w:r>
          </w:p>
        </w:tc>
        <w:tc>
          <w:tcPr>
            <w:tcW w:w="1418" w:type="dxa"/>
            <w:gridSpan w:val="2"/>
            <w:tcBorders>
              <w:top w:val="single" w:sz="6" w:space="0" w:color="auto"/>
              <w:bottom w:val="nil"/>
            </w:tcBorders>
            <w:shd w:val="clear" w:color="auto" w:fill="E7E6E6" w:themeFill="background2"/>
          </w:tcPr>
          <w:p w14:paraId="49AB6582" w14:textId="3BB1CF12"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r w:rsidRPr="00940E38">
              <w:fldChar w:fldCharType="begin"/>
            </w:r>
            <w:r w:rsidRPr="00940E38">
              <w:instrText xml:space="preserve"> PAGEREF  Section</w:instrText>
            </w:r>
            <w:r>
              <w:instrText>_</w:instrText>
            </w:r>
            <w:r w:rsidRPr="00940E38">
              <w:instrText xml:space="preserve">1 \h  \* MERGEFORMAT </w:instrText>
            </w:r>
            <w:r w:rsidRPr="00940E38">
              <w:fldChar w:fldCharType="separate"/>
            </w:r>
            <w:r w:rsidR="00D26320" w:rsidRPr="00D26320">
              <w:rPr>
                <w:b/>
                <w:noProof/>
                <w:lang w:val="en-US"/>
              </w:rPr>
              <w:t>19</w:t>
            </w:r>
            <w:r w:rsidRPr="00940E38">
              <w:fldChar w:fldCharType="end"/>
            </w:r>
          </w:p>
        </w:tc>
      </w:tr>
      <w:tr w:rsidR="003719CD" w:rsidRPr="00940E38" w14:paraId="1768AA94" w14:textId="77777777" w:rsidTr="5A2E01D0">
        <w:trPr>
          <w:trHeight w:val="116"/>
        </w:trPr>
        <w:tc>
          <w:tcPr>
            <w:cnfStyle w:val="001000000000" w:firstRow="0" w:lastRow="0" w:firstColumn="1" w:lastColumn="0" w:oddVBand="0" w:evenVBand="0" w:oddHBand="0" w:evenHBand="0" w:firstRowFirstColumn="0" w:firstRowLastColumn="0" w:lastRowFirstColumn="0" w:lastRowLastColumn="0"/>
            <w:tcW w:w="1527" w:type="dxa"/>
            <w:vMerge/>
          </w:tcPr>
          <w:p w14:paraId="0038F8B6" w14:textId="77777777" w:rsidR="003719CD" w:rsidRPr="00940E38" w:rsidRDefault="003719CD" w:rsidP="007D536F">
            <w:pPr>
              <w:rPr>
                <w:rFonts w:ascii="Arial" w:eastAsia="Calibri" w:hAnsi="Arial" w:cs="Arial"/>
              </w:rPr>
            </w:pPr>
          </w:p>
        </w:tc>
        <w:tc>
          <w:tcPr>
            <w:tcW w:w="8222" w:type="dxa"/>
            <w:gridSpan w:val="3"/>
            <w:tcBorders>
              <w:top w:val="nil"/>
              <w:bottom w:val="nil"/>
            </w:tcBorders>
          </w:tcPr>
          <w:p w14:paraId="24AA150B" w14:textId="77777777" w:rsidR="003719CD"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The basis on which the financial statements have been prepared and compliance with </w:t>
            </w:r>
            <w:r w:rsidRPr="00940E38">
              <w:br/>
              <w:t>reporting regulations</w:t>
            </w:r>
            <w:r>
              <w:t>.</w:t>
            </w:r>
          </w:p>
          <w:p w14:paraId="2BF5FFF2"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p>
        </w:tc>
      </w:tr>
      <w:tr w:rsidR="003719CD" w:rsidRPr="00940E38" w14:paraId="490E4E0B" w14:textId="77777777" w:rsidTr="5A2E01D0">
        <w:trPr>
          <w:trHeight w:val="65"/>
        </w:trPr>
        <w:tc>
          <w:tcPr>
            <w:cnfStyle w:val="001000000000" w:firstRow="0" w:lastRow="0" w:firstColumn="1" w:lastColumn="0" w:oddVBand="0" w:evenVBand="0" w:oddHBand="0" w:evenHBand="0" w:firstRowFirstColumn="0" w:firstRowLastColumn="0" w:lastRowFirstColumn="0" w:lastRowLastColumn="0"/>
            <w:tcW w:w="1527" w:type="dxa"/>
            <w:vMerge/>
          </w:tcPr>
          <w:p w14:paraId="2564A411"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20F6F1C6"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2. </w:t>
            </w:r>
            <w:r w:rsidRPr="00940E38">
              <w:rPr>
                <w:rFonts w:ascii="Arial" w:eastAsia="Calibri" w:hAnsi="Arial" w:cs="Arial"/>
                <w:b/>
              </w:rPr>
              <w:tab/>
              <w:t>Funding delivery of our services</w:t>
            </w:r>
          </w:p>
        </w:tc>
        <w:tc>
          <w:tcPr>
            <w:tcW w:w="1418" w:type="dxa"/>
            <w:gridSpan w:val="2"/>
            <w:tcBorders>
              <w:bottom w:val="nil"/>
            </w:tcBorders>
            <w:shd w:val="clear" w:color="auto" w:fill="E7E6E6" w:themeFill="background2"/>
          </w:tcPr>
          <w:p w14:paraId="3CA60B5A" w14:textId="503A88FA"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2 \h  \* MERGEFORMAT </w:instrText>
            </w:r>
            <w:r w:rsidRPr="00761CE8">
              <w:rPr>
                <w:b/>
                <w:bCs/>
              </w:rPr>
            </w:r>
            <w:r w:rsidRPr="00761CE8">
              <w:rPr>
                <w:b/>
                <w:bCs/>
              </w:rPr>
              <w:fldChar w:fldCharType="separate"/>
            </w:r>
            <w:r w:rsidR="00D26320">
              <w:rPr>
                <w:b/>
                <w:bCs/>
                <w:noProof/>
              </w:rPr>
              <w:t>22</w:t>
            </w:r>
            <w:r w:rsidRPr="00761CE8">
              <w:rPr>
                <w:b/>
                <w:bCs/>
              </w:rPr>
              <w:fldChar w:fldCharType="end"/>
            </w:r>
          </w:p>
        </w:tc>
      </w:tr>
      <w:tr w:rsidR="003719CD" w:rsidRPr="00940E38" w14:paraId="18639B01" w14:textId="77777777" w:rsidTr="5A2E01D0">
        <w:tc>
          <w:tcPr>
            <w:cnfStyle w:val="001000000000" w:firstRow="0" w:lastRow="0" w:firstColumn="1" w:lastColumn="0" w:oddVBand="0" w:evenVBand="0" w:oddHBand="0" w:evenHBand="0" w:firstRowFirstColumn="0" w:firstRowLastColumn="0" w:lastRowFirstColumn="0" w:lastRowLastColumn="0"/>
            <w:tcW w:w="1527" w:type="dxa"/>
            <w:vMerge/>
          </w:tcPr>
          <w:p w14:paraId="44D4C760" w14:textId="77777777" w:rsidR="003719CD" w:rsidRPr="00940E38" w:rsidRDefault="003719CD" w:rsidP="007D536F">
            <w:pPr>
              <w:rPr>
                <w:rFonts w:ascii="Arial" w:eastAsia="Calibri" w:hAnsi="Arial" w:cs="Arial"/>
              </w:rPr>
            </w:pPr>
          </w:p>
        </w:tc>
        <w:tc>
          <w:tcPr>
            <w:tcW w:w="8222" w:type="dxa"/>
            <w:gridSpan w:val="3"/>
            <w:tcBorders>
              <w:top w:val="nil"/>
              <w:bottom w:val="nil"/>
            </w:tcBorders>
          </w:tcPr>
          <w:p w14:paraId="31F17D60"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t xml:space="preserve">Income and </w:t>
            </w:r>
            <w:r w:rsidRPr="00940E38">
              <w:t>Revenue recognised from taxes, grants, sales of goods and services and other sources</w:t>
            </w:r>
          </w:p>
        </w:tc>
      </w:tr>
      <w:tr w:rsidR="003719CD" w:rsidRPr="00940E38" w14:paraId="0243076E" w14:textId="77777777" w:rsidTr="5A2E01D0">
        <w:trPr>
          <w:trHeight w:val="1490"/>
        </w:trPr>
        <w:tc>
          <w:tcPr>
            <w:cnfStyle w:val="001000000000" w:firstRow="0" w:lastRow="0" w:firstColumn="1" w:lastColumn="0" w:oddVBand="0" w:evenVBand="0" w:oddHBand="0" w:evenHBand="0" w:firstRowFirstColumn="0" w:firstRowLastColumn="0" w:lastRowFirstColumn="0" w:lastRowLastColumn="0"/>
            <w:tcW w:w="1527" w:type="dxa"/>
            <w:vMerge/>
          </w:tcPr>
          <w:p w14:paraId="403E21A5" w14:textId="77777777" w:rsidR="003719CD" w:rsidRPr="00940E38" w:rsidRDefault="003719CD" w:rsidP="007D536F">
            <w:pPr>
              <w:rPr>
                <w:rFonts w:ascii="Arial" w:eastAsia="Calibri" w:hAnsi="Arial" w:cs="Arial"/>
              </w:rPr>
            </w:pPr>
          </w:p>
        </w:tc>
        <w:tc>
          <w:tcPr>
            <w:tcW w:w="8222" w:type="dxa"/>
            <w:gridSpan w:val="3"/>
            <w:tcBorders>
              <w:top w:val="nil"/>
              <w:bottom w:val="nil"/>
            </w:tcBorders>
            <w:shd w:val="clear" w:color="auto" w:fill="auto"/>
          </w:tcPr>
          <w:p w14:paraId="7838F5D7" w14:textId="1F486CFA" w:rsidR="00D45197"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fldChar w:fldCharType="begin"/>
            </w:r>
            <w:r>
              <w:instrText xml:space="preserve"> TOC \h \t "Heading 2 [#],8" \b Section_2 </w:instrText>
            </w:r>
            <w:r>
              <w:fldChar w:fldCharType="separate"/>
            </w:r>
            <w:hyperlink w:anchor="_Toc130225926" w:history="1">
              <w:r w:rsidR="00D45197" w:rsidRPr="0089705C">
                <w:rPr>
                  <w:rStyle w:val="Hyperlink"/>
                  <w:noProof/>
                </w:rPr>
                <w:t>2.1</w:t>
              </w:r>
              <w:r w:rsidR="00D45197">
                <w:rPr>
                  <w:rFonts w:eastAsiaTheme="minorEastAsia"/>
                  <w:noProof/>
                  <w:sz w:val="22"/>
                  <w:szCs w:val="22"/>
                  <w:lang w:eastAsia="en-AU"/>
                </w:rPr>
                <w:tab/>
              </w:r>
              <w:r w:rsidR="00D45197" w:rsidRPr="0089705C">
                <w:rPr>
                  <w:rStyle w:val="Hyperlink"/>
                  <w:noProof/>
                </w:rPr>
                <w:t>Summary of revenue and income that fund the delivery of our services</w:t>
              </w:r>
              <w:r w:rsidR="00D45197">
                <w:rPr>
                  <w:noProof/>
                </w:rPr>
                <w:tab/>
              </w:r>
              <w:r w:rsidR="00D45197">
                <w:rPr>
                  <w:noProof/>
                </w:rPr>
                <w:fldChar w:fldCharType="begin"/>
              </w:r>
              <w:r w:rsidR="00D45197">
                <w:rPr>
                  <w:noProof/>
                </w:rPr>
                <w:instrText xml:space="preserve"> PAGEREF _Toc130225926 \h </w:instrText>
              </w:r>
              <w:r w:rsidR="00D45197">
                <w:rPr>
                  <w:noProof/>
                </w:rPr>
              </w:r>
              <w:r w:rsidR="00D45197">
                <w:rPr>
                  <w:noProof/>
                </w:rPr>
                <w:fldChar w:fldCharType="separate"/>
              </w:r>
              <w:r w:rsidR="00D26320">
                <w:rPr>
                  <w:noProof/>
                </w:rPr>
                <w:t>22</w:t>
              </w:r>
              <w:r w:rsidR="00D45197">
                <w:rPr>
                  <w:noProof/>
                </w:rPr>
                <w:fldChar w:fldCharType="end"/>
              </w:r>
            </w:hyperlink>
          </w:p>
          <w:p w14:paraId="3C3C2D2C" w14:textId="0B5135D6" w:rsidR="00D45197" w:rsidRDefault="00D45197"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27" w:history="1">
              <w:r w:rsidRPr="0089705C">
                <w:rPr>
                  <w:rStyle w:val="Hyperlink"/>
                  <w:noProof/>
                </w:rPr>
                <w:t>2.2</w:t>
              </w:r>
              <w:r>
                <w:rPr>
                  <w:rFonts w:eastAsiaTheme="minorEastAsia"/>
                  <w:noProof/>
                  <w:sz w:val="22"/>
                  <w:szCs w:val="22"/>
                  <w:lang w:eastAsia="en-AU"/>
                </w:rPr>
                <w:tab/>
              </w:r>
              <w:r w:rsidRPr="0089705C">
                <w:rPr>
                  <w:rStyle w:val="Hyperlink"/>
                  <w:noProof/>
                </w:rPr>
                <w:t>Appropriations</w:t>
              </w:r>
              <w:r>
                <w:rPr>
                  <w:noProof/>
                </w:rPr>
                <w:tab/>
              </w:r>
              <w:r>
                <w:rPr>
                  <w:noProof/>
                </w:rPr>
                <w:fldChar w:fldCharType="begin"/>
              </w:r>
              <w:r>
                <w:rPr>
                  <w:noProof/>
                </w:rPr>
                <w:instrText xml:space="preserve"> PAGEREF _Toc130225927 \h </w:instrText>
              </w:r>
              <w:r>
                <w:rPr>
                  <w:noProof/>
                </w:rPr>
              </w:r>
              <w:r>
                <w:rPr>
                  <w:noProof/>
                </w:rPr>
                <w:fldChar w:fldCharType="separate"/>
              </w:r>
              <w:r w:rsidR="00D26320">
                <w:rPr>
                  <w:noProof/>
                </w:rPr>
                <w:t>23</w:t>
              </w:r>
              <w:r>
                <w:rPr>
                  <w:noProof/>
                </w:rPr>
                <w:fldChar w:fldCharType="end"/>
              </w:r>
            </w:hyperlink>
          </w:p>
          <w:p w14:paraId="6B9DB265" w14:textId="006C302D" w:rsidR="00D45197" w:rsidRDefault="00D45197"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28" w:history="1">
              <w:r w:rsidRPr="0089705C">
                <w:rPr>
                  <w:rStyle w:val="Hyperlink"/>
                  <w:noProof/>
                </w:rPr>
                <w:t>2.3</w:t>
              </w:r>
              <w:r>
                <w:rPr>
                  <w:rFonts w:eastAsiaTheme="minorEastAsia"/>
                  <w:noProof/>
                  <w:sz w:val="22"/>
                  <w:szCs w:val="22"/>
                  <w:lang w:eastAsia="en-AU"/>
                </w:rPr>
                <w:tab/>
              </w:r>
              <w:r w:rsidRPr="0089705C">
                <w:rPr>
                  <w:rStyle w:val="Hyperlink"/>
                  <w:noProof/>
                </w:rPr>
                <w:t>Summary of compliance with annual Parliamentary and special appropriations</w:t>
              </w:r>
              <w:r>
                <w:rPr>
                  <w:noProof/>
                </w:rPr>
                <w:tab/>
              </w:r>
              <w:r>
                <w:rPr>
                  <w:noProof/>
                </w:rPr>
                <w:fldChar w:fldCharType="begin"/>
              </w:r>
              <w:r>
                <w:rPr>
                  <w:noProof/>
                </w:rPr>
                <w:instrText xml:space="preserve"> PAGEREF _Toc130225928 \h </w:instrText>
              </w:r>
              <w:r>
                <w:rPr>
                  <w:noProof/>
                </w:rPr>
              </w:r>
              <w:r>
                <w:rPr>
                  <w:noProof/>
                </w:rPr>
                <w:fldChar w:fldCharType="separate"/>
              </w:r>
              <w:r w:rsidR="00D26320">
                <w:rPr>
                  <w:noProof/>
                </w:rPr>
                <w:t>24</w:t>
              </w:r>
              <w:r>
                <w:rPr>
                  <w:noProof/>
                </w:rPr>
                <w:fldChar w:fldCharType="end"/>
              </w:r>
            </w:hyperlink>
          </w:p>
          <w:p w14:paraId="1BD1BC7D" w14:textId="58E2A7A2" w:rsidR="00D45197" w:rsidRDefault="00D45197"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29" w:history="1">
              <w:r w:rsidRPr="0089705C">
                <w:rPr>
                  <w:rStyle w:val="Hyperlink"/>
                  <w:noProof/>
                </w:rPr>
                <w:t>2.4</w:t>
              </w:r>
              <w:r>
                <w:rPr>
                  <w:rFonts w:eastAsiaTheme="minorEastAsia"/>
                  <w:noProof/>
                  <w:sz w:val="22"/>
                  <w:szCs w:val="22"/>
                  <w:lang w:eastAsia="en-AU"/>
                </w:rPr>
                <w:tab/>
              </w:r>
              <w:r w:rsidRPr="0089705C">
                <w:rPr>
                  <w:rStyle w:val="Hyperlink"/>
                  <w:noProof/>
                </w:rPr>
                <w:t>Income from transactions</w:t>
              </w:r>
              <w:r>
                <w:rPr>
                  <w:noProof/>
                </w:rPr>
                <w:tab/>
              </w:r>
              <w:r>
                <w:rPr>
                  <w:noProof/>
                </w:rPr>
                <w:fldChar w:fldCharType="begin"/>
              </w:r>
              <w:r>
                <w:rPr>
                  <w:noProof/>
                </w:rPr>
                <w:instrText xml:space="preserve"> PAGEREF _Toc130225929 \h </w:instrText>
              </w:r>
              <w:r>
                <w:rPr>
                  <w:noProof/>
                </w:rPr>
              </w:r>
              <w:r>
                <w:rPr>
                  <w:noProof/>
                </w:rPr>
                <w:fldChar w:fldCharType="separate"/>
              </w:r>
              <w:r w:rsidR="00D26320">
                <w:rPr>
                  <w:noProof/>
                </w:rPr>
                <w:t>26</w:t>
              </w:r>
              <w:r>
                <w:rPr>
                  <w:noProof/>
                </w:rPr>
                <w:fldChar w:fldCharType="end"/>
              </w:r>
            </w:hyperlink>
          </w:p>
          <w:p w14:paraId="5838BB2F" w14:textId="35DD11DB" w:rsidR="00D45197" w:rsidRDefault="00D45197"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30" w:history="1">
              <w:r w:rsidRPr="0089705C">
                <w:rPr>
                  <w:rStyle w:val="Hyperlink"/>
                  <w:noProof/>
                </w:rPr>
                <w:t>2.5</w:t>
              </w:r>
              <w:r>
                <w:rPr>
                  <w:rFonts w:eastAsiaTheme="minorEastAsia"/>
                  <w:noProof/>
                  <w:sz w:val="22"/>
                  <w:szCs w:val="22"/>
                  <w:lang w:eastAsia="en-AU"/>
                </w:rPr>
                <w:tab/>
              </w:r>
              <w:r w:rsidRPr="0089705C">
                <w:rPr>
                  <w:rStyle w:val="Hyperlink"/>
                  <w:noProof/>
                </w:rPr>
                <w:t>Annotated income agreements</w:t>
              </w:r>
              <w:r>
                <w:rPr>
                  <w:noProof/>
                </w:rPr>
                <w:tab/>
              </w:r>
              <w:r>
                <w:rPr>
                  <w:noProof/>
                </w:rPr>
                <w:fldChar w:fldCharType="begin"/>
              </w:r>
              <w:r>
                <w:rPr>
                  <w:noProof/>
                </w:rPr>
                <w:instrText xml:space="preserve"> PAGEREF _Toc130225930 \h </w:instrText>
              </w:r>
              <w:r>
                <w:rPr>
                  <w:noProof/>
                </w:rPr>
              </w:r>
              <w:r>
                <w:rPr>
                  <w:noProof/>
                </w:rPr>
                <w:fldChar w:fldCharType="separate"/>
              </w:r>
              <w:r w:rsidR="00D26320">
                <w:rPr>
                  <w:noProof/>
                </w:rPr>
                <w:t>32</w:t>
              </w:r>
              <w:r>
                <w:rPr>
                  <w:noProof/>
                </w:rPr>
                <w:fldChar w:fldCharType="end"/>
              </w:r>
            </w:hyperlink>
          </w:p>
          <w:p w14:paraId="56FEA66A" w14:textId="1371E79F" w:rsidR="003719CD" w:rsidRPr="008451F7" w:rsidRDefault="003719CD" w:rsidP="008F49C2">
            <w:pPr>
              <w:pStyle w:val="TOC8"/>
              <w:cnfStyle w:val="000000000000" w:firstRow="0" w:lastRow="0" w:firstColumn="0" w:lastColumn="0" w:oddVBand="0" w:evenVBand="0" w:oddHBand="0" w:evenHBand="0" w:firstRowFirstColumn="0" w:firstRowLastColumn="0" w:lastRowFirstColumn="0" w:lastRowLastColumn="0"/>
            </w:pPr>
            <w:r>
              <w:fldChar w:fldCharType="end"/>
            </w:r>
          </w:p>
        </w:tc>
      </w:tr>
      <w:tr w:rsidR="003719CD" w:rsidRPr="00940E38" w14:paraId="42CB3944" w14:textId="77777777" w:rsidTr="5A2E01D0">
        <w:trPr>
          <w:trHeight w:val="80"/>
        </w:trPr>
        <w:tc>
          <w:tcPr>
            <w:cnfStyle w:val="001000000000" w:firstRow="0" w:lastRow="0" w:firstColumn="1" w:lastColumn="0" w:oddVBand="0" w:evenVBand="0" w:oddHBand="0" w:evenHBand="0" w:firstRowFirstColumn="0" w:firstRowLastColumn="0" w:lastRowFirstColumn="0" w:lastRowLastColumn="0"/>
            <w:tcW w:w="1527" w:type="dxa"/>
            <w:vMerge/>
          </w:tcPr>
          <w:p w14:paraId="6080AF0C" w14:textId="77777777" w:rsidR="003719CD" w:rsidRPr="00940E38" w:rsidRDefault="003719CD" w:rsidP="007D536F">
            <w:pPr>
              <w:rPr>
                <w:rFonts w:ascii="Arial" w:eastAsia="Calibri" w:hAnsi="Arial" w:cs="Arial"/>
              </w:rPr>
            </w:pPr>
          </w:p>
        </w:tc>
        <w:tc>
          <w:tcPr>
            <w:tcW w:w="6804" w:type="dxa"/>
            <w:tcBorders>
              <w:top w:val="nil"/>
              <w:bottom w:val="nil"/>
            </w:tcBorders>
            <w:shd w:val="clear" w:color="auto" w:fill="E7E6E6" w:themeFill="background2"/>
          </w:tcPr>
          <w:p w14:paraId="43C84005"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3. </w:t>
            </w:r>
            <w:r w:rsidRPr="00940E38">
              <w:rPr>
                <w:rFonts w:ascii="Arial" w:eastAsia="Calibri" w:hAnsi="Arial" w:cs="Arial"/>
                <w:b/>
              </w:rPr>
              <w:tab/>
              <w:t>The cost of delivering services</w:t>
            </w:r>
          </w:p>
        </w:tc>
        <w:tc>
          <w:tcPr>
            <w:tcW w:w="1418" w:type="dxa"/>
            <w:gridSpan w:val="2"/>
            <w:tcBorders>
              <w:top w:val="nil"/>
              <w:bottom w:val="nil"/>
            </w:tcBorders>
            <w:shd w:val="clear" w:color="auto" w:fill="E7E6E6" w:themeFill="background2"/>
          </w:tcPr>
          <w:p w14:paraId="744CD66E" w14:textId="721D6840"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3 \h  \* MERGEFORMAT </w:instrText>
            </w:r>
            <w:r w:rsidRPr="00761CE8">
              <w:rPr>
                <w:b/>
                <w:bCs/>
              </w:rPr>
            </w:r>
            <w:r w:rsidRPr="00761CE8">
              <w:rPr>
                <w:b/>
                <w:bCs/>
              </w:rPr>
              <w:fldChar w:fldCharType="separate"/>
            </w:r>
            <w:r w:rsidR="00D26320">
              <w:rPr>
                <w:b/>
                <w:bCs/>
                <w:noProof/>
              </w:rPr>
              <w:t>33</w:t>
            </w:r>
            <w:r w:rsidRPr="00761CE8">
              <w:rPr>
                <w:b/>
                <w:bCs/>
              </w:rPr>
              <w:fldChar w:fldCharType="end"/>
            </w:r>
          </w:p>
        </w:tc>
      </w:tr>
      <w:tr w:rsidR="003719CD" w:rsidRPr="00940E38" w14:paraId="6AA7E8C2" w14:textId="77777777" w:rsidTr="5A2E01D0">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0960B08F" w14:textId="77777777" w:rsidR="003719CD" w:rsidRPr="00940E38" w:rsidRDefault="003719CD" w:rsidP="007D536F">
            <w:pPr>
              <w:rPr>
                <w:rFonts w:ascii="Arial" w:eastAsia="Calibri" w:hAnsi="Arial" w:cs="Arial"/>
              </w:rPr>
            </w:pPr>
          </w:p>
        </w:tc>
        <w:tc>
          <w:tcPr>
            <w:tcW w:w="6804" w:type="dxa"/>
            <w:tcBorders>
              <w:top w:val="nil"/>
              <w:bottom w:val="nil"/>
            </w:tcBorders>
          </w:tcPr>
          <w:p w14:paraId="5D622308"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Operating expenses of the Department</w:t>
            </w:r>
          </w:p>
        </w:tc>
        <w:tc>
          <w:tcPr>
            <w:tcW w:w="1418" w:type="dxa"/>
            <w:gridSpan w:val="2"/>
            <w:tcBorders>
              <w:top w:val="nil"/>
              <w:bottom w:val="nil"/>
            </w:tcBorders>
          </w:tcPr>
          <w:p w14:paraId="18E6D5E1"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028D42A0" w14:textId="77777777" w:rsidTr="5A2E01D0">
        <w:tc>
          <w:tcPr>
            <w:cnfStyle w:val="001000000000" w:firstRow="0" w:lastRow="0" w:firstColumn="1" w:lastColumn="0" w:oddVBand="0" w:evenVBand="0" w:oddHBand="0" w:evenHBand="0" w:firstRowFirstColumn="0" w:firstRowLastColumn="0" w:lastRowFirstColumn="0" w:lastRowLastColumn="0"/>
            <w:tcW w:w="1527" w:type="dxa"/>
            <w:vMerge/>
          </w:tcPr>
          <w:p w14:paraId="46995A61"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22C25F84" w14:textId="2F8565F7"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3 \* MERGEFORMAT </w:instrText>
            </w:r>
            <w:r w:rsidRPr="00940E38">
              <w:rPr>
                <w:noProof/>
              </w:rPr>
              <w:fldChar w:fldCharType="separate"/>
            </w:r>
            <w:hyperlink w:anchor="_Toc130225935" w:history="1">
              <w:r w:rsidR="00573524" w:rsidRPr="0017037A">
                <w:rPr>
                  <w:rStyle w:val="Hyperlink"/>
                  <w:noProof/>
                </w:rPr>
                <w:t>3.1</w:t>
              </w:r>
              <w:r w:rsidR="00573524">
                <w:rPr>
                  <w:rFonts w:eastAsiaTheme="minorEastAsia"/>
                  <w:noProof/>
                  <w:sz w:val="22"/>
                  <w:szCs w:val="22"/>
                  <w:lang w:eastAsia="en-AU"/>
                </w:rPr>
                <w:tab/>
              </w:r>
              <w:r w:rsidR="00573524" w:rsidRPr="0017037A">
                <w:rPr>
                  <w:rStyle w:val="Hyperlink"/>
                  <w:noProof/>
                </w:rPr>
                <w:t>Expenses incurred in delivery of services</w:t>
              </w:r>
              <w:r w:rsidR="00573524">
                <w:rPr>
                  <w:noProof/>
                  <w:webHidden/>
                </w:rPr>
                <w:tab/>
              </w:r>
              <w:r w:rsidR="00573524">
                <w:rPr>
                  <w:noProof/>
                  <w:webHidden/>
                </w:rPr>
                <w:fldChar w:fldCharType="begin"/>
              </w:r>
              <w:r w:rsidR="00573524">
                <w:rPr>
                  <w:noProof/>
                  <w:webHidden/>
                </w:rPr>
                <w:instrText xml:space="preserve"> PAGEREF _Toc130225935 \h </w:instrText>
              </w:r>
              <w:r w:rsidR="00573524">
                <w:rPr>
                  <w:noProof/>
                  <w:webHidden/>
                </w:rPr>
              </w:r>
              <w:r w:rsidR="00573524">
                <w:rPr>
                  <w:noProof/>
                  <w:webHidden/>
                </w:rPr>
                <w:fldChar w:fldCharType="separate"/>
              </w:r>
              <w:r w:rsidR="00D26320">
                <w:rPr>
                  <w:noProof/>
                  <w:webHidden/>
                </w:rPr>
                <w:t>33</w:t>
              </w:r>
              <w:r w:rsidR="00573524">
                <w:rPr>
                  <w:noProof/>
                  <w:webHidden/>
                </w:rPr>
                <w:fldChar w:fldCharType="end"/>
              </w:r>
            </w:hyperlink>
          </w:p>
          <w:p w14:paraId="15D7167C" w14:textId="052DF8D3"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36" w:history="1">
              <w:r w:rsidRPr="0017037A">
                <w:rPr>
                  <w:rStyle w:val="Hyperlink"/>
                  <w:noProof/>
                </w:rPr>
                <w:t>3.2</w:t>
              </w:r>
              <w:r>
                <w:rPr>
                  <w:rFonts w:eastAsiaTheme="minorEastAsia"/>
                  <w:noProof/>
                  <w:sz w:val="22"/>
                  <w:szCs w:val="22"/>
                  <w:lang w:eastAsia="en-AU"/>
                </w:rPr>
                <w:tab/>
              </w:r>
              <w:r w:rsidRPr="0017037A">
                <w:rPr>
                  <w:rStyle w:val="Hyperlink"/>
                  <w:noProof/>
                </w:rPr>
                <w:t>Grant expenses</w:t>
              </w:r>
              <w:r>
                <w:rPr>
                  <w:noProof/>
                  <w:webHidden/>
                </w:rPr>
                <w:tab/>
              </w:r>
              <w:r>
                <w:rPr>
                  <w:noProof/>
                  <w:webHidden/>
                </w:rPr>
                <w:fldChar w:fldCharType="begin"/>
              </w:r>
              <w:r>
                <w:rPr>
                  <w:noProof/>
                  <w:webHidden/>
                </w:rPr>
                <w:instrText xml:space="preserve"> PAGEREF _Toc130225936 \h </w:instrText>
              </w:r>
              <w:r>
                <w:rPr>
                  <w:noProof/>
                  <w:webHidden/>
                </w:rPr>
              </w:r>
              <w:r>
                <w:rPr>
                  <w:noProof/>
                  <w:webHidden/>
                </w:rPr>
                <w:fldChar w:fldCharType="separate"/>
              </w:r>
              <w:r w:rsidR="00D26320">
                <w:rPr>
                  <w:noProof/>
                  <w:webHidden/>
                </w:rPr>
                <w:t>38</w:t>
              </w:r>
              <w:r>
                <w:rPr>
                  <w:noProof/>
                  <w:webHidden/>
                </w:rPr>
                <w:fldChar w:fldCharType="end"/>
              </w:r>
            </w:hyperlink>
          </w:p>
          <w:p w14:paraId="77864A1E" w14:textId="173C8907"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37" w:history="1">
              <w:r w:rsidRPr="0017037A">
                <w:rPr>
                  <w:rStyle w:val="Hyperlink"/>
                  <w:noProof/>
                </w:rPr>
                <w:t>3.3</w:t>
              </w:r>
              <w:r>
                <w:rPr>
                  <w:rFonts w:eastAsiaTheme="minorEastAsia"/>
                  <w:noProof/>
                  <w:sz w:val="22"/>
                  <w:szCs w:val="22"/>
                  <w:lang w:eastAsia="en-AU"/>
                </w:rPr>
                <w:tab/>
              </w:r>
              <w:r w:rsidRPr="0017037A">
                <w:rPr>
                  <w:rStyle w:val="Hyperlink"/>
                  <w:noProof/>
                </w:rPr>
                <w:t>Other operating expenses</w:t>
              </w:r>
              <w:r>
                <w:rPr>
                  <w:noProof/>
                  <w:webHidden/>
                </w:rPr>
                <w:tab/>
              </w:r>
              <w:r>
                <w:rPr>
                  <w:noProof/>
                  <w:webHidden/>
                </w:rPr>
                <w:fldChar w:fldCharType="begin"/>
              </w:r>
              <w:r>
                <w:rPr>
                  <w:noProof/>
                  <w:webHidden/>
                </w:rPr>
                <w:instrText xml:space="preserve"> PAGEREF _Toc130225937 \h </w:instrText>
              </w:r>
              <w:r>
                <w:rPr>
                  <w:noProof/>
                  <w:webHidden/>
                </w:rPr>
              </w:r>
              <w:r>
                <w:rPr>
                  <w:noProof/>
                  <w:webHidden/>
                </w:rPr>
                <w:fldChar w:fldCharType="separate"/>
              </w:r>
              <w:r w:rsidR="00D26320">
                <w:rPr>
                  <w:noProof/>
                  <w:webHidden/>
                </w:rPr>
                <w:t>39</w:t>
              </w:r>
              <w:r>
                <w:rPr>
                  <w:noProof/>
                  <w:webHidden/>
                </w:rPr>
                <w:fldChar w:fldCharType="end"/>
              </w:r>
            </w:hyperlink>
          </w:p>
          <w:p w14:paraId="0697A478" w14:textId="75D64E24"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02918402" w14:textId="77777777" w:rsidTr="5A2E01D0">
        <w:tc>
          <w:tcPr>
            <w:cnfStyle w:val="001000000000" w:firstRow="0" w:lastRow="0" w:firstColumn="1" w:lastColumn="0" w:oddVBand="0" w:evenVBand="0" w:oddHBand="0" w:evenHBand="0" w:firstRowFirstColumn="0" w:firstRowLastColumn="0" w:lastRowFirstColumn="0" w:lastRowLastColumn="0"/>
            <w:tcW w:w="1527" w:type="dxa"/>
            <w:vMerge/>
          </w:tcPr>
          <w:p w14:paraId="00419BFE"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700A04AA"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4. </w:t>
            </w:r>
            <w:r w:rsidRPr="00940E38">
              <w:rPr>
                <w:rFonts w:ascii="Arial" w:eastAsia="Calibri" w:hAnsi="Arial" w:cs="Arial"/>
                <w:b/>
              </w:rPr>
              <w:tab/>
              <w:t>Disaggregated financial information by output</w:t>
            </w:r>
          </w:p>
        </w:tc>
        <w:tc>
          <w:tcPr>
            <w:tcW w:w="1418" w:type="dxa"/>
            <w:gridSpan w:val="2"/>
            <w:tcBorders>
              <w:bottom w:val="nil"/>
            </w:tcBorders>
            <w:shd w:val="clear" w:color="auto" w:fill="E7E6E6" w:themeFill="background2"/>
          </w:tcPr>
          <w:p w14:paraId="4B61D0BB" w14:textId="1EF6F0FA"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4 \h </w:instrText>
            </w:r>
            <w:r w:rsidRPr="00761CE8">
              <w:rPr>
                <w:b/>
                <w:bCs/>
              </w:rPr>
            </w:r>
            <w:r w:rsidRPr="00761CE8">
              <w:rPr>
                <w:b/>
                <w:bCs/>
              </w:rPr>
              <w:fldChar w:fldCharType="separate"/>
            </w:r>
            <w:r w:rsidR="00D26320">
              <w:rPr>
                <w:b/>
                <w:bCs/>
                <w:noProof/>
              </w:rPr>
              <w:t>41</w:t>
            </w:r>
            <w:r w:rsidRPr="00761CE8">
              <w:rPr>
                <w:b/>
                <w:bCs/>
              </w:rPr>
              <w:fldChar w:fldCharType="end"/>
            </w:r>
          </w:p>
        </w:tc>
      </w:tr>
      <w:tr w:rsidR="003719CD" w:rsidRPr="00940E38" w14:paraId="29DED746" w14:textId="77777777" w:rsidTr="5A2E01D0">
        <w:trPr>
          <w:trHeight w:val="181"/>
        </w:trPr>
        <w:tc>
          <w:tcPr>
            <w:cnfStyle w:val="001000000000" w:firstRow="0" w:lastRow="0" w:firstColumn="1" w:lastColumn="0" w:oddVBand="0" w:evenVBand="0" w:oddHBand="0" w:evenHBand="0" w:firstRowFirstColumn="0" w:firstRowLastColumn="0" w:lastRowFirstColumn="0" w:lastRowLastColumn="0"/>
            <w:tcW w:w="1527" w:type="dxa"/>
            <w:vMerge/>
          </w:tcPr>
          <w:p w14:paraId="2381EDB0" w14:textId="77777777" w:rsidR="003719CD" w:rsidRPr="00940E38" w:rsidRDefault="003719CD" w:rsidP="007D536F">
            <w:pPr>
              <w:rPr>
                <w:rFonts w:ascii="Arial" w:eastAsia="Calibri" w:hAnsi="Arial" w:cs="Arial"/>
              </w:rPr>
            </w:pPr>
          </w:p>
        </w:tc>
        <w:tc>
          <w:tcPr>
            <w:tcW w:w="6804" w:type="dxa"/>
            <w:tcBorders>
              <w:top w:val="nil"/>
              <w:bottom w:val="nil"/>
            </w:tcBorders>
          </w:tcPr>
          <w:p w14:paraId="4A882BD1"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Department outputs and administered (non</w:t>
            </w:r>
            <w:r w:rsidRPr="00940E38">
              <w:noBreakHyphen/>
              <w:t>controlled) items</w:t>
            </w:r>
          </w:p>
        </w:tc>
        <w:tc>
          <w:tcPr>
            <w:tcW w:w="1418" w:type="dxa"/>
            <w:gridSpan w:val="2"/>
            <w:tcBorders>
              <w:top w:val="nil"/>
              <w:bottom w:val="nil"/>
            </w:tcBorders>
          </w:tcPr>
          <w:p w14:paraId="6505C837"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3AE75419" w14:textId="77777777" w:rsidTr="5A2E01D0">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64F5647B"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2579633F" w14:textId="1DBCA5FE"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Pr>
                <w:noProof/>
              </w:rPr>
              <w:fldChar w:fldCharType="begin"/>
            </w:r>
            <w:r>
              <w:rPr>
                <w:noProof/>
              </w:rPr>
              <w:instrText xml:space="preserve"> TOC \h \t "Heading 2 [#],8" \b Section_4 </w:instrText>
            </w:r>
            <w:r>
              <w:rPr>
                <w:noProof/>
              </w:rPr>
              <w:fldChar w:fldCharType="separate"/>
            </w:r>
            <w:hyperlink w:anchor="_Toc130225949" w:history="1">
              <w:r w:rsidR="00573524" w:rsidRPr="00D46B6D">
                <w:rPr>
                  <w:rStyle w:val="Hyperlink"/>
                  <w:noProof/>
                </w:rPr>
                <w:t>4.1</w:t>
              </w:r>
              <w:r w:rsidR="00573524">
                <w:rPr>
                  <w:rFonts w:eastAsiaTheme="minorEastAsia"/>
                  <w:noProof/>
                  <w:sz w:val="22"/>
                  <w:szCs w:val="22"/>
                  <w:lang w:eastAsia="en-AU"/>
                </w:rPr>
                <w:tab/>
              </w:r>
              <w:r w:rsidR="00573524" w:rsidRPr="00D46B6D">
                <w:rPr>
                  <w:rStyle w:val="Hyperlink"/>
                  <w:noProof/>
                </w:rPr>
                <w:t>Departmental outputs – Descriptions and objectives</w:t>
              </w:r>
              <w:r w:rsidR="00573524">
                <w:rPr>
                  <w:noProof/>
                </w:rPr>
                <w:tab/>
              </w:r>
              <w:r w:rsidR="00573524">
                <w:rPr>
                  <w:noProof/>
                </w:rPr>
                <w:fldChar w:fldCharType="begin"/>
              </w:r>
              <w:r w:rsidR="00573524">
                <w:rPr>
                  <w:noProof/>
                </w:rPr>
                <w:instrText xml:space="preserve"> PAGEREF _Toc130225949 \h </w:instrText>
              </w:r>
              <w:r w:rsidR="00573524">
                <w:rPr>
                  <w:noProof/>
                </w:rPr>
              </w:r>
              <w:r w:rsidR="00573524">
                <w:rPr>
                  <w:noProof/>
                </w:rPr>
                <w:fldChar w:fldCharType="separate"/>
              </w:r>
              <w:r w:rsidR="00D26320">
                <w:rPr>
                  <w:noProof/>
                </w:rPr>
                <w:t>41</w:t>
              </w:r>
              <w:r w:rsidR="00573524">
                <w:rPr>
                  <w:noProof/>
                </w:rPr>
                <w:fldChar w:fldCharType="end"/>
              </w:r>
            </w:hyperlink>
          </w:p>
          <w:p w14:paraId="3CE12E52" w14:textId="3EFC981E"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50" w:history="1">
              <w:r w:rsidRPr="00D46B6D">
                <w:rPr>
                  <w:rStyle w:val="Hyperlink"/>
                  <w:noProof/>
                </w:rPr>
                <w:t>4.2</w:t>
              </w:r>
              <w:r>
                <w:rPr>
                  <w:rFonts w:eastAsiaTheme="minorEastAsia"/>
                  <w:noProof/>
                  <w:sz w:val="22"/>
                  <w:szCs w:val="22"/>
                  <w:lang w:eastAsia="en-AU"/>
                </w:rPr>
                <w:tab/>
              </w:r>
              <w:r w:rsidRPr="00D46B6D">
                <w:rPr>
                  <w:rStyle w:val="Hyperlink"/>
                  <w:noProof/>
                </w:rPr>
                <w:t>Administered items</w:t>
              </w:r>
              <w:r>
                <w:rPr>
                  <w:noProof/>
                </w:rPr>
                <w:tab/>
              </w:r>
              <w:r>
                <w:rPr>
                  <w:noProof/>
                </w:rPr>
                <w:fldChar w:fldCharType="begin"/>
              </w:r>
              <w:r>
                <w:rPr>
                  <w:noProof/>
                </w:rPr>
                <w:instrText xml:space="preserve"> PAGEREF _Toc130225950 \h </w:instrText>
              </w:r>
              <w:r>
                <w:rPr>
                  <w:noProof/>
                </w:rPr>
              </w:r>
              <w:r>
                <w:rPr>
                  <w:noProof/>
                </w:rPr>
                <w:fldChar w:fldCharType="separate"/>
              </w:r>
              <w:r w:rsidR="00D26320">
                <w:rPr>
                  <w:noProof/>
                </w:rPr>
                <w:t>45</w:t>
              </w:r>
              <w:r>
                <w:rPr>
                  <w:noProof/>
                </w:rPr>
                <w:fldChar w:fldCharType="end"/>
              </w:r>
            </w:hyperlink>
          </w:p>
          <w:p w14:paraId="25BACFBD" w14:textId="5911F6DC"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51" w:history="1">
              <w:r w:rsidRPr="00D46B6D">
                <w:rPr>
                  <w:rStyle w:val="Hyperlink"/>
                  <w:noProof/>
                </w:rPr>
                <w:t>4.3</w:t>
              </w:r>
              <w:r>
                <w:rPr>
                  <w:rFonts w:eastAsiaTheme="minorEastAsia"/>
                  <w:noProof/>
                  <w:sz w:val="22"/>
                  <w:szCs w:val="22"/>
                  <w:lang w:eastAsia="en-AU"/>
                </w:rPr>
                <w:tab/>
              </w:r>
              <w:r w:rsidRPr="00D46B6D">
                <w:rPr>
                  <w:rStyle w:val="Hyperlink"/>
                  <w:noProof/>
                </w:rPr>
                <w:t>Restructuring of administrative arrangements</w:t>
              </w:r>
              <w:r>
                <w:rPr>
                  <w:noProof/>
                </w:rPr>
                <w:tab/>
              </w:r>
              <w:r>
                <w:rPr>
                  <w:noProof/>
                </w:rPr>
                <w:fldChar w:fldCharType="begin"/>
              </w:r>
              <w:r>
                <w:rPr>
                  <w:noProof/>
                </w:rPr>
                <w:instrText xml:space="preserve"> PAGEREF _Toc130225951 \h </w:instrText>
              </w:r>
              <w:r>
                <w:rPr>
                  <w:noProof/>
                </w:rPr>
              </w:r>
              <w:r>
                <w:rPr>
                  <w:noProof/>
                </w:rPr>
                <w:fldChar w:fldCharType="separate"/>
              </w:r>
              <w:r w:rsidR="00D26320">
                <w:rPr>
                  <w:noProof/>
                </w:rPr>
                <w:t>50</w:t>
              </w:r>
              <w:r>
                <w:rPr>
                  <w:noProof/>
                </w:rPr>
                <w:fldChar w:fldCharType="end"/>
              </w:r>
            </w:hyperlink>
          </w:p>
          <w:p w14:paraId="6D359022" w14:textId="0AC0583C"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3719CD" w:rsidRPr="00940E38" w14:paraId="7024C14B" w14:textId="77777777" w:rsidTr="5A2E01D0">
        <w:trPr>
          <w:trHeight w:val="87"/>
        </w:trPr>
        <w:tc>
          <w:tcPr>
            <w:cnfStyle w:val="001000000000" w:firstRow="0" w:lastRow="0" w:firstColumn="1" w:lastColumn="0" w:oddVBand="0" w:evenVBand="0" w:oddHBand="0" w:evenHBand="0" w:firstRowFirstColumn="0" w:firstRowLastColumn="0" w:lastRowFirstColumn="0" w:lastRowLastColumn="0"/>
            <w:tcW w:w="1527" w:type="dxa"/>
            <w:vMerge/>
          </w:tcPr>
          <w:p w14:paraId="579224B6" w14:textId="77777777" w:rsidR="003719CD" w:rsidRPr="00940E38" w:rsidRDefault="003719CD" w:rsidP="007D536F">
            <w:pPr>
              <w:rPr>
                <w:rFonts w:ascii="Arial" w:eastAsia="Calibri" w:hAnsi="Arial" w:cs="Arial"/>
              </w:rPr>
            </w:pPr>
          </w:p>
        </w:tc>
        <w:tc>
          <w:tcPr>
            <w:tcW w:w="6804" w:type="dxa"/>
            <w:tcBorders>
              <w:bottom w:val="nil"/>
            </w:tcBorders>
            <w:shd w:val="clear" w:color="auto" w:fill="E7E6E6" w:themeFill="background2"/>
          </w:tcPr>
          <w:p w14:paraId="1C974DF5"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5. </w:t>
            </w:r>
            <w:r w:rsidRPr="00940E38">
              <w:rPr>
                <w:rFonts w:ascii="Arial" w:eastAsia="Calibri" w:hAnsi="Arial" w:cs="Arial"/>
                <w:b/>
              </w:rPr>
              <w:tab/>
              <w:t>Key assets available to support output delivery</w:t>
            </w:r>
          </w:p>
        </w:tc>
        <w:tc>
          <w:tcPr>
            <w:tcW w:w="1418" w:type="dxa"/>
            <w:gridSpan w:val="2"/>
            <w:tcBorders>
              <w:bottom w:val="nil"/>
            </w:tcBorders>
            <w:shd w:val="clear" w:color="auto" w:fill="E7E6E6" w:themeFill="background2"/>
          </w:tcPr>
          <w:p w14:paraId="739682CC" w14:textId="0769F107"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w:instrText>
            </w:r>
            <w:r>
              <w:rPr>
                <w:b/>
                <w:bCs/>
                <w:noProof/>
              </w:rPr>
              <w:instrText>_</w:instrText>
            </w:r>
            <w:r w:rsidRPr="00761CE8">
              <w:rPr>
                <w:b/>
                <w:bCs/>
                <w:noProof/>
              </w:rPr>
              <w:instrText xml:space="preserve">5  \* MERGEFORMAT </w:instrText>
            </w:r>
            <w:r w:rsidRPr="00761CE8">
              <w:rPr>
                <w:b/>
                <w:bCs/>
                <w:noProof/>
              </w:rPr>
              <w:fldChar w:fldCharType="separate"/>
            </w:r>
            <w:r w:rsidR="00D26320">
              <w:rPr>
                <w:b/>
                <w:bCs/>
                <w:noProof/>
              </w:rPr>
              <w:t>54</w:t>
            </w:r>
            <w:r w:rsidRPr="00761CE8">
              <w:rPr>
                <w:b/>
                <w:bCs/>
                <w:noProof/>
              </w:rPr>
              <w:fldChar w:fldCharType="end"/>
            </w:r>
          </w:p>
        </w:tc>
      </w:tr>
      <w:tr w:rsidR="003719CD" w:rsidRPr="00940E38" w14:paraId="07A48B3B" w14:textId="77777777" w:rsidTr="5A2E01D0">
        <w:tc>
          <w:tcPr>
            <w:cnfStyle w:val="001000000000" w:firstRow="0" w:lastRow="0" w:firstColumn="1" w:lastColumn="0" w:oddVBand="0" w:evenVBand="0" w:oddHBand="0" w:evenHBand="0" w:firstRowFirstColumn="0" w:firstRowLastColumn="0" w:lastRowFirstColumn="0" w:lastRowLastColumn="0"/>
            <w:tcW w:w="1527" w:type="dxa"/>
            <w:vMerge/>
          </w:tcPr>
          <w:p w14:paraId="4D185DBF" w14:textId="77777777" w:rsidR="003719CD" w:rsidRPr="00940E38" w:rsidRDefault="003719CD" w:rsidP="007D536F">
            <w:pPr>
              <w:rPr>
                <w:rFonts w:ascii="Arial" w:eastAsia="Calibri" w:hAnsi="Arial" w:cs="Arial"/>
              </w:rPr>
            </w:pPr>
          </w:p>
        </w:tc>
        <w:tc>
          <w:tcPr>
            <w:tcW w:w="8222" w:type="dxa"/>
            <w:gridSpan w:val="3"/>
            <w:tcBorders>
              <w:top w:val="nil"/>
              <w:bottom w:val="nil"/>
            </w:tcBorders>
          </w:tcPr>
          <w:p w14:paraId="3AD139D6"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 xml:space="preserve">Land, property, investment properties, biological assets, intangible assets, investments </w:t>
            </w:r>
            <w:r w:rsidRPr="00940E38">
              <w:br/>
              <w:t xml:space="preserve">accounted for using the equity method, investments and other financial assets, and acquisition </w:t>
            </w:r>
            <w:r w:rsidRPr="00940E38">
              <w:br/>
              <w:t>and disposal of entities</w:t>
            </w:r>
          </w:p>
        </w:tc>
      </w:tr>
      <w:tr w:rsidR="003719CD" w:rsidRPr="00940E38" w14:paraId="7AE48032" w14:textId="77777777" w:rsidTr="5A2E01D0">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4E7E0AA8"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6F6B790E" w14:textId="51DB4829"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Pr>
                <w:noProof/>
              </w:rPr>
              <w:fldChar w:fldCharType="begin"/>
            </w:r>
            <w:r>
              <w:rPr>
                <w:noProof/>
              </w:rPr>
              <w:instrText xml:space="preserve"> TOC \h \t "Heading 2 [#],8" \b Section_5 </w:instrText>
            </w:r>
            <w:r>
              <w:rPr>
                <w:noProof/>
              </w:rPr>
              <w:fldChar w:fldCharType="separate"/>
            </w:r>
            <w:hyperlink w:anchor="_Toc130225964" w:history="1">
              <w:r w:rsidR="00573524" w:rsidRPr="009E2E11">
                <w:rPr>
                  <w:rStyle w:val="Hyperlink"/>
                  <w:noProof/>
                </w:rPr>
                <w:t>5.1</w:t>
              </w:r>
              <w:r w:rsidR="00573524">
                <w:rPr>
                  <w:rFonts w:eastAsiaTheme="minorEastAsia"/>
                  <w:noProof/>
                  <w:sz w:val="22"/>
                  <w:szCs w:val="22"/>
                  <w:lang w:eastAsia="en-AU"/>
                </w:rPr>
                <w:tab/>
              </w:r>
              <w:r w:rsidR="00573524" w:rsidRPr="009E2E11">
                <w:rPr>
                  <w:rStyle w:val="Hyperlink"/>
                  <w:noProof/>
                </w:rPr>
                <w:t>Total property, plant and equipment</w:t>
              </w:r>
              <w:r w:rsidR="00573524">
                <w:rPr>
                  <w:noProof/>
                </w:rPr>
                <w:tab/>
              </w:r>
              <w:r w:rsidR="00573524">
                <w:rPr>
                  <w:noProof/>
                </w:rPr>
                <w:fldChar w:fldCharType="begin"/>
              </w:r>
              <w:r w:rsidR="00573524">
                <w:rPr>
                  <w:noProof/>
                </w:rPr>
                <w:instrText xml:space="preserve"> PAGEREF _Toc130225964 \h </w:instrText>
              </w:r>
              <w:r w:rsidR="00573524">
                <w:rPr>
                  <w:noProof/>
                </w:rPr>
              </w:r>
              <w:r w:rsidR="00573524">
                <w:rPr>
                  <w:noProof/>
                </w:rPr>
                <w:fldChar w:fldCharType="separate"/>
              </w:r>
              <w:r w:rsidR="00D26320">
                <w:rPr>
                  <w:noProof/>
                </w:rPr>
                <w:t>54</w:t>
              </w:r>
              <w:r w:rsidR="00573524">
                <w:rPr>
                  <w:noProof/>
                </w:rPr>
                <w:fldChar w:fldCharType="end"/>
              </w:r>
            </w:hyperlink>
          </w:p>
          <w:p w14:paraId="090FFDA9" w14:textId="24674859"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5" w:history="1">
              <w:r w:rsidRPr="009E2E11">
                <w:rPr>
                  <w:rStyle w:val="Hyperlink"/>
                  <w:noProof/>
                </w:rPr>
                <w:t>5.2</w:t>
              </w:r>
              <w:r>
                <w:rPr>
                  <w:rFonts w:eastAsiaTheme="minorEastAsia"/>
                  <w:noProof/>
                  <w:sz w:val="22"/>
                  <w:szCs w:val="22"/>
                  <w:lang w:eastAsia="en-AU"/>
                </w:rPr>
                <w:tab/>
              </w:r>
              <w:r w:rsidRPr="009E2E11">
                <w:rPr>
                  <w:rStyle w:val="Hyperlink"/>
                  <w:noProof/>
                </w:rPr>
                <w:t>Investment properties</w:t>
              </w:r>
              <w:r>
                <w:rPr>
                  <w:noProof/>
                </w:rPr>
                <w:tab/>
              </w:r>
              <w:r>
                <w:rPr>
                  <w:noProof/>
                </w:rPr>
                <w:fldChar w:fldCharType="begin"/>
              </w:r>
              <w:r>
                <w:rPr>
                  <w:noProof/>
                </w:rPr>
                <w:instrText xml:space="preserve"> PAGEREF _Toc130225965 \h </w:instrText>
              </w:r>
              <w:r>
                <w:rPr>
                  <w:noProof/>
                </w:rPr>
              </w:r>
              <w:r>
                <w:rPr>
                  <w:noProof/>
                </w:rPr>
                <w:fldChar w:fldCharType="separate"/>
              </w:r>
              <w:r w:rsidR="00D26320">
                <w:rPr>
                  <w:noProof/>
                </w:rPr>
                <w:t>61</w:t>
              </w:r>
              <w:r>
                <w:rPr>
                  <w:noProof/>
                </w:rPr>
                <w:fldChar w:fldCharType="end"/>
              </w:r>
            </w:hyperlink>
          </w:p>
          <w:p w14:paraId="4582E6E1" w14:textId="63D9A2F3"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6" w:history="1">
              <w:r w:rsidRPr="009E2E11">
                <w:rPr>
                  <w:rStyle w:val="Hyperlink"/>
                  <w:noProof/>
                </w:rPr>
                <w:t>5.3</w:t>
              </w:r>
              <w:r>
                <w:rPr>
                  <w:rFonts w:eastAsiaTheme="minorEastAsia"/>
                  <w:noProof/>
                  <w:sz w:val="22"/>
                  <w:szCs w:val="22"/>
                  <w:lang w:eastAsia="en-AU"/>
                </w:rPr>
                <w:tab/>
              </w:r>
              <w:r w:rsidRPr="009E2E11">
                <w:rPr>
                  <w:rStyle w:val="Hyperlink"/>
                  <w:noProof/>
                </w:rPr>
                <w:t>Biological assets</w:t>
              </w:r>
              <w:r>
                <w:rPr>
                  <w:noProof/>
                </w:rPr>
                <w:tab/>
              </w:r>
              <w:r>
                <w:rPr>
                  <w:noProof/>
                </w:rPr>
                <w:fldChar w:fldCharType="begin"/>
              </w:r>
              <w:r>
                <w:rPr>
                  <w:noProof/>
                </w:rPr>
                <w:instrText xml:space="preserve"> PAGEREF _Toc130225966 \h </w:instrText>
              </w:r>
              <w:r>
                <w:rPr>
                  <w:noProof/>
                </w:rPr>
              </w:r>
              <w:r>
                <w:rPr>
                  <w:noProof/>
                </w:rPr>
                <w:fldChar w:fldCharType="separate"/>
              </w:r>
              <w:r w:rsidR="00D26320">
                <w:rPr>
                  <w:noProof/>
                </w:rPr>
                <w:t>63</w:t>
              </w:r>
              <w:r>
                <w:rPr>
                  <w:noProof/>
                </w:rPr>
                <w:fldChar w:fldCharType="end"/>
              </w:r>
            </w:hyperlink>
          </w:p>
          <w:p w14:paraId="49E01F34" w14:textId="3CE5326F"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7" w:history="1">
              <w:r w:rsidRPr="009E2E11">
                <w:rPr>
                  <w:rStyle w:val="Hyperlink"/>
                  <w:noProof/>
                </w:rPr>
                <w:t>5.4</w:t>
              </w:r>
              <w:r>
                <w:rPr>
                  <w:rFonts w:eastAsiaTheme="minorEastAsia"/>
                  <w:noProof/>
                  <w:sz w:val="22"/>
                  <w:szCs w:val="22"/>
                  <w:lang w:eastAsia="en-AU"/>
                </w:rPr>
                <w:tab/>
              </w:r>
              <w:r w:rsidRPr="009E2E11">
                <w:rPr>
                  <w:rStyle w:val="Hyperlink"/>
                  <w:noProof/>
                </w:rPr>
                <w:t>Intangible assets</w:t>
              </w:r>
              <w:r>
                <w:rPr>
                  <w:noProof/>
                </w:rPr>
                <w:tab/>
              </w:r>
              <w:r>
                <w:rPr>
                  <w:noProof/>
                </w:rPr>
                <w:fldChar w:fldCharType="begin"/>
              </w:r>
              <w:r>
                <w:rPr>
                  <w:noProof/>
                </w:rPr>
                <w:instrText xml:space="preserve"> PAGEREF _Toc130225967 \h </w:instrText>
              </w:r>
              <w:r>
                <w:rPr>
                  <w:noProof/>
                </w:rPr>
              </w:r>
              <w:r>
                <w:rPr>
                  <w:noProof/>
                </w:rPr>
                <w:fldChar w:fldCharType="separate"/>
              </w:r>
              <w:r w:rsidR="00D26320">
                <w:rPr>
                  <w:noProof/>
                </w:rPr>
                <w:t>65</w:t>
              </w:r>
              <w:r>
                <w:rPr>
                  <w:noProof/>
                </w:rPr>
                <w:fldChar w:fldCharType="end"/>
              </w:r>
            </w:hyperlink>
          </w:p>
          <w:p w14:paraId="3619E316" w14:textId="267A48AD"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8" w:history="1">
              <w:r w:rsidRPr="009E2E11">
                <w:rPr>
                  <w:rStyle w:val="Hyperlink"/>
                  <w:noProof/>
                </w:rPr>
                <w:t>5.5</w:t>
              </w:r>
              <w:r>
                <w:rPr>
                  <w:rFonts w:eastAsiaTheme="minorEastAsia"/>
                  <w:noProof/>
                  <w:sz w:val="22"/>
                  <w:szCs w:val="22"/>
                  <w:lang w:eastAsia="en-AU"/>
                </w:rPr>
                <w:tab/>
              </w:r>
              <w:r w:rsidRPr="009E2E11">
                <w:rPr>
                  <w:rStyle w:val="Hyperlink"/>
                  <w:noProof/>
                </w:rPr>
                <w:t>Investments accounted for using the equity method</w:t>
              </w:r>
              <w:r>
                <w:rPr>
                  <w:noProof/>
                </w:rPr>
                <w:tab/>
              </w:r>
              <w:r>
                <w:rPr>
                  <w:noProof/>
                </w:rPr>
                <w:fldChar w:fldCharType="begin"/>
              </w:r>
              <w:r>
                <w:rPr>
                  <w:noProof/>
                </w:rPr>
                <w:instrText xml:space="preserve"> PAGEREF _Toc130225968 \h </w:instrText>
              </w:r>
              <w:r>
                <w:rPr>
                  <w:noProof/>
                </w:rPr>
              </w:r>
              <w:r>
                <w:rPr>
                  <w:noProof/>
                </w:rPr>
                <w:fldChar w:fldCharType="separate"/>
              </w:r>
              <w:r w:rsidR="00D26320">
                <w:rPr>
                  <w:noProof/>
                </w:rPr>
                <w:t>69</w:t>
              </w:r>
              <w:r>
                <w:rPr>
                  <w:noProof/>
                </w:rPr>
                <w:fldChar w:fldCharType="end"/>
              </w:r>
            </w:hyperlink>
          </w:p>
          <w:p w14:paraId="1A298AA0" w14:textId="6D0B3BC8"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69" w:history="1">
              <w:r w:rsidRPr="009E2E11">
                <w:rPr>
                  <w:rStyle w:val="Hyperlink"/>
                  <w:noProof/>
                </w:rPr>
                <w:t>5.6</w:t>
              </w:r>
              <w:r>
                <w:rPr>
                  <w:rFonts w:eastAsiaTheme="minorEastAsia"/>
                  <w:noProof/>
                  <w:sz w:val="22"/>
                  <w:szCs w:val="22"/>
                  <w:lang w:eastAsia="en-AU"/>
                </w:rPr>
                <w:tab/>
              </w:r>
              <w:r w:rsidRPr="009E2E11">
                <w:rPr>
                  <w:rStyle w:val="Hyperlink"/>
                  <w:noProof/>
                </w:rPr>
                <w:t>Investments and other financial assets</w:t>
              </w:r>
              <w:r>
                <w:rPr>
                  <w:noProof/>
                </w:rPr>
                <w:tab/>
              </w:r>
              <w:r>
                <w:rPr>
                  <w:noProof/>
                </w:rPr>
                <w:fldChar w:fldCharType="begin"/>
              </w:r>
              <w:r>
                <w:rPr>
                  <w:noProof/>
                </w:rPr>
                <w:instrText xml:space="preserve"> PAGEREF _Toc130225969 \h </w:instrText>
              </w:r>
              <w:r>
                <w:rPr>
                  <w:noProof/>
                </w:rPr>
              </w:r>
              <w:r>
                <w:rPr>
                  <w:noProof/>
                </w:rPr>
                <w:fldChar w:fldCharType="separate"/>
              </w:r>
              <w:r w:rsidR="00D26320">
                <w:rPr>
                  <w:noProof/>
                </w:rPr>
                <w:t>74</w:t>
              </w:r>
              <w:r>
                <w:rPr>
                  <w:noProof/>
                </w:rPr>
                <w:fldChar w:fldCharType="end"/>
              </w:r>
            </w:hyperlink>
          </w:p>
          <w:p w14:paraId="46B7E87A" w14:textId="4684857B"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0" w:history="1">
              <w:r w:rsidRPr="009E2E11">
                <w:rPr>
                  <w:rStyle w:val="Hyperlink"/>
                  <w:noProof/>
                </w:rPr>
                <w:t>5.7</w:t>
              </w:r>
              <w:r>
                <w:rPr>
                  <w:rFonts w:eastAsiaTheme="minorEastAsia"/>
                  <w:noProof/>
                  <w:sz w:val="22"/>
                  <w:szCs w:val="22"/>
                  <w:lang w:eastAsia="en-AU"/>
                </w:rPr>
                <w:tab/>
              </w:r>
              <w:r w:rsidRPr="009E2E11">
                <w:rPr>
                  <w:rStyle w:val="Hyperlink"/>
                  <w:noProof/>
                </w:rPr>
                <w:t>Acquisition and disposal of entities</w:t>
              </w:r>
              <w:r>
                <w:rPr>
                  <w:noProof/>
                </w:rPr>
                <w:tab/>
              </w:r>
              <w:r>
                <w:rPr>
                  <w:noProof/>
                </w:rPr>
                <w:fldChar w:fldCharType="begin"/>
              </w:r>
              <w:r>
                <w:rPr>
                  <w:noProof/>
                </w:rPr>
                <w:instrText xml:space="preserve"> PAGEREF _Toc130225970 \h </w:instrText>
              </w:r>
              <w:r>
                <w:rPr>
                  <w:noProof/>
                </w:rPr>
              </w:r>
              <w:r>
                <w:rPr>
                  <w:noProof/>
                </w:rPr>
                <w:fldChar w:fldCharType="separate"/>
              </w:r>
              <w:r w:rsidR="00D26320">
                <w:rPr>
                  <w:noProof/>
                </w:rPr>
                <w:t>75</w:t>
              </w:r>
              <w:r>
                <w:rPr>
                  <w:noProof/>
                </w:rPr>
                <w:fldChar w:fldCharType="end"/>
              </w:r>
            </w:hyperlink>
          </w:p>
          <w:p w14:paraId="404D91F0" w14:textId="185E6DAF"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Pr>
                <w:noProof/>
              </w:rPr>
              <w:fldChar w:fldCharType="end"/>
            </w:r>
          </w:p>
        </w:tc>
      </w:tr>
      <w:tr w:rsidR="003719CD" w:rsidRPr="00940E38" w14:paraId="7E72D300" w14:textId="77777777" w:rsidTr="00AB0577">
        <w:trPr>
          <w:trHeight w:val="70"/>
        </w:trPr>
        <w:tc>
          <w:tcPr>
            <w:cnfStyle w:val="001000000000" w:firstRow="0" w:lastRow="0" w:firstColumn="1" w:lastColumn="0" w:oddVBand="0" w:evenVBand="0" w:oddHBand="0" w:evenHBand="0" w:firstRowFirstColumn="0" w:firstRowLastColumn="0" w:lastRowFirstColumn="0" w:lastRowLastColumn="0"/>
            <w:tcW w:w="1527" w:type="dxa"/>
            <w:vMerge w:val="restart"/>
            <w:tcBorders>
              <w:top w:val="nil"/>
            </w:tcBorders>
          </w:tcPr>
          <w:p w14:paraId="2B170077" w14:textId="77777777" w:rsidR="003719CD" w:rsidRPr="00940E38" w:rsidRDefault="003719CD" w:rsidP="007D536F">
            <w:pPr>
              <w:pageBreakBefore/>
              <w:rPr>
                <w:rFonts w:ascii="Arial" w:eastAsia="Calibri" w:hAnsi="Arial" w:cs="Arial"/>
              </w:rPr>
            </w:pPr>
            <w:r w:rsidRPr="00940E38">
              <w:rPr>
                <w:rFonts w:ascii="Arial" w:eastAsia="Calibri" w:hAnsi="Arial" w:cs="Arial"/>
              </w:rPr>
              <w:lastRenderedPageBreak/>
              <w:t xml:space="preserve">Notes to the financial statements </w:t>
            </w:r>
            <w:r w:rsidRPr="00FA4323">
              <w:rPr>
                <w:rFonts w:ascii="Arial" w:eastAsia="Calibri" w:hAnsi="Arial" w:cs="Arial"/>
                <w:i/>
                <w:iCs/>
              </w:rPr>
              <w:t>(continued)</w:t>
            </w:r>
          </w:p>
        </w:tc>
        <w:tc>
          <w:tcPr>
            <w:tcW w:w="6976" w:type="dxa"/>
            <w:gridSpan w:val="2"/>
            <w:tcBorders>
              <w:top w:val="nil"/>
              <w:bottom w:val="nil"/>
            </w:tcBorders>
            <w:shd w:val="clear" w:color="auto" w:fill="E7E6E6" w:themeFill="background2"/>
          </w:tcPr>
          <w:p w14:paraId="2C79AA47"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6. </w:t>
            </w:r>
            <w:r w:rsidRPr="00940E38">
              <w:rPr>
                <w:rFonts w:ascii="Arial" w:eastAsia="Calibri" w:hAnsi="Arial" w:cs="Arial"/>
                <w:b/>
              </w:rPr>
              <w:tab/>
              <w:t>Other assets and liabilities</w:t>
            </w:r>
          </w:p>
        </w:tc>
        <w:tc>
          <w:tcPr>
            <w:tcW w:w="1246" w:type="dxa"/>
            <w:tcBorders>
              <w:top w:val="nil"/>
              <w:bottom w:val="nil"/>
            </w:tcBorders>
            <w:shd w:val="clear" w:color="auto" w:fill="E7E6E6" w:themeFill="background2"/>
          </w:tcPr>
          <w:p w14:paraId="52861F7D" w14:textId="0A31D26F"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noProof/>
              </w:rPr>
              <w:fldChar w:fldCharType="begin"/>
            </w:r>
            <w:r w:rsidRPr="00761CE8">
              <w:rPr>
                <w:b/>
                <w:bCs/>
                <w:noProof/>
              </w:rPr>
              <w:instrText xml:space="preserve"> PAGEREF Section</w:instrText>
            </w:r>
            <w:r>
              <w:rPr>
                <w:b/>
                <w:bCs/>
                <w:noProof/>
              </w:rPr>
              <w:instrText>_</w:instrText>
            </w:r>
            <w:r w:rsidRPr="00761CE8">
              <w:rPr>
                <w:b/>
                <w:bCs/>
                <w:noProof/>
              </w:rPr>
              <w:instrText xml:space="preserve">6 </w:instrText>
            </w:r>
            <w:r w:rsidRPr="00761CE8">
              <w:rPr>
                <w:b/>
                <w:bCs/>
                <w:noProof/>
              </w:rPr>
              <w:fldChar w:fldCharType="separate"/>
            </w:r>
            <w:r w:rsidR="00D26320">
              <w:rPr>
                <w:b/>
                <w:bCs/>
                <w:noProof/>
              </w:rPr>
              <w:t>77</w:t>
            </w:r>
            <w:r w:rsidRPr="00761CE8">
              <w:rPr>
                <w:b/>
                <w:bCs/>
                <w:noProof/>
              </w:rPr>
              <w:fldChar w:fldCharType="end"/>
            </w:r>
          </w:p>
        </w:tc>
      </w:tr>
      <w:tr w:rsidR="003719CD" w:rsidRPr="00940E38" w14:paraId="691DB71E"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1615A9FA"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auto"/>
          </w:tcPr>
          <w:p w14:paraId="5826A2C7"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Working capital balances, and other key assets and liabilities</w:t>
            </w:r>
          </w:p>
        </w:tc>
        <w:tc>
          <w:tcPr>
            <w:tcW w:w="1246" w:type="dxa"/>
            <w:tcBorders>
              <w:top w:val="nil"/>
            </w:tcBorders>
          </w:tcPr>
          <w:p w14:paraId="5D3F86A8"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57BF9A9B"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vMerge/>
          </w:tcPr>
          <w:p w14:paraId="3406DCCE"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377F98E2" w14:textId="44298935"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rFonts w:eastAsiaTheme="minorEastAsia"/>
                <w:noProof/>
                <w:szCs w:val="22"/>
                <w:lang w:eastAsia="en-AU"/>
              </w:rPr>
              <w:fldChar w:fldCharType="begin"/>
            </w:r>
            <w:r w:rsidRPr="00940E38">
              <w:instrText xml:space="preserve"> TOC \h \z \t "Heading 2 </w:instrText>
            </w:r>
            <w:r>
              <w:instrText>[#]</w:instrText>
            </w:r>
            <w:r w:rsidRPr="00940E38">
              <w:instrText>,8" \b Section</w:instrText>
            </w:r>
            <w:r>
              <w:instrText>_</w:instrText>
            </w:r>
            <w:r w:rsidRPr="00940E38">
              <w:instrText xml:space="preserve">6 \* MERGEFORMAT </w:instrText>
            </w:r>
            <w:r w:rsidRPr="00940E38">
              <w:rPr>
                <w:rFonts w:eastAsiaTheme="minorEastAsia"/>
                <w:noProof/>
                <w:szCs w:val="22"/>
                <w:lang w:eastAsia="en-AU"/>
              </w:rPr>
              <w:fldChar w:fldCharType="separate"/>
            </w:r>
            <w:hyperlink w:anchor="_Toc130225973" w:history="1">
              <w:r w:rsidR="00573524" w:rsidRPr="00AD2EA5">
                <w:rPr>
                  <w:rStyle w:val="Hyperlink"/>
                  <w:noProof/>
                </w:rPr>
                <w:t>6.1</w:t>
              </w:r>
              <w:r w:rsidR="00573524">
                <w:rPr>
                  <w:rFonts w:eastAsiaTheme="minorEastAsia"/>
                  <w:noProof/>
                  <w:sz w:val="22"/>
                  <w:szCs w:val="22"/>
                  <w:lang w:eastAsia="en-AU"/>
                </w:rPr>
                <w:tab/>
              </w:r>
              <w:r w:rsidR="00573524" w:rsidRPr="00AD2EA5">
                <w:rPr>
                  <w:rStyle w:val="Hyperlink"/>
                  <w:noProof/>
                </w:rPr>
                <w:t>Receivables</w:t>
              </w:r>
              <w:r w:rsidR="00573524">
                <w:rPr>
                  <w:noProof/>
                  <w:webHidden/>
                </w:rPr>
                <w:tab/>
              </w:r>
              <w:r w:rsidR="00573524">
                <w:rPr>
                  <w:noProof/>
                  <w:webHidden/>
                </w:rPr>
                <w:fldChar w:fldCharType="begin"/>
              </w:r>
              <w:r w:rsidR="00573524">
                <w:rPr>
                  <w:noProof/>
                  <w:webHidden/>
                </w:rPr>
                <w:instrText xml:space="preserve"> PAGEREF _Toc130225973 \h </w:instrText>
              </w:r>
              <w:r w:rsidR="00573524">
                <w:rPr>
                  <w:noProof/>
                  <w:webHidden/>
                </w:rPr>
              </w:r>
              <w:r w:rsidR="00573524">
                <w:rPr>
                  <w:noProof/>
                  <w:webHidden/>
                </w:rPr>
                <w:fldChar w:fldCharType="separate"/>
              </w:r>
              <w:r w:rsidR="00D26320">
                <w:rPr>
                  <w:noProof/>
                  <w:webHidden/>
                </w:rPr>
                <w:t>77</w:t>
              </w:r>
              <w:r w:rsidR="00573524">
                <w:rPr>
                  <w:noProof/>
                  <w:webHidden/>
                </w:rPr>
                <w:fldChar w:fldCharType="end"/>
              </w:r>
            </w:hyperlink>
          </w:p>
          <w:p w14:paraId="3518F5DC" w14:textId="6F39869A"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4" w:history="1">
              <w:r w:rsidRPr="00AD2EA5">
                <w:rPr>
                  <w:rStyle w:val="Hyperlink"/>
                  <w:noProof/>
                </w:rPr>
                <w:t>6.2</w:t>
              </w:r>
              <w:r>
                <w:rPr>
                  <w:rFonts w:eastAsiaTheme="minorEastAsia"/>
                  <w:noProof/>
                  <w:sz w:val="22"/>
                  <w:szCs w:val="22"/>
                  <w:lang w:eastAsia="en-AU"/>
                </w:rPr>
                <w:tab/>
              </w:r>
              <w:r w:rsidRPr="00AD2EA5">
                <w:rPr>
                  <w:rStyle w:val="Hyperlink"/>
                  <w:noProof/>
                </w:rPr>
                <w:t>Payables</w:t>
              </w:r>
              <w:r>
                <w:rPr>
                  <w:noProof/>
                  <w:webHidden/>
                </w:rPr>
                <w:tab/>
              </w:r>
              <w:r>
                <w:rPr>
                  <w:noProof/>
                  <w:webHidden/>
                </w:rPr>
                <w:fldChar w:fldCharType="begin"/>
              </w:r>
              <w:r>
                <w:rPr>
                  <w:noProof/>
                  <w:webHidden/>
                </w:rPr>
                <w:instrText xml:space="preserve"> PAGEREF _Toc130225974 \h </w:instrText>
              </w:r>
              <w:r>
                <w:rPr>
                  <w:noProof/>
                  <w:webHidden/>
                </w:rPr>
              </w:r>
              <w:r>
                <w:rPr>
                  <w:noProof/>
                  <w:webHidden/>
                </w:rPr>
                <w:fldChar w:fldCharType="separate"/>
              </w:r>
              <w:r w:rsidR="00D26320">
                <w:rPr>
                  <w:noProof/>
                  <w:webHidden/>
                </w:rPr>
                <w:t>84</w:t>
              </w:r>
              <w:r>
                <w:rPr>
                  <w:noProof/>
                  <w:webHidden/>
                </w:rPr>
                <w:fldChar w:fldCharType="end"/>
              </w:r>
            </w:hyperlink>
          </w:p>
          <w:p w14:paraId="199CD802" w14:textId="15ABBB3F"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5" w:history="1">
              <w:r w:rsidRPr="00AD2EA5">
                <w:rPr>
                  <w:rStyle w:val="Hyperlink"/>
                  <w:noProof/>
                </w:rPr>
                <w:t>6.3</w:t>
              </w:r>
              <w:r>
                <w:rPr>
                  <w:rFonts w:eastAsiaTheme="minorEastAsia"/>
                  <w:noProof/>
                  <w:sz w:val="22"/>
                  <w:szCs w:val="22"/>
                  <w:lang w:eastAsia="en-AU"/>
                </w:rPr>
                <w:tab/>
              </w:r>
              <w:r w:rsidRPr="00AD2EA5">
                <w:rPr>
                  <w:rStyle w:val="Hyperlink"/>
                  <w:noProof/>
                </w:rPr>
                <w:t>Inventories</w:t>
              </w:r>
              <w:r>
                <w:rPr>
                  <w:noProof/>
                  <w:webHidden/>
                </w:rPr>
                <w:tab/>
              </w:r>
              <w:r>
                <w:rPr>
                  <w:noProof/>
                  <w:webHidden/>
                </w:rPr>
                <w:fldChar w:fldCharType="begin"/>
              </w:r>
              <w:r>
                <w:rPr>
                  <w:noProof/>
                  <w:webHidden/>
                </w:rPr>
                <w:instrText xml:space="preserve"> PAGEREF _Toc130225975 \h </w:instrText>
              </w:r>
              <w:r>
                <w:rPr>
                  <w:noProof/>
                  <w:webHidden/>
                </w:rPr>
              </w:r>
              <w:r>
                <w:rPr>
                  <w:noProof/>
                  <w:webHidden/>
                </w:rPr>
                <w:fldChar w:fldCharType="separate"/>
              </w:r>
              <w:r w:rsidR="00D26320">
                <w:rPr>
                  <w:noProof/>
                  <w:webHidden/>
                </w:rPr>
                <w:t>87</w:t>
              </w:r>
              <w:r>
                <w:rPr>
                  <w:noProof/>
                  <w:webHidden/>
                </w:rPr>
                <w:fldChar w:fldCharType="end"/>
              </w:r>
            </w:hyperlink>
          </w:p>
          <w:p w14:paraId="31178B76" w14:textId="0D1ACBB2"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6" w:history="1">
              <w:r w:rsidRPr="00AD2EA5">
                <w:rPr>
                  <w:rStyle w:val="Hyperlink"/>
                  <w:noProof/>
                </w:rPr>
                <w:t>6.4</w:t>
              </w:r>
              <w:r>
                <w:rPr>
                  <w:rFonts w:eastAsiaTheme="minorEastAsia"/>
                  <w:noProof/>
                  <w:sz w:val="22"/>
                  <w:szCs w:val="22"/>
                  <w:lang w:eastAsia="en-AU"/>
                </w:rPr>
                <w:tab/>
              </w:r>
              <w:r w:rsidRPr="00AD2EA5">
                <w:rPr>
                  <w:rStyle w:val="Hyperlink"/>
                  <w:noProof/>
                </w:rPr>
                <w:t>Other non-financial assets</w:t>
              </w:r>
              <w:r>
                <w:rPr>
                  <w:noProof/>
                  <w:webHidden/>
                </w:rPr>
                <w:tab/>
              </w:r>
              <w:r>
                <w:rPr>
                  <w:noProof/>
                  <w:webHidden/>
                </w:rPr>
                <w:fldChar w:fldCharType="begin"/>
              </w:r>
              <w:r>
                <w:rPr>
                  <w:noProof/>
                  <w:webHidden/>
                </w:rPr>
                <w:instrText xml:space="preserve"> PAGEREF _Toc130225976 \h </w:instrText>
              </w:r>
              <w:r>
                <w:rPr>
                  <w:noProof/>
                  <w:webHidden/>
                </w:rPr>
              </w:r>
              <w:r>
                <w:rPr>
                  <w:noProof/>
                  <w:webHidden/>
                </w:rPr>
                <w:fldChar w:fldCharType="separate"/>
              </w:r>
              <w:r w:rsidR="00D26320">
                <w:rPr>
                  <w:noProof/>
                  <w:webHidden/>
                </w:rPr>
                <w:t>88</w:t>
              </w:r>
              <w:r>
                <w:rPr>
                  <w:noProof/>
                  <w:webHidden/>
                </w:rPr>
                <w:fldChar w:fldCharType="end"/>
              </w:r>
            </w:hyperlink>
          </w:p>
          <w:p w14:paraId="6F4DF353" w14:textId="55AB4F38"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77" w:history="1">
              <w:r w:rsidRPr="00AD2EA5">
                <w:rPr>
                  <w:rStyle w:val="Hyperlink"/>
                  <w:noProof/>
                </w:rPr>
                <w:t>6.5</w:t>
              </w:r>
              <w:r>
                <w:rPr>
                  <w:rFonts w:eastAsiaTheme="minorEastAsia"/>
                  <w:noProof/>
                  <w:sz w:val="22"/>
                  <w:szCs w:val="22"/>
                  <w:lang w:eastAsia="en-AU"/>
                </w:rPr>
                <w:tab/>
              </w:r>
              <w:r w:rsidRPr="00AD2EA5">
                <w:rPr>
                  <w:rStyle w:val="Hyperlink"/>
                  <w:noProof/>
                </w:rPr>
                <w:t>Other provisions</w:t>
              </w:r>
              <w:r>
                <w:rPr>
                  <w:noProof/>
                  <w:webHidden/>
                </w:rPr>
                <w:tab/>
              </w:r>
              <w:r>
                <w:rPr>
                  <w:noProof/>
                  <w:webHidden/>
                </w:rPr>
                <w:fldChar w:fldCharType="begin"/>
              </w:r>
              <w:r>
                <w:rPr>
                  <w:noProof/>
                  <w:webHidden/>
                </w:rPr>
                <w:instrText xml:space="preserve"> PAGEREF _Toc130225977 \h </w:instrText>
              </w:r>
              <w:r>
                <w:rPr>
                  <w:noProof/>
                  <w:webHidden/>
                </w:rPr>
              </w:r>
              <w:r>
                <w:rPr>
                  <w:noProof/>
                  <w:webHidden/>
                </w:rPr>
                <w:fldChar w:fldCharType="separate"/>
              </w:r>
              <w:r w:rsidR="00D26320">
                <w:rPr>
                  <w:noProof/>
                  <w:webHidden/>
                </w:rPr>
                <w:t>89</w:t>
              </w:r>
              <w:r>
                <w:rPr>
                  <w:noProof/>
                  <w:webHidden/>
                </w:rPr>
                <w:fldChar w:fldCharType="end"/>
              </w:r>
            </w:hyperlink>
          </w:p>
          <w:p w14:paraId="16871865" w14:textId="1C7C9F9B" w:rsidR="003719CD" w:rsidRPr="00870BED" w:rsidRDefault="003719CD" w:rsidP="007D536F">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051933EE"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6C9B03D3"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11EE957D"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7. </w:t>
            </w:r>
            <w:r w:rsidRPr="00940E38">
              <w:rPr>
                <w:rFonts w:ascii="Arial" w:eastAsia="Calibri" w:hAnsi="Arial" w:cs="Arial"/>
                <w:b/>
              </w:rPr>
              <w:tab/>
              <w:t>Financing our operations</w:t>
            </w:r>
          </w:p>
        </w:tc>
        <w:tc>
          <w:tcPr>
            <w:tcW w:w="1246" w:type="dxa"/>
            <w:tcBorders>
              <w:top w:val="nil"/>
              <w:bottom w:val="nil"/>
            </w:tcBorders>
            <w:shd w:val="clear" w:color="auto" w:fill="E7E6E6" w:themeFill="background2"/>
          </w:tcPr>
          <w:p w14:paraId="08E99C2E" w14:textId="45CAF5A5"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7 \h  \* MERGEFORMAT </w:instrText>
            </w:r>
            <w:r w:rsidRPr="00761CE8">
              <w:rPr>
                <w:b/>
                <w:bCs/>
              </w:rPr>
            </w:r>
            <w:r w:rsidRPr="00761CE8">
              <w:rPr>
                <w:b/>
                <w:bCs/>
              </w:rPr>
              <w:fldChar w:fldCharType="separate"/>
            </w:r>
            <w:r w:rsidR="00D26320">
              <w:rPr>
                <w:b/>
                <w:bCs/>
                <w:noProof/>
              </w:rPr>
              <w:t>91</w:t>
            </w:r>
            <w:r w:rsidRPr="00761CE8">
              <w:rPr>
                <w:b/>
                <w:bCs/>
              </w:rPr>
              <w:fldChar w:fldCharType="end"/>
            </w:r>
            <w:r w:rsidRPr="00761CE8">
              <w:rPr>
                <w:b/>
                <w:bCs/>
              </w:rPr>
              <w:t xml:space="preserve"> </w:t>
            </w:r>
          </w:p>
        </w:tc>
      </w:tr>
      <w:tr w:rsidR="003719CD" w:rsidRPr="00940E38" w14:paraId="740DBACF"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32E9F32D"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auto"/>
          </w:tcPr>
          <w:p w14:paraId="5422C449"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rPr>
                <w:b/>
              </w:rPr>
            </w:pPr>
            <w:r w:rsidRPr="00940E38">
              <w:t>Borrowings, cash flow information, leases and assets pledged as security</w:t>
            </w:r>
          </w:p>
        </w:tc>
        <w:tc>
          <w:tcPr>
            <w:tcW w:w="1246" w:type="dxa"/>
            <w:tcBorders>
              <w:top w:val="nil"/>
              <w:bottom w:val="nil"/>
            </w:tcBorders>
          </w:tcPr>
          <w:p w14:paraId="54D11489" w14:textId="77777777" w:rsidR="003719CD" w:rsidRPr="00940E38" w:rsidRDefault="003719CD" w:rsidP="007D536F">
            <w:pPr>
              <w:jc w:val="right"/>
              <w:cnfStyle w:val="000000000000" w:firstRow="0" w:lastRow="0" w:firstColumn="0" w:lastColumn="0" w:oddVBand="0" w:evenVBand="0" w:oddHBand="0" w:evenHBand="0" w:firstRowFirstColumn="0" w:firstRowLastColumn="0" w:lastRowFirstColumn="0" w:lastRowLastColumn="0"/>
            </w:pPr>
          </w:p>
        </w:tc>
      </w:tr>
      <w:tr w:rsidR="003719CD" w:rsidRPr="00940E38" w14:paraId="70DB894F" w14:textId="77777777" w:rsidTr="007D536F">
        <w:trPr>
          <w:trHeight w:val="1711"/>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right w:val="nil"/>
            </w:tcBorders>
          </w:tcPr>
          <w:p w14:paraId="4DC49EBE" w14:textId="77777777" w:rsidR="003719CD" w:rsidRPr="00940E38" w:rsidRDefault="003719CD" w:rsidP="007D536F">
            <w:pPr>
              <w:rPr>
                <w:rFonts w:ascii="Arial" w:eastAsia="Calibri" w:hAnsi="Arial" w:cs="Arial"/>
              </w:rPr>
            </w:pPr>
          </w:p>
        </w:tc>
        <w:tc>
          <w:tcPr>
            <w:tcW w:w="8222" w:type="dxa"/>
            <w:gridSpan w:val="3"/>
            <w:tcBorders>
              <w:top w:val="nil"/>
              <w:left w:val="nil"/>
              <w:bottom w:val="nil"/>
              <w:right w:val="nil"/>
            </w:tcBorders>
            <w:shd w:val="clear" w:color="auto" w:fill="auto"/>
          </w:tcPr>
          <w:p w14:paraId="023EF63A" w14:textId="7920D6DC"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rFonts w:eastAsiaTheme="minorEastAsia"/>
                <w:noProof/>
                <w:szCs w:val="22"/>
                <w:lang w:eastAsia="en-AU"/>
              </w:rPr>
              <w:fldChar w:fldCharType="begin"/>
            </w:r>
            <w:r w:rsidRPr="00940E38">
              <w:instrText xml:space="preserve"> TOC \h \z \t "Heading 2 </w:instrText>
            </w:r>
            <w:r>
              <w:instrText>[#]</w:instrText>
            </w:r>
            <w:r w:rsidRPr="00940E38">
              <w:instrText>,8" \b Section</w:instrText>
            </w:r>
            <w:r>
              <w:instrText>_</w:instrText>
            </w:r>
            <w:r w:rsidRPr="00940E38">
              <w:instrText xml:space="preserve">7 \* MERGEFORMAT </w:instrText>
            </w:r>
            <w:r w:rsidRPr="00940E38">
              <w:rPr>
                <w:rFonts w:eastAsiaTheme="minorEastAsia"/>
                <w:noProof/>
                <w:szCs w:val="22"/>
                <w:lang w:eastAsia="en-AU"/>
              </w:rPr>
              <w:fldChar w:fldCharType="separate"/>
            </w:r>
            <w:hyperlink w:anchor="_Toc130225983" w:history="1">
              <w:r w:rsidR="00573524" w:rsidRPr="001948F8">
                <w:rPr>
                  <w:rStyle w:val="Hyperlink"/>
                  <w:noProof/>
                </w:rPr>
                <w:t>7.1</w:t>
              </w:r>
              <w:r w:rsidR="00573524">
                <w:rPr>
                  <w:rFonts w:eastAsiaTheme="minorEastAsia"/>
                  <w:noProof/>
                  <w:sz w:val="22"/>
                  <w:szCs w:val="22"/>
                  <w:lang w:eastAsia="en-AU"/>
                </w:rPr>
                <w:tab/>
              </w:r>
              <w:r w:rsidR="00573524" w:rsidRPr="001948F8">
                <w:rPr>
                  <w:rStyle w:val="Hyperlink"/>
                  <w:noProof/>
                </w:rPr>
                <w:t>Borrowings</w:t>
              </w:r>
              <w:r w:rsidR="00573524">
                <w:rPr>
                  <w:noProof/>
                  <w:webHidden/>
                </w:rPr>
                <w:tab/>
              </w:r>
              <w:r w:rsidR="00573524">
                <w:rPr>
                  <w:noProof/>
                  <w:webHidden/>
                </w:rPr>
                <w:fldChar w:fldCharType="begin"/>
              </w:r>
              <w:r w:rsidR="00573524">
                <w:rPr>
                  <w:noProof/>
                  <w:webHidden/>
                </w:rPr>
                <w:instrText xml:space="preserve"> PAGEREF _Toc130225983 \h </w:instrText>
              </w:r>
              <w:r w:rsidR="00573524">
                <w:rPr>
                  <w:noProof/>
                  <w:webHidden/>
                </w:rPr>
              </w:r>
              <w:r w:rsidR="00573524">
                <w:rPr>
                  <w:noProof/>
                  <w:webHidden/>
                </w:rPr>
                <w:fldChar w:fldCharType="separate"/>
              </w:r>
              <w:r w:rsidR="00D26320">
                <w:rPr>
                  <w:noProof/>
                  <w:webHidden/>
                </w:rPr>
                <w:t>91</w:t>
              </w:r>
              <w:r w:rsidR="00573524">
                <w:rPr>
                  <w:noProof/>
                  <w:webHidden/>
                </w:rPr>
                <w:fldChar w:fldCharType="end"/>
              </w:r>
            </w:hyperlink>
          </w:p>
          <w:p w14:paraId="4478D1CB" w14:textId="50CDB633"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4" w:history="1">
              <w:r w:rsidRPr="001948F8">
                <w:rPr>
                  <w:rStyle w:val="Hyperlink"/>
                  <w:noProof/>
                </w:rPr>
                <w:t>7.2</w:t>
              </w:r>
              <w:r>
                <w:rPr>
                  <w:rFonts w:eastAsiaTheme="minorEastAsia"/>
                  <w:noProof/>
                  <w:sz w:val="22"/>
                  <w:szCs w:val="22"/>
                  <w:lang w:eastAsia="en-AU"/>
                </w:rPr>
                <w:tab/>
              </w:r>
              <w:r w:rsidRPr="001948F8">
                <w:rPr>
                  <w:rStyle w:val="Hyperlink"/>
                  <w:noProof/>
                </w:rPr>
                <w:t>Leases</w:t>
              </w:r>
              <w:r>
                <w:rPr>
                  <w:noProof/>
                  <w:webHidden/>
                </w:rPr>
                <w:tab/>
              </w:r>
              <w:r>
                <w:rPr>
                  <w:noProof/>
                  <w:webHidden/>
                </w:rPr>
                <w:fldChar w:fldCharType="begin"/>
              </w:r>
              <w:r>
                <w:rPr>
                  <w:noProof/>
                  <w:webHidden/>
                </w:rPr>
                <w:instrText xml:space="preserve"> PAGEREF _Toc130225984 \h </w:instrText>
              </w:r>
              <w:r>
                <w:rPr>
                  <w:noProof/>
                  <w:webHidden/>
                </w:rPr>
              </w:r>
              <w:r>
                <w:rPr>
                  <w:noProof/>
                  <w:webHidden/>
                </w:rPr>
                <w:fldChar w:fldCharType="separate"/>
              </w:r>
              <w:r w:rsidR="00D26320">
                <w:rPr>
                  <w:noProof/>
                  <w:webHidden/>
                </w:rPr>
                <w:t>93</w:t>
              </w:r>
              <w:r>
                <w:rPr>
                  <w:noProof/>
                  <w:webHidden/>
                </w:rPr>
                <w:fldChar w:fldCharType="end"/>
              </w:r>
            </w:hyperlink>
          </w:p>
          <w:p w14:paraId="6A153C37" w14:textId="166A9C1A"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5" w:history="1">
              <w:r w:rsidRPr="001948F8">
                <w:rPr>
                  <w:rStyle w:val="Hyperlink"/>
                  <w:noProof/>
                </w:rPr>
                <w:t>7.3</w:t>
              </w:r>
              <w:r>
                <w:rPr>
                  <w:rFonts w:eastAsiaTheme="minorEastAsia"/>
                  <w:noProof/>
                  <w:sz w:val="22"/>
                  <w:szCs w:val="22"/>
                  <w:lang w:eastAsia="en-AU"/>
                </w:rPr>
                <w:tab/>
              </w:r>
              <w:r w:rsidRPr="001948F8">
                <w:rPr>
                  <w:rStyle w:val="Hyperlink"/>
                  <w:noProof/>
                </w:rPr>
                <w:t>Cash flow information and balances</w:t>
              </w:r>
              <w:r>
                <w:rPr>
                  <w:noProof/>
                  <w:webHidden/>
                </w:rPr>
                <w:tab/>
              </w:r>
              <w:r>
                <w:rPr>
                  <w:noProof/>
                  <w:webHidden/>
                </w:rPr>
                <w:fldChar w:fldCharType="begin"/>
              </w:r>
              <w:r>
                <w:rPr>
                  <w:noProof/>
                  <w:webHidden/>
                </w:rPr>
                <w:instrText xml:space="preserve"> PAGEREF _Toc130225985 \h </w:instrText>
              </w:r>
              <w:r>
                <w:rPr>
                  <w:noProof/>
                  <w:webHidden/>
                </w:rPr>
              </w:r>
              <w:r>
                <w:rPr>
                  <w:noProof/>
                  <w:webHidden/>
                </w:rPr>
                <w:fldChar w:fldCharType="separate"/>
              </w:r>
              <w:r w:rsidR="00D26320">
                <w:rPr>
                  <w:noProof/>
                  <w:webHidden/>
                </w:rPr>
                <w:t>98</w:t>
              </w:r>
              <w:r>
                <w:rPr>
                  <w:noProof/>
                  <w:webHidden/>
                </w:rPr>
                <w:fldChar w:fldCharType="end"/>
              </w:r>
            </w:hyperlink>
          </w:p>
          <w:p w14:paraId="4BB3EC83" w14:textId="18E46C34"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6" w:history="1">
              <w:r w:rsidRPr="001948F8">
                <w:rPr>
                  <w:rStyle w:val="Hyperlink"/>
                  <w:noProof/>
                </w:rPr>
                <w:t>7.4</w:t>
              </w:r>
              <w:r>
                <w:rPr>
                  <w:rFonts w:eastAsiaTheme="minorEastAsia"/>
                  <w:noProof/>
                  <w:sz w:val="22"/>
                  <w:szCs w:val="22"/>
                  <w:lang w:eastAsia="en-AU"/>
                </w:rPr>
                <w:tab/>
              </w:r>
              <w:r w:rsidRPr="001948F8">
                <w:rPr>
                  <w:rStyle w:val="Hyperlink"/>
                  <w:noProof/>
                </w:rPr>
                <w:t>Trust account balances</w:t>
              </w:r>
              <w:r>
                <w:rPr>
                  <w:noProof/>
                  <w:webHidden/>
                </w:rPr>
                <w:tab/>
              </w:r>
              <w:r>
                <w:rPr>
                  <w:noProof/>
                  <w:webHidden/>
                </w:rPr>
                <w:fldChar w:fldCharType="begin"/>
              </w:r>
              <w:r>
                <w:rPr>
                  <w:noProof/>
                  <w:webHidden/>
                </w:rPr>
                <w:instrText xml:space="preserve"> PAGEREF _Toc130225986 \h </w:instrText>
              </w:r>
              <w:r>
                <w:rPr>
                  <w:noProof/>
                  <w:webHidden/>
                </w:rPr>
              </w:r>
              <w:r>
                <w:rPr>
                  <w:noProof/>
                  <w:webHidden/>
                </w:rPr>
                <w:fldChar w:fldCharType="separate"/>
              </w:r>
              <w:r w:rsidR="00D26320">
                <w:rPr>
                  <w:noProof/>
                  <w:webHidden/>
                </w:rPr>
                <w:t>100</w:t>
              </w:r>
              <w:r>
                <w:rPr>
                  <w:noProof/>
                  <w:webHidden/>
                </w:rPr>
                <w:fldChar w:fldCharType="end"/>
              </w:r>
            </w:hyperlink>
          </w:p>
          <w:p w14:paraId="508531F5" w14:textId="4104A66C"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7" w:history="1">
              <w:r w:rsidRPr="001948F8">
                <w:rPr>
                  <w:rStyle w:val="Hyperlink"/>
                  <w:noProof/>
                </w:rPr>
                <w:t>7.5</w:t>
              </w:r>
              <w:r>
                <w:rPr>
                  <w:rFonts w:eastAsiaTheme="minorEastAsia"/>
                  <w:noProof/>
                  <w:sz w:val="22"/>
                  <w:szCs w:val="22"/>
                  <w:lang w:eastAsia="en-AU"/>
                </w:rPr>
                <w:tab/>
              </w:r>
              <w:r w:rsidRPr="001948F8">
                <w:rPr>
                  <w:rStyle w:val="Hyperlink"/>
                  <w:noProof/>
                </w:rPr>
                <w:t>Commitments for expenditure</w:t>
              </w:r>
              <w:r>
                <w:rPr>
                  <w:noProof/>
                  <w:webHidden/>
                </w:rPr>
                <w:tab/>
              </w:r>
              <w:r>
                <w:rPr>
                  <w:noProof/>
                  <w:webHidden/>
                </w:rPr>
                <w:fldChar w:fldCharType="begin"/>
              </w:r>
              <w:r>
                <w:rPr>
                  <w:noProof/>
                  <w:webHidden/>
                </w:rPr>
                <w:instrText xml:space="preserve"> PAGEREF _Toc130225987 \h </w:instrText>
              </w:r>
              <w:r>
                <w:rPr>
                  <w:noProof/>
                  <w:webHidden/>
                </w:rPr>
              </w:r>
              <w:r>
                <w:rPr>
                  <w:noProof/>
                  <w:webHidden/>
                </w:rPr>
                <w:fldChar w:fldCharType="separate"/>
              </w:r>
              <w:r w:rsidR="00D26320">
                <w:rPr>
                  <w:noProof/>
                  <w:webHidden/>
                </w:rPr>
                <w:t>103</w:t>
              </w:r>
              <w:r>
                <w:rPr>
                  <w:noProof/>
                  <w:webHidden/>
                </w:rPr>
                <w:fldChar w:fldCharType="end"/>
              </w:r>
            </w:hyperlink>
          </w:p>
          <w:p w14:paraId="20DA7213" w14:textId="186E4DDB"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88" w:history="1">
              <w:r w:rsidRPr="001948F8">
                <w:rPr>
                  <w:rStyle w:val="Hyperlink"/>
                  <w:noProof/>
                </w:rPr>
                <w:t>7.6</w:t>
              </w:r>
              <w:r>
                <w:rPr>
                  <w:rFonts w:eastAsiaTheme="minorEastAsia"/>
                  <w:noProof/>
                  <w:sz w:val="22"/>
                  <w:szCs w:val="22"/>
                  <w:lang w:eastAsia="en-AU"/>
                </w:rPr>
                <w:tab/>
              </w:r>
              <w:r w:rsidRPr="001948F8">
                <w:rPr>
                  <w:rStyle w:val="Hyperlink"/>
                  <w:noProof/>
                </w:rPr>
                <w:t>Assets pledged as security</w:t>
              </w:r>
              <w:r>
                <w:rPr>
                  <w:noProof/>
                  <w:webHidden/>
                </w:rPr>
                <w:tab/>
              </w:r>
              <w:r>
                <w:rPr>
                  <w:noProof/>
                  <w:webHidden/>
                </w:rPr>
                <w:fldChar w:fldCharType="begin"/>
              </w:r>
              <w:r>
                <w:rPr>
                  <w:noProof/>
                  <w:webHidden/>
                </w:rPr>
                <w:instrText xml:space="preserve"> PAGEREF _Toc130225988 \h </w:instrText>
              </w:r>
              <w:r>
                <w:rPr>
                  <w:noProof/>
                  <w:webHidden/>
                </w:rPr>
              </w:r>
              <w:r>
                <w:rPr>
                  <w:noProof/>
                  <w:webHidden/>
                </w:rPr>
                <w:fldChar w:fldCharType="separate"/>
              </w:r>
              <w:r w:rsidR="00D26320">
                <w:rPr>
                  <w:noProof/>
                  <w:webHidden/>
                </w:rPr>
                <w:t>109</w:t>
              </w:r>
              <w:r>
                <w:rPr>
                  <w:noProof/>
                  <w:webHidden/>
                </w:rPr>
                <w:fldChar w:fldCharType="end"/>
              </w:r>
            </w:hyperlink>
          </w:p>
          <w:p w14:paraId="4F5E5479" w14:textId="77571638" w:rsidR="003719CD" w:rsidRPr="00870BED" w:rsidRDefault="003719CD" w:rsidP="007D536F">
            <w:pPr>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4B83F9FF"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312F965C"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09A8083D"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940E38">
              <w:rPr>
                <w:rFonts w:ascii="Arial" w:eastAsia="Calibri" w:hAnsi="Arial" w:cs="Arial"/>
                <w:b/>
              </w:rPr>
              <w:t xml:space="preserve">8. </w:t>
            </w:r>
            <w:r>
              <w:tab/>
            </w:r>
            <w:r w:rsidRPr="00940E38">
              <w:rPr>
                <w:rFonts w:ascii="Arial" w:eastAsia="Calibri" w:hAnsi="Arial" w:cs="Arial"/>
                <w:b/>
              </w:rPr>
              <w:t>Risks, contingencies and valuation judgements</w:t>
            </w:r>
          </w:p>
        </w:tc>
        <w:tc>
          <w:tcPr>
            <w:tcW w:w="1246" w:type="dxa"/>
            <w:tcBorders>
              <w:top w:val="nil"/>
              <w:bottom w:val="nil"/>
            </w:tcBorders>
            <w:shd w:val="clear" w:color="auto" w:fill="E7E6E6" w:themeFill="background2"/>
          </w:tcPr>
          <w:p w14:paraId="0E50C436" w14:textId="4BFFB9FE"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w:instrText>
            </w:r>
            <w:r w:rsidRPr="00761CE8">
              <w:rPr>
                <w:b/>
                <w:bCs/>
              </w:rPr>
              <w:instrText xml:space="preserve">8 \h  \* MERGEFORMAT </w:instrText>
            </w:r>
            <w:r w:rsidRPr="00761CE8">
              <w:rPr>
                <w:b/>
                <w:bCs/>
              </w:rPr>
            </w:r>
            <w:r w:rsidRPr="00761CE8">
              <w:rPr>
                <w:b/>
                <w:bCs/>
              </w:rPr>
              <w:fldChar w:fldCharType="separate"/>
            </w:r>
            <w:r w:rsidR="00D26320">
              <w:rPr>
                <w:b/>
                <w:bCs/>
                <w:noProof/>
              </w:rPr>
              <w:t>110</w:t>
            </w:r>
            <w:r w:rsidRPr="00761CE8">
              <w:rPr>
                <w:b/>
                <w:bCs/>
              </w:rPr>
              <w:fldChar w:fldCharType="end"/>
            </w:r>
          </w:p>
        </w:tc>
      </w:tr>
      <w:tr w:rsidR="003719CD" w:rsidRPr="00940E38" w14:paraId="6F8EA94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211A9630" w14:textId="77777777" w:rsidR="003719CD" w:rsidRPr="00940E38" w:rsidRDefault="003719CD" w:rsidP="007D536F">
            <w:pPr>
              <w:rPr>
                <w:rFonts w:ascii="Arial" w:eastAsia="Calibri" w:hAnsi="Arial" w:cs="Arial"/>
              </w:rPr>
            </w:pPr>
          </w:p>
        </w:tc>
        <w:tc>
          <w:tcPr>
            <w:tcW w:w="8222" w:type="dxa"/>
            <w:gridSpan w:val="3"/>
            <w:tcBorders>
              <w:top w:val="nil"/>
              <w:bottom w:val="nil"/>
            </w:tcBorders>
            <w:shd w:val="clear" w:color="auto" w:fill="auto"/>
          </w:tcPr>
          <w:p w14:paraId="14006E28" w14:textId="77777777" w:rsidR="003719CD" w:rsidRPr="00940E38" w:rsidRDefault="003719CD" w:rsidP="007D536F">
            <w:pPr>
              <w:cnfStyle w:val="000000000000" w:firstRow="0" w:lastRow="0" w:firstColumn="0" w:lastColumn="0" w:oddVBand="0" w:evenVBand="0" w:oddHBand="0" w:evenHBand="0" w:firstRowFirstColumn="0" w:firstRowLastColumn="0" w:lastRowFirstColumn="0" w:lastRowLastColumn="0"/>
            </w:pPr>
            <w:r w:rsidRPr="00940E38">
              <w:t>Financial risk management, contingent assets and liabilities as well as fair value determination</w:t>
            </w:r>
          </w:p>
        </w:tc>
      </w:tr>
      <w:tr w:rsidR="003719CD" w:rsidRPr="00940E38" w14:paraId="69DB7E3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nil"/>
            </w:tcBorders>
          </w:tcPr>
          <w:p w14:paraId="4F010433" w14:textId="77777777" w:rsidR="003719CD" w:rsidRPr="00940E38" w:rsidRDefault="003719CD" w:rsidP="007D536F">
            <w:pPr>
              <w:rPr>
                <w:rFonts w:ascii="Arial" w:eastAsia="Calibri" w:hAnsi="Arial" w:cs="Arial"/>
              </w:rPr>
            </w:pPr>
          </w:p>
        </w:tc>
        <w:tc>
          <w:tcPr>
            <w:tcW w:w="8222" w:type="dxa"/>
            <w:gridSpan w:val="3"/>
            <w:tcBorders>
              <w:bottom w:val="nil"/>
            </w:tcBorders>
            <w:shd w:val="clear" w:color="auto" w:fill="auto"/>
          </w:tcPr>
          <w:p w14:paraId="7E3E9DEF" w14:textId="0C94CB96"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8 \* MERGEFORMAT </w:instrText>
            </w:r>
            <w:r w:rsidRPr="00940E38">
              <w:rPr>
                <w:noProof/>
              </w:rPr>
              <w:fldChar w:fldCharType="separate"/>
            </w:r>
            <w:hyperlink w:anchor="_Toc130225996" w:history="1">
              <w:r w:rsidR="00573524" w:rsidRPr="00B54B50">
                <w:rPr>
                  <w:rStyle w:val="Hyperlink"/>
                  <w:noProof/>
                </w:rPr>
                <w:t>8.1</w:t>
              </w:r>
              <w:r w:rsidR="00573524">
                <w:rPr>
                  <w:rFonts w:eastAsiaTheme="minorEastAsia"/>
                  <w:noProof/>
                  <w:sz w:val="22"/>
                  <w:szCs w:val="22"/>
                  <w:lang w:eastAsia="en-AU"/>
                </w:rPr>
                <w:tab/>
              </w:r>
              <w:r w:rsidR="00573524" w:rsidRPr="00B54B50">
                <w:rPr>
                  <w:rStyle w:val="Hyperlink"/>
                  <w:noProof/>
                </w:rPr>
                <w:t>Financial instruments specific disclosures</w:t>
              </w:r>
              <w:r w:rsidR="00573524">
                <w:rPr>
                  <w:noProof/>
                  <w:webHidden/>
                </w:rPr>
                <w:tab/>
              </w:r>
              <w:r w:rsidR="00573524">
                <w:rPr>
                  <w:noProof/>
                  <w:webHidden/>
                </w:rPr>
                <w:fldChar w:fldCharType="begin"/>
              </w:r>
              <w:r w:rsidR="00573524">
                <w:rPr>
                  <w:noProof/>
                  <w:webHidden/>
                </w:rPr>
                <w:instrText xml:space="preserve"> PAGEREF _Toc130225996 \h </w:instrText>
              </w:r>
              <w:r w:rsidR="00573524">
                <w:rPr>
                  <w:noProof/>
                  <w:webHidden/>
                </w:rPr>
              </w:r>
              <w:r w:rsidR="00573524">
                <w:rPr>
                  <w:noProof/>
                  <w:webHidden/>
                </w:rPr>
                <w:fldChar w:fldCharType="separate"/>
              </w:r>
              <w:r w:rsidR="00D26320">
                <w:rPr>
                  <w:noProof/>
                  <w:webHidden/>
                </w:rPr>
                <w:t>110</w:t>
              </w:r>
              <w:r w:rsidR="00573524">
                <w:rPr>
                  <w:noProof/>
                  <w:webHidden/>
                </w:rPr>
                <w:fldChar w:fldCharType="end"/>
              </w:r>
            </w:hyperlink>
          </w:p>
          <w:p w14:paraId="433DC69F" w14:textId="5FAFF3E2"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97" w:history="1">
              <w:r w:rsidRPr="00B54B50">
                <w:rPr>
                  <w:rStyle w:val="Hyperlink"/>
                  <w:noProof/>
                </w:rPr>
                <w:t>8.2</w:t>
              </w:r>
              <w:r>
                <w:rPr>
                  <w:rFonts w:eastAsiaTheme="minorEastAsia"/>
                  <w:noProof/>
                  <w:sz w:val="22"/>
                  <w:szCs w:val="22"/>
                  <w:lang w:eastAsia="en-AU"/>
                </w:rPr>
                <w:tab/>
              </w:r>
              <w:r w:rsidRPr="00B54B50">
                <w:rPr>
                  <w:rStyle w:val="Hyperlink"/>
                  <w:noProof/>
                </w:rPr>
                <w:t>Contingent assets and contingent liabilities</w:t>
              </w:r>
              <w:r>
                <w:rPr>
                  <w:noProof/>
                  <w:webHidden/>
                </w:rPr>
                <w:tab/>
              </w:r>
              <w:r>
                <w:rPr>
                  <w:noProof/>
                  <w:webHidden/>
                </w:rPr>
                <w:fldChar w:fldCharType="begin"/>
              </w:r>
              <w:r>
                <w:rPr>
                  <w:noProof/>
                  <w:webHidden/>
                </w:rPr>
                <w:instrText xml:space="preserve"> PAGEREF _Toc130225997 \h </w:instrText>
              </w:r>
              <w:r>
                <w:rPr>
                  <w:noProof/>
                  <w:webHidden/>
                </w:rPr>
              </w:r>
              <w:r>
                <w:rPr>
                  <w:noProof/>
                  <w:webHidden/>
                </w:rPr>
                <w:fldChar w:fldCharType="separate"/>
              </w:r>
              <w:r w:rsidR="00D26320">
                <w:rPr>
                  <w:noProof/>
                  <w:webHidden/>
                </w:rPr>
                <w:t>135</w:t>
              </w:r>
              <w:r>
                <w:rPr>
                  <w:noProof/>
                  <w:webHidden/>
                </w:rPr>
                <w:fldChar w:fldCharType="end"/>
              </w:r>
            </w:hyperlink>
          </w:p>
          <w:p w14:paraId="33F991B6" w14:textId="43470287"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5998" w:history="1">
              <w:r w:rsidRPr="00B54B50">
                <w:rPr>
                  <w:rStyle w:val="Hyperlink"/>
                  <w:noProof/>
                </w:rPr>
                <w:t>8.3</w:t>
              </w:r>
              <w:r>
                <w:rPr>
                  <w:rFonts w:eastAsiaTheme="minorEastAsia"/>
                  <w:noProof/>
                  <w:sz w:val="22"/>
                  <w:szCs w:val="22"/>
                  <w:lang w:eastAsia="en-AU"/>
                </w:rPr>
                <w:tab/>
              </w:r>
              <w:r w:rsidRPr="00B54B50">
                <w:rPr>
                  <w:rStyle w:val="Hyperlink"/>
                  <w:noProof/>
                </w:rPr>
                <w:t>Fair value determination</w:t>
              </w:r>
              <w:r>
                <w:rPr>
                  <w:noProof/>
                  <w:webHidden/>
                </w:rPr>
                <w:tab/>
              </w:r>
              <w:r>
                <w:rPr>
                  <w:noProof/>
                  <w:webHidden/>
                </w:rPr>
                <w:fldChar w:fldCharType="begin"/>
              </w:r>
              <w:r>
                <w:rPr>
                  <w:noProof/>
                  <w:webHidden/>
                </w:rPr>
                <w:instrText xml:space="preserve"> PAGEREF _Toc130225998 \h </w:instrText>
              </w:r>
              <w:r>
                <w:rPr>
                  <w:noProof/>
                  <w:webHidden/>
                </w:rPr>
              </w:r>
              <w:r>
                <w:rPr>
                  <w:noProof/>
                  <w:webHidden/>
                </w:rPr>
                <w:fldChar w:fldCharType="separate"/>
              </w:r>
              <w:r w:rsidR="00D26320">
                <w:rPr>
                  <w:noProof/>
                  <w:webHidden/>
                </w:rPr>
                <w:t>137</w:t>
              </w:r>
              <w:r>
                <w:rPr>
                  <w:noProof/>
                  <w:webHidden/>
                </w:rPr>
                <w:fldChar w:fldCharType="end"/>
              </w:r>
            </w:hyperlink>
          </w:p>
          <w:p w14:paraId="6D477835" w14:textId="0857C5B1"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r w:rsidR="003719CD" w:rsidRPr="00940E38" w14:paraId="630BB912"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top w:val="nil"/>
              <w:bottom w:val="nil"/>
            </w:tcBorders>
          </w:tcPr>
          <w:p w14:paraId="2485F2A7" w14:textId="77777777" w:rsidR="003719CD" w:rsidRPr="00940E38" w:rsidRDefault="003719CD" w:rsidP="007D536F">
            <w:pPr>
              <w:rPr>
                <w:rFonts w:ascii="Arial" w:eastAsia="Calibri" w:hAnsi="Arial" w:cs="Arial"/>
              </w:rPr>
            </w:pPr>
          </w:p>
        </w:tc>
        <w:tc>
          <w:tcPr>
            <w:tcW w:w="6976" w:type="dxa"/>
            <w:gridSpan w:val="2"/>
            <w:tcBorders>
              <w:top w:val="nil"/>
              <w:bottom w:val="nil"/>
            </w:tcBorders>
            <w:shd w:val="clear" w:color="auto" w:fill="E7E6E6" w:themeFill="background2"/>
          </w:tcPr>
          <w:p w14:paraId="41BAAF02" w14:textId="77777777" w:rsidR="003719CD" w:rsidRPr="00940E38" w:rsidRDefault="003719CD" w:rsidP="007D536F">
            <w:pPr>
              <w:tabs>
                <w:tab w:val="left" w:pos="573"/>
              </w:tabs>
              <w:cnfStyle w:val="000000000000" w:firstRow="0" w:lastRow="0" w:firstColumn="0" w:lastColumn="0" w:oddVBand="0" w:evenVBand="0" w:oddHBand="0" w:evenHBand="0" w:firstRowFirstColumn="0" w:firstRowLastColumn="0" w:lastRowFirstColumn="0" w:lastRowLastColumn="0"/>
              <w:rPr>
                <w:rFonts w:ascii="Arial" w:eastAsia="Calibri" w:hAnsi="Arial" w:cs="Arial"/>
                <w:i/>
              </w:rPr>
            </w:pPr>
            <w:r w:rsidRPr="00940E38">
              <w:rPr>
                <w:rFonts w:ascii="Arial" w:eastAsia="Calibri" w:hAnsi="Arial" w:cs="Arial"/>
                <w:b/>
              </w:rPr>
              <w:t xml:space="preserve">9. </w:t>
            </w:r>
            <w:r w:rsidRPr="00940E38">
              <w:rPr>
                <w:rFonts w:ascii="Arial" w:eastAsia="Calibri" w:hAnsi="Arial" w:cs="Arial"/>
                <w:b/>
              </w:rPr>
              <w:tab/>
              <w:t>Other disclosures</w:t>
            </w:r>
          </w:p>
        </w:tc>
        <w:tc>
          <w:tcPr>
            <w:tcW w:w="1246" w:type="dxa"/>
            <w:tcBorders>
              <w:top w:val="nil"/>
              <w:bottom w:val="nil"/>
            </w:tcBorders>
            <w:shd w:val="clear" w:color="auto" w:fill="E7E6E6" w:themeFill="background2"/>
          </w:tcPr>
          <w:p w14:paraId="31D8BE5D" w14:textId="1BB90D89" w:rsidR="003719CD" w:rsidRPr="00761CE8" w:rsidRDefault="003719CD" w:rsidP="007D536F">
            <w:pPr>
              <w:jc w:val="right"/>
              <w:cnfStyle w:val="000000000000" w:firstRow="0" w:lastRow="0" w:firstColumn="0" w:lastColumn="0" w:oddVBand="0" w:evenVBand="0" w:oddHBand="0" w:evenHBand="0" w:firstRowFirstColumn="0" w:firstRowLastColumn="0" w:lastRowFirstColumn="0" w:lastRowLastColumn="0"/>
              <w:rPr>
                <w:b/>
                <w:bCs/>
              </w:rPr>
            </w:pPr>
            <w:r w:rsidRPr="00761CE8">
              <w:rPr>
                <w:b/>
                <w:bCs/>
              </w:rPr>
              <w:fldChar w:fldCharType="begin"/>
            </w:r>
            <w:r w:rsidRPr="00761CE8">
              <w:rPr>
                <w:b/>
                <w:bCs/>
              </w:rPr>
              <w:instrText xml:space="preserve"> PAGEREF  Section</w:instrText>
            </w:r>
            <w:r>
              <w:rPr>
                <w:b/>
                <w:bCs/>
              </w:rPr>
              <w:instrText>_9</w:instrText>
            </w:r>
            <w:r w:rsidRPr="00761CE8">
              <w:rPr>
                <w:b/>
                <w:bCs/>
              </w:rPr>
              <w:instrText xml:space="preserve"> \h  \* MERGEFORMAT </w:instrText>
            </w:r>
            <w:r w:rsidRPr="00761CE8">
              <w:rPr>
                <w:b/>
                <w:bCs/>
              </w:rPr>
            </w:r>
            <w:r w:rsidRPr="00761CE8">
              <w:rPr>
                <w:b/>
                <w:bCs/>
              </w:rPr>
              <w:fldChar w:fldCharType="separate"/>
            </w:r>
            <w:r w:rsidR="00D26320">
              <w:rPr>
                <w:b/>
                <w:bCs/>
                <w:noProof/>
              </w:rPr>
              <w:t>157</w:t>
            </w:r>
            <w:r w:rsidRPr="00761CE8">
              <w:rPr>
                <w:b/>
                <w:bCs/>
              </w:rPr>
              <w:fldChar w:fldCharType="end"/>
            </w:r>
          </w:p>
        </w:tc>
      </w:tr>
      <w:tr w:rsidR="003719CD" w:rsidRPr="00940E38" w14:paraId="5C5E4BC7" w14:textId="77777777" w:rsidTr="007D536F">
        <w:trPr>
          <w:trHeight w:val="70"/>
        </w:trPr>
        <w:tc>
          <w:tcPr>
            <w:cnfStyle w:val="001000000000" w:firstRow="0" w:lastRow="0" w:firstColumn="1" w:lastColumn="0" w:oddVBand="0" w:evenVBand="0" w:oddHBand="0" w:evenHBand="0" w:firstRowFirstColumn="0" w:firstRowLastColumn="0" w:lastRowFirstColumn="0" w:lastRowLastColumn="0"/>
            <w:tcW w:w="1527" w:type="dxa"/>
            <w:tcBorders>
              <w:bottom w:val="single" w:sz="12" w:space="0" w:color="auto"/>
            </w:tcBorders>
          </w:tcPr>
          <w:p w14:paraId="53C7C5B9" w14:textId="77777777" w:rsidR="003719CD" w:rsidRPr="00940E38" w:rsidRDefault="003719CD" w:rsidP="007D536F">
            <w:pPr>
              <w:rPr>
                <w:rFonts w:ascii="Arial" w:eastAsia="Calibri" w:hAnsi="Arial" w:cs="Arial"/>
              </w:rPr>
            </w:pPr>
          </w:p>
        </w:tc>
        <w:tc>
          <w:tcPr>
            <w:tcW w:w="8222" w:type="dxa"/>
            <w:gridSpan w:val="3"/>
            <w:tcBorders>
              <w:top w:val="nil"/>
              <w:bottom w:val="single" w:sz="12" w:space="0" w:color="auto"/>
            </w:tcBorders>
            <w:shd w:val="clear" w:color="auto" w:fill="auto"/>
          </w:tcPr>
          <w:p w14:paraId="4DB0E8A5" w14:textId="7D4D09D8" w:rsidR="00573524" w:rsidRDefault="003719CD"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r w:rsidRPr="00940E38">
              <w:rPr>
                <w:noProof/>
              </w:rPr>
              <w:fldChar w:fldCharType="begin"/>
            </w:r>
            <w:r w:rsidRPr="00940E38">
              <w:instrText xml:space="preserve"> TOC \h \z \t "Heading 2 </w:instrText>
            </w:r>
            <w:r>
              <w:instrText>[#]</w:instrText>
            </w:r>
            <w:r w:rsidRPr="00940E38">
              <w:instrText>,8" \b Section</w:instrText>
            </w:r>
            <w:r>
              <w:instrText>_</w:instrText>
            </w:r>
            <w:r w:rsidRPr="00940E38">
              <w:instrText xml:space="preserve">9 \* MERGEFORMAT </w:instrText>
            </w:r>
            <w:r w:rsidRPr="00940E38">
              <w:rPr>
                <w:noProof/>
              </w:rPr>
              <w:fldChar w:fldCharType="separate"/>
            </w:r>
            <w:hyperlink w:anchor="_Toc130226007" w:history="1">
              <w:r w:rsidR="00573524" w:rsidRPr="00526D3B">
                <w:rPr>
                  <w:rStyle w:val="Hyperlink"/>
                  <w:noProof/>
                </w:rPr>
                <w:t>9.1</w:t>
              </w:r>
              <w:r w:rsidR="00573524">
                <w:rPr>
                  <w:rFonts w:eastAsiaTheme="minorEastAsia"/>
                  <w:noProof/>
                  <w:sz w:val="22"/>
                  <w:szCs w:val="22"/>
                  <w:lang w:eastAsia="en-AU"/>
                </w:rPr>
                <w:tab/>
              </w:r>
              <w:r w:rsidR="00573524" w:rsidRPr="00526D3B">
                <w:rPr>
                  <w:rStyle w:val="Hyperlink"/>
                  <w:noProof/>
                </w:rPr>
                <w:t>Ex gratia expenses</w:t>
              </w:r>
              <w:r w:rsidR="00573524">
                <w:rPr>
                  <w:noProof/>
                  <w:webHidden/>
                </w:rPr>
                <w:tab/>
              </w:r>
              <w:r w:rsidR="00573524">
                <w:rPr>
                  <w:noProof/>
                  <w:webHidden/>
                </w:rPr>
                <w:fldChar w:fldCharType="begin"/>
              </w:r>
              <w:r w:rsidR="00573524">
                <w:rPr>
                  <w:noProof/>
                  <w:webHidden/>
                </w:rPr>
                <w:instrText xml:space="preserve"> PAGEREF _Toc130226007 \h </w:instrText>
              </w:r>
              <w:r w:rsidR="00573524">
                <w:rPr>
                  <w:noProof/>
                  <w:webHidden/>
                </w:rPr>
              </w:r>
              <w:r w:rsidR="00573524">
                <w:rPr>
                  <w:noProof/>
                  <w:webHidden/>
                </w:rPr>
                <w:fldChar w:fldCharType="separate"/>
              </w:r>
              <w:r w:rsidR="00D26320">
                <w:rPr>
                  <w:noProof/>
                  <w:webHidden/>
                </w:rPr>
                <w:t>157</w:t>
              </w:r>
              <w:r w:rsidR="00573524">
                <w:rPr>
                  <w:noProof/>
                  <w:webHidden/>
                </w:rPr>
                <w:fldChar w:fldCharType="end"/>
              </w:r>
            </w:hyperlink>
          </w:p>
          <w:p w14:paraId="16D9F02A" w14:textId="2F85C5EC"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08" w:history="1">
              <w:r w:rsidRPr="00526D3B">
                <w:rPr>
                  <w:rStyle w:val="Hyperlink"/>
                  <w:noProof/>
                </w:rPr>
                <w:t>9.2</w:t>
              </w:r>
              <w:r>
                <w:rPr>
                  <w:rFonts w:eastAsiaTheme="minorEastAsia"/>
                  <w:noProof/>
                  <w:sz w:val="22"/>
                  <w:szCs w:val="22"/>
                  <w:lang w:eastAsia="en-AU"/>
                </w:rPr>
                <w:tab/>
              </w:r>
              <w:r w:rsidRPr="00526D3B">
                <w:rPr>
                  <w:rStyle w:val="Hyperlink"/>
                  <w:noProof/>
                </w:rPr>
                <w:t>Other economic flows included in net result</w:t>
              </w:r>
              <w:r>
                <w:rPr>
                  <w:noProof/>
                  <w:webHidden/>
                </w:rPr>
                <w:tab/>
              </w:r>
              <w:r>
                <w:rPr>
                  <w:noProof/>
                  <w:webHidden/>
                </w:rPr>
                <w:fldChar w:fldCharType="begin"/>
              </w:r>
              <w:r>
                <w:rPr>
                  <w:noProof/>
                  <w:webHidden/>
                </w:rPr>
                <w:instrText xml:space="preserve"> PAGEREF _Toc130226008 \h </w:instrText>
              </w:r>
              <w:r>
                <w:rPr>
                  <w:noProof/>
                  <w:webHidden/>
                </w:rPr>
              </w:r>
              <w:r>
                <w:rPr>
                  <w:noProof/>
                  <w:webHidden/>
                </w:rPr>
                <w:fldChar w:fldCharType="separate"/>
              </w:r>
              <w:r w:rsidR="00D26320">
                <w:rPr>
                  <w:noProof/>
                  <w:webHidden/>
                </w:rPr>
                <w:t>158</w:t>
              </w:r>
              <w:r>
                <w:rPr>
                  <w:noProof/>
                  <w:webHidden/>
                </w:rPr>
                <w:fldChar w:fldCharType="end"/>
              </w:r>
            </w:hyperlink>
          </w:p>
          <w:p w14:paraId="41DF3627" w14:textId="2E0AC673"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09" w:history="1">
              <w:r w:rsidRPr="00526D3B">
                <w:rPr>
                  <w:rStyle w:val="Hyperlink"/>
                  <w:noProof/>
                </w:rPr>
                <w:t>9.3</w:t>
              </w:r>
              <w:r>
                <w:rPr>
                  <w:rFonts w:eastAsiaTheme="minorEastAsia"/>
                  <w:noProof/>
                  <w:sz w:val="22"/>
                  <w:szCs w:val="22"/>
                  <w:lang w:eastAsia="en-AU"/>
                </w:rPr>
                <w:tab/>
              </w:r>
              <w:r w:rsidRPr="00526D3B">
                <w:rPr>
                  <w:rStyle w:val="Hyperlink"/>
                  <w:noProof/>
                </w:rPr>
                <w:t xml:space="preserve">Discontinued operations and non-current assets held for sale </w:t>
              </w:r>
              <w:r>
                <w:rPr>
                  <w:noProof/>
                  <w:webHidden/>
                </w:rPr>
                <w:tab/>
              </w:r>
              <w:r>
                <w:rPr>
                  <w:noProof/>
                  <w:webHidden/>
                </w:rPr>
                <w:fldChar w:fldCharType="begin"/>
              </w:r>
              <w:r>
                <w:rPr>
                  <w:noProof/>
                  <w:webHidden/>
                </w:rPr>
                <w:instrText xml:space="preserve"> PAGEREF _Toc130226009 \h </w:instrText>
              </w:r>
              <w:r>
                <w:rPr>
                  <w:noProof/>
                  <w:webHidden/>
                </w:rPr>
              </w:r>
              <w:r>
                <w:rPr>
                  <w:noProof/>
                  <w:webHidden/>
                </w:rPr>
                <w:fldChar w:fldCharType="separate"/>
              </w:r>
              <w:r w:rsidR="00D26320">
                <w:rPr>
                  <w:noProof/>
                  <w:webHidden/>
                </w:rPr>
                <w:t>159</w:t>
              </w:r>
              <w:r>
                <w:rPr>
                  <w:noProof/>
                  <w:webHidden/>
                </w:rPr>
                <w:fldChar w:fldCharType="end"/>
              </w:r>
            </w:hyperlink>
          </w:p>
          <w:p w14:paraId="2B2D472B" w14:textId="410473DF"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0" w:history="1">
              <w:r w:rsidRPr="00526D3B">
                <w:rPr>
                  <w:rStyle w:val="Hyperlink"/>
                  <w:noProof/>
                </w:rPr>
                <w:t>9.4</w:t>
              </w:r>
              <w:r>
                <w:rPr>
                  <w:rFonts w:eastAsiaTheme="minorEastAsia"/>
                  <w:noProof/>
                  <w:sz w:val="22"/>
                  <w:szCs w:val="22"/>
                  <w:lang w:eastAsia="en-AU"/>
                </w:rPr>
                <w:tab/>
              </w:r>
              <w:r w:rsidRPr="00526D3B">
                <w:rPr>
                  <w:rStyle w:val="Hyperlink"/>
                  <w:noProof/>
                </w:rPr>
                <w:t>Reserves</w:t>
              </w:r>
              <w:r>
                <w:rPr>
                  <w:noProof/>
                  <w:webHidden/>
                </w:rPr>
                <w:tab/>
              </w:r>
              <w:r>
                <w:rPr>
                  <w:noProof/>
                  <w:webHidden/>
                </w:rPr>
                <w:fldChar w:fldCharType="begin"/>
              </w:r>
              <w:r>
                <w:rPr>
                  <w:noProof/>
                  <w:webHidden/>
                </w:rPr>
                <w:instrText xml:space="preserve"> PAGEREF _Toc130226010 \h </w:instrText>
              </w:r>
              <w:r>
                <w:rPr>
                  <w:noProof/>
                  <w:webHidden/>
                </w:rPr>
              </w:r>
              <w:r>
                <w:rPr>
                  <w:noProof/>
                  <w:webHidden/>
                </w:rPr>
                <w:fldChar w:fldCharType="separate"/>
              </w:r>
              <w:r w:rsidR="00D26320">
                <w:rPr>
                  <w:noProof/>
                  <w:webHidden/>
                </w:rPr>
                <w:t>163</w:t>
              </w:r>
              <w:r>
                <w:rPr>
                  <w:noProof/>
                  <w:webHidden/>
                </w:rPr>
                <w:fldChar w:fldCharType="end"/>
              </w:r>
            </w:hyperlink>
          </w:p>
          <w:p w14:paraId="030FFDAA" w14:textId="7C6AF100"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1" w:history="1">
              <w:r w:rsidRPr="00526D3B">
                <w:rPr>
                  <w:rStyle w:val="Hyperlink"/>
                  <w:noProof/>
                </w:rPr>
                <w:t>9.5</w:t>
              </w:r>
              <w:r>
                <w:rPr>
                  <w:rFonts w:eastAsiaTheme="minorEastAsia"/>
                  <w:noProof/>
                  <w:sz w:val="22"/>
                  <w:szCs w:val="22"/>
                  <w:lang w:eastAsia="en-AU"/>
                </w:rPr>
                <w:tab/>
              </w:r>
              <w:r w:rsidRPr="00526D3B">
                <w:rPr>
                  <w:rStyle w:val="Hyperlink"/>
                  <w:noProof/>
                </w:rPr>
                <w:t>Entities consolidated pursuant to section 53(1)(b) of the FMA</w:t>
              </w:r>
              <w:r>
                <w:rPr>
                  <w:noProof/>
                  <w:webHidden/>
                </w:rPr>
                <w:tab/>
              </w:r>
              <w:r>
                <w:rPr>
                  <w:noProof/>
                  <w:webHidden/>
                </w:rPr>
                <w:fldChar w:fldCharType="begin"/>
              </w:r>
              <w:r>
                <w:rPr>
                  <w:noProof/>
                  <w:webHidden/>
                </w:rPr>
                <w:instrText xml:space="preserve"> PAGEREF _Toc130226011 \h </w:instrText>
              </w:r>
              <w:r>
                <w:rPr>
                  <w:noProof/>
                  <w:webHidden/>
                </w:rPr>
              </w:r>
              <w:r>
                <w:rPr>
                  <w:noProof/>
                  <w:webHidden/>
                </w:rPr>
                <w:fldChar w:fldCharType="separate"/>
              </w:r>
              <w:r w:rsidR="00D26320">
                <w:rPr>
                  <w:noProof/>
                  <w:webHidden/>
                </w:rPr>
                <w:t>165</w:t>
              </w:r>
              <w:r>
                <w:rPr>
                  <w:noProof/>
                  <w:webHidden/>
                </w:rPr>
                <w:fldChar w:fldCharType="end"/>
              </w:r>
            </w:hyperlink>
          </w:p>
          <w:p w14:paraId="17830959" w14:textId="4F7E17F7"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2" w:history="1">
              <w:r w:rsidRPr="00526D3B">
                <w:rPr>
                  <w:rStyle w:val="Hyperlink"/>
                  <w:noProof/>
                </w:rPr>
                <w:t>9.6</w:t>
              </w:r>
              <w:r>
                <w:rPr>
                  <w:rFonts w:eastAsiaTheme="minorEastAsia"/>
                  <w:noProof/>
                  <w:sz w:val="22"/>
                  <w:szCs w:val="22"/>
                  <w:lang w:eastAsia="en-AU"/>
                </w:rPr>
                <w:tab/>
              </w:r>
              <w:r w:rsidRPr="00526D3B">
                <w:rPr>
                  <w:rStyle w:val="Hyperlink"/>
                  <w:noProof/>
                </w:rPr>
                <w:t>Correction of a prior period error</w:t>
              </w:r>
              <w:r>
                <w:rPr>
                  <w:noProof/>
                  <w:webHidden/>
                </w:rPr>
                <w:tab/>
              </w:r>
              <w:r>
                <w:rPr>
                  <w:noProof/>
                  <w:webHidden/>
                </w:rPr>
                <w:fldChar w:fldCharType="begin"/>
              </w:r>
              <w:r>
                <w:rPr>
                  <w:noProof/>
                  <w:webHidden/>
                </w:rPr>
                <w:instrText xml:space="preserve"> PAGEREF _Toc130226012 \h </w:instrText>
              </w:r>
              <w:r>
                <w:rPr>
                  <w:noProof/>
                  <w:webHidden/>
                </w:rPr>
              </w:r>
              <w:r>
                <w:rPr>
                  <w:noProof/>
                  <w:webHidden/>
                </w:rPr>
                <w:fldChar w:fldCharType="separate"/>
              </w:r>
              <w:r w:rsidR="00D26320">
                <w:rPr>
                  <w:noProof/>
                  <w:webHidden/>
                </w:rPr>
                <w:t>165</w:t>
              </w:r>
              <w:r>
                <w:rPr>
                  <w:noProof/>
                  <w:webHidden/>
                </w:rPr>
                <w:fldChar w:fldCharType="end"/>
              </w:r>
            </w:hyperlink>
          </w:p>
          <w:p w14:paraId="190A63B8" w14:textId="0DA163DC"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3" w:history="1">
              <w:r w:rsidRPr="00526D3B">
                <w:rPr>
                  <w:rStyle w:val="Hyperlink"/>
                  <w:noProof/>
                </w:rPr>
                <w:t>9.7</w:t>
              </w:r>
              <w:r>
                <w:rPr>
                  <w:rFonts w:eastAsiaTheme="minorEastAsia"/>
                  <w:noProof/>
                  <w:sz w:val="22"/>
                  <w:szCs w:val="22"/>
                  <w:lang w:eastAsia="en-AU"/>
                </w:rPr>
                <w:tab/>
              </w:r>
              <w:r w:rsidRPr="00526D3B">
                <w:rPr>
                  <w:rStyle w:val="Hyperlink"/>
                  <w:noProof/>
                </w:rPr>
                <w:t>Responsible persons</w:t>
              </w:r>
              <w:r>
                <w:rPr>
                  <w:noProof/>
                  <w:webHidden/>
                </w:rPr>
                <w:tab/>
              </w:r>
              <w:r>
                <w:rPr>
                  <w:noProof/>
                  <w:webHidden/>
                </w:rPr>
                <w:fldChar w:fldCharType="begin"/>
              </w:r>
              <w:r>
                <w:rPr>
                  <w:noProof/>
                  <w:webHidden/>
                </w:rPr>
                <w:instrText xml:space="preserve"> PAGEREF _Toc130226013 \h </w:instrText>
              </w:r>
              <w:r>
                <w:rPr>
                  <w:noProof/>
                  <w:webHidden/>
                </w:rPr>
              </w:r>
              <w:r>
                <w:rPr>
                  <w:noProof/>
                  <w:webHidden/>
                </w:rPr>
                <w:fldChar w:fldCharType="separate"/>
              </w:r>
              <w:r w:rsidR="00D26320">
                <w:rPr>
                  <w:noProof/>
                  <w:webHidden/>
                </w:rPr>
                <w:t>170</w:t>
              </w:r>
              <w:r>
                <w:rPr>
                  <w:noProof/>
                  <w:webHidden/>
                </w:rPr>
                <w:fldChar w:fldCharType="end"/>
              </w:r>
            </w:hyperlink>
          </w:p>
          <w:p w14:paraId="3EA03FCB" w14:textId="7A950132"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4" w:history="1">
              <w:r w:rsidRPr="00526D3B">
                <w:rPr>
                  <w:rStyle w:val="Hyperlink"/>
                  <w:noProof/>
                </w:rPr>
                <w:t>9.8</w:t>
              </w:r>
              <w:r>
                <w:rPr>
                  <w:rFonts w:eastAsiaTheme="minorEastAsia"/>
                  <w:noProof/>
                  <w:sz w:val="22"/>
                  <w:szCs w:val="22"/>
                  <w:lang w:eastAsia="en-AU"/>
                </w:rPr>
                <w:tab/>
              </w:r>
              <w:r w:rsidRPr="00526D3B">
                <w:rPr>
                  <w:rStyle w:val="Hyperlink"/>
                  <w:noProof/>
                </w:rPr>
                <w:t>Remuneration of executives</w:t>
              </w:r>
              <w:r>
                <w:rPr>
                  <w:noProof/>
                  <w:webHidden/>
                </w:rPr>
                <w:tab/>
              </w:r>
              <w:r>
                <w:rPr>
                  <w:noProof/>
                  <w:webHidden/>
                </w:rPr>
                <w:fldChar w:fldCharType="begin"/>
              </w:r>
              <w:r>
                <w:rPr>
                  <w:noProof/>
                  <w:webHidden/>
                </w:rPr>
                <w:instrText xml:space="preserve"> PAGEREF _Toc130226014 \h </w:instrText>
              </w:r>
              <w:r>
                <w:rPr>
                  <w:noProof/>
                  <w:webHidden/>
                </w:rPr>
              </w:r>
              <w:r>
                <w:rPr>
                  <w:noProof/>
                  <w:webHidden/>
                </w:rPr>
                <w:fldChar w:fldCharType="separate"/>
              </w:r>
              <w:r w:rsidR="00D26320">
                <w:rPr>
                  <w:noProof/>
                  <w:webHidden/>
                </w:rPr>
                <w:t>170</w:t>
              </w:r>
              <w:r>
                <w:rPr>
                  <w:noProof/>
                  <w:webHidden/>
                </w:rPr>
                <w:fldChar w:fldCharType="end"/>
              </w:r>
            </w:hyperlink>
          </w:p>
          <w:p w14:paraId="24BC2032" w14:textId="7AA56635"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5" w:history="1">
              <w:r w:rsidRPr="00526D3B">
                <w:rPr>
                  <w:rStyle w:val="Hyperlink"/>
                  <w:noProof/>
                </w:rPr>
                <w:t>9.9</w:t>
              </w:r>
              <w:r>
                <w:rPr>
                  <w:rFonts w:eastAsiaTheme="minorEastAsia"/>
                  <w:noProof/>
                  <w:sz w:val="22"/>
                  <w:szCs w:val="22"/>
                  <w:lang w:eastAsia="en-AU"/>
                </w:rPr>
                <w:tab/>
              </w:r>
              <w:r w:rsidRPr="00526D3B">
                <w:rPr>
                  <w:rStyle w:val="Hyperlink"/>
                  <w:noProof/>
                </w:rPr>
                <w:t>Related parties</w:t>
              </w:r>
              <w:r>
                <w:rPr>
                  <w:noProof/>
                  <w:webHidden/>
                </w:rPr>
                <w:tab/>
              </w:r>
              <w:r>
                <w:rPr>
                  <w:noProof/>
                  <w:webHidden/>
                </w:rPr>
                <w:fldChar w:fldCharType="begin"/>
              </w:r>
              <w:r>
                <w:rPr>
                  <w:noProof/>
                  <w:webHidden/>
                </w:rPr>
                <w:instrText xml:space="preserve"> PAGEREF _Toc130226015 \h </w:instrText>
              </w:r>
              <w:r>
                <w:rPr>
                  <w:noProof/>
                  <w:webHidden/>
                </w:rPr>
              </w:r>
              <w:r>
                <w:rPr>
                  <w:noProof/>
                  <w:webHidden/>
                </w:rPr>
                <w:fldChar w:fldCharType="separate"/>
              </w:r>
              <w:r w:rsidR="00D26320">
                <w:rPr>
                  <w:noProof/>
                  <w:webHidden/>
                </w:rPr>
                <w:t>173</w:t>
              </w:r>
              <w:r>
                <w:rPr>
                  <w:noProof/>
                  <w:webHidden/>
                </w:rPr>
                <w:fldChar w:fldCharType="end"/>
              </w:r>
            </w:hyperlink>
          </w:p>
          <w:p w14:paraId="602BE2A6" w14:textId="0E5AAC76"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6" w:history="1">
              <w:r w:rsidRPr="00526D3B">
                <w:rPr>
                  <w:rStyle w:val="Hyperlink"/>
                  <w:noProof/>
                </w:rPr>
                <w:t>9.10</w:t>
              </w:r>
              <w:r>
                <w:rPr>
                  <w:rFonts w:eastAsiaTheme="minorEastAsia"/>
                  <w:noProof/>
                  <w:sz w:val="22"/>
                  <w:szCs w:val="22"/>
                  <w:lang w:eastAsia="en-AU"/>
                </w:rPr>
                <w:tab/>
              </w:r>
              <w:r w:rsidRPr="00526D3B">
                <w:rPr>
                  <w:rStyle w:val="Hyperlink"/>
                  <w:noProof/>
                </w:rPr>
                <w:t>Remuneration of auditors</w:t>
              </w:r>
              <w:r>
                <w:rPr>
                  <w:noProof/>
                  <w:webHidden/>
                </w:rPr>
                <w:tab/>
              </w:r>
              <w:r>
                <w:rPr>
                  <w:noProof/>
                  <w:webHidden/>
                </w:rPr>
                <w:fldChar w:fldCharType="begin"/>
              </w:r>
              <w:r>
                <w:rPr>
                  <w:noProof/>
                  <w:webHidden/>
                </w:rPr>
                <w:instrText xml:space="preserve"> PAGEREF _Toc130226016 \h </w:instrText>
              </w:r>
              <w:r>
                <w:rPr>
                  <w:noProof/>
                  <w:webHidden/>
                </w:rPr>
              </w:r>
              <w:r>
                <w:rPr>
                  <w:noProof/>
                  <w:webHidden/>
                </w:rPr>
                <w:fldChar w:fldCharType="separate"/>
              </w:r>
              <w:r w:rsidR="00D26320">
                <w:rPr>
                  <w:noProof/>
                  <w:webHidden/>
                </w:rPr>
                <w:t>177</w:t>
              </w:r>
              <w:r>
                <w:rPr>
                  <w:noProof/>
                  <w:webHidden/>
                </w:rPr>
                <w:fldChar w:fldCharType="end"/>
              </w:r>
            </w:hyperlink>
          </w:p>
          <w:p w14:paraId="0EA2D4E5" w14:textId="0166CCF2"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7" w:history="1">
              <w:r w:rsidRPr="00526D3B">
                <w:rPr>
                  <w:rStyle w:val="Hyperlink"/>
                  <w:noProof/>
                </w:rPr>
                <w:t>9.11</w:t>
              </w:r>
              <w:r>
                <w:rPr>
                  <w:rFonts w:eastAsiaTheme="minorEastAsia"/>
                  <w:noProof/>
                  <w:sz w:val="22"/>
                  <w:szCs w:val="22"/>
                  <w:lang w:eastAsia="en-AU"/>
                </w:rPr>
                <w:tab/>
              </w:r>
              <w:r w:rsidRPr="00526D3B">
                <w:rPr>
                  <w:rStyle w:val="Hyperlink"/>
                  <w:noProof/>
                </w:rPr>
                <w:t>Subsequent events</w:t>
              </w:r>
              <w:r>
                <w:rPr>
                  <w:noProof/>
                  <w:webHidden/>
                </w:rPr>
                <w:tab/>
              </w:r>
              <w:r>
                <w:rPr>
                  <w:noProof/>
                  <w:webHidden/>
                </w:rPr>
                <w:fldChar w:fldCharType="begin"/>
              </w:r>
              <w:r>
                <w:rPr>
                  <w:noProof/>
                  <w:webHidden/>
                </w:rPr>
                <w:instrText xml:space="preserve"> PAGEREF _Toc130226017 \h </w:instrText>
              </w:r>
              <w:r>
                <w:rPr>
                  <w:noProof/>
                  <w:webHidden/>
                </w:rPr>
              </w:r>
              <w:r>
                <w:rPr>
                  <w:noProof/>
                  <w:webHidden/>
                </w:rPr>
                <w:fldChar w:fldCharType="separate"/>
              </w:r>
              <w:r w:rsidR="00D26320">
                <w:rPr>
                  <w:noProof/>
                  <w:webHidden/>
                </w:rPr>
                <w:t>178</w:t>
              </w:r>
              <w:r>
                <w:rPr>
                  <w:noProof/>
                  <w:webHidden/>
                </w:rPr>
                <w:fldChar w:fldCharType="end"/>
              </w:r>
            </w:hyperlink>
          </w:p>
          <w:p w14:paraId="17CE1FD3" w14:textId="75237B01"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8" w:history="1">
              <w:r w:rsidRPr="00526D3B">
                <w:rPr>
                  <w:rStyle w:val="Hyperlink"/>
                  <w:noProof/>
                </w:rPr>
                <w:t>9.12</w:t>
              </w:r>
              <w:r>
                <w:rPr>
                  <w:rFonts w:eastAsiaTheme="minorEastAsia"/>
                  <w:noProof/>
                  <w:sz w:val="22"/>
                  <w:szCs w:val="22"/>
                  <w:lang w:eastAsia="en-AU"/>
                </w:rPr>
                <w:tab/>
              </w:r>
              <w:r w:rsidRPr="00526D3B">
                <w:rPr>
                  <w:rStyle w:val="Hyperlink"/>
                  <w:noProof/>
                </w:rPr>
                <w:t>Other accounting policies</w:t>
              </w:r>
              <w:r>
                <w:rPr>
                  <w:noProof/>
                  <w:webHidden/>
                </w:rPr>
                <w:tab/>
              </w:r>
              <w:r>
                <w:rPr>
                  <w:noProof/>
                  <w:webHidden/>
                </w:rPr>
                <w:fldChar w:fldCharType="begin"/>
              </w:r>
              <w:r>
                <w:rPr>
                  <w:noProof/>
                  <w:webHidden/>
                </w:rPr>
                <w:instrText xml:space="preserve"> PAGEREF _Toc130226018 \h </w:instrText>
              </w:r>
              <w:r>
                <w:rPr>
                  <w:noProof/>
                  <w:webHidden/>
                </w:rPr>
              </w:r>
              <w:r>
                <w:rPr>
                  <w:noProof/>
                  <w:webHidden/>
                </w:rPr>
                <w:fldChar w:fldCharType="separate"/>
              </w:r>
              <w:r w:rsidR="00D26320">
                <w:rPr>
                  <w:noProof/>
                  <w:webHidden/>
                </w:rPr>
                <w:t>179</w:t>
              </w:r>
              <w:r>
                <w:rPr>
                  <w:noProof/>
                  <w:webHidden/>
                </w:rPr>
                <w:fldChar w:fldCharType="end"/>
              </w:r>
            </w:hyperlink>
          </w:p>
          <w:p w14:paraId="59A791D4" w14:textId="50778199"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19" w:history="1">
              <w:r w:rsidRPr="00526D3B">
                <w:rPr>
                  <w:rStyle w:val="Hyperlink"/>
                  <w:noProof/>
                </w:rPr>
                <w:t>9.13</w:t>
              </w:r>
              <w:r>
                <w:rPr>
                  <w:rFonts w:eastAsiaTheme="minorEastAsia"/>
                  <w:noProof/>
                  <w:sz w:val="22"/>
                  <w:szCs w:val="22"/>
                  <w:lang w:eastAsia="en-AU"/>
                </w:rPr>
                <w:tab/>
              </w:r>
              <w:r w:rsidRPr="00526D3B">
                <w:rPr>
                  <w:rStyle w:val="Hyperlink"/>
                  <w:noProof/>
                </w:rPr>
                <w:t>Australian Accounting Standards issued that are not yet effective</w:t>
              </w:r>
              <w:r>
                <w:rPr>
                  <w:noProof/>
                  <w:webHidden/>
                </w:rPr>
                <w:tab/>
              </w:r>
              <w:r>
                <w:rPr>
                  <w:noProof/>
                  <w:webHidden/>
                </w:rPr>
                <w:fldChar w:fldCharType="begin"/>
              </w:r>
              <w:r>
                <w:rPr>
                  <w:noProof/>
                  <w:webHidden/>
                </w:rPr>
                <w:instrText xml:space="preserve"> PAGEREF _Toc130226019 \h </w:instrText>
              </w:r>
              <w:r>
                <w:rPr>
                  <w:noProof/>
                  <w:webHidden/>
                </w:rPr>
              </w:r>
              <w:r>
                <w:rPr>
                  <w:noProof/>
                  <w:webHidden/>
                </w:rPr>
                <w:fldChar w:fldCharType="separate"/>
              </w:r>
              <w:r w:rsidR="00D26320">
                <w:rPr>
                  <w:noProof/>
                  <w:webHidden/>
                </w:rPr>
                <w:t>180</w:t>
              </w:r>
              <w:r>
                <w:rPr>
                  <w:noProof/>
                  <w:webHidden/>
                </w:rPr>
                <w:fldChar w:fldCharType="end"/>
              </w:r>
            </w:hyperlink>
          </w:p>
          <w:p w14:paraId="0C926A5B" w14:textId="6D50198F" w:rsidR="00573524" w:rsidRDefault="00573524" w:rsidP="008F49C2">
            <w:pPr>
              <w:pStyle w:val="TOC8"/>
              <w:cnfStyle w:val="000000000000" w:firstRow="0" w:lastRow="0" w:firstColumn="0" w:lastColumn="0" w:oddVBand="0" w:evenVBand="0" w:oddHBand="0" w:evenHBand="0" w:firstRowFirstColumn="0" w:firstRowLastColumn="0" w:lastRowFirstColumn="0" w:lastRowLastColumn="0"/>
              <w:rPr>
                <w:rFonts w:eastAsiaTheme="minorEastAsia"/>
                <w:noProof/>
                <w:sz w:val="22"/>
                <w:szCs w:val="22"/>
                <w:lang w:eastAsia="en-AU"/>
              </w:rPr>
            </w:pPr>
            <w:hyperlink w:anchor="_Toc130226020" w:history="1">
              <w:r w:rsidRPr="00526D3B">
                <w:rPr>
                  <w:rStyle w:val="Hyperlink"/>
                  <w:noProof/>
                </w:rPr>
                <w:t>9.14</w:t>
              </w:r>
              <w:r>
                <w:rPr>
                  <w:rFonts w:eastAsiaTheme="minorEastAsia"/>
                  <w:noProof/>
                  <w:sz w:val="22"/>
                  <w:szCs w:val="22"/>
                  <w:lang w:eastAsia="en-AU"/>
                </w:rPr>
                <w:tab/>
              </w:r>
              <w:r w:rsidRPr="00526D3B">
                <w:rPr>
                  <w:rStyle w:val="Hyperlink"/>
                  <w:noProof/>
                </w:rPr>
                <w:t>Glossary of technical terms</w:t>
              </w:r>
              <w:r>
                <w:rPr>
                  <w:noProof/>
                  <w:webHidden/>
                </w:rPr>
                <w:tab/>
              </w:r>
              <w:r>
                <w:rPr>
                  <w:noProof/>
                  <w:webHidden/>
                </w:rPr>
                <w:fldChar w:fldCharType="begin"/>
              </w:r>
              <w:r>
                <w:rPr>
                  <w:noProof/>
                  <w:webHidden/>
                </w:rPr>
                <w:instrText xml:space="preserve"> PAGEREF _Toc130226020 \h </w:instrText>
              </w:r>
              <w:r>
                <w:rPr>
                  <w:noProof/>
                  <w:webHidden/>
                </w:rPr>
              </w:r>
              <w:r>
                <w:rPr>
                  <w:noProof/>
                  <w:webHidden/>
                </w:rPr>
                <w:fldChar w:fldCharType="separate"/>
              </w:r>
              <w:r w:rsidR="00D26320">
                <w:rPr>
                  <w:noProof/>
                  <w:webHidden/>
                </w:rPr>
                <w:t>182</w:t>
              </w:r>
              <w:r>
                <w:rPr>
                  <w:noProof/>
                  <w:webHidden/>
                </w:rPr>
                <w:fldChar w:fldCharType="end"/>
              </w:r>
            </w:hyperlink>
          </w:p>
          <w:p w14:paraId="28519217" w14:textId="6806CD98" w:rsidR="003719CD" w:rsidRPr="00940E38" w:rsidRDefault="003719CD" w:rsidP="008F49C2">
            <w:pPr>
              <w:pStyle w:val="TOC8"/>
              <w:cnfStyle w:val="000000000000" w:firstRow="0" w:lastRow="0" w:firstColumn="0" w:lastColumn="0" w:oddVBand="0" w:evenVBand="0" w:oddHBand="0" w:evenHBand="0" w:firstRowFirstColumn="0" w:firstRowLastColumn="0" w:lastRowFirstColumn="0" w:lastRowLastColumn="0"/>
            </w:pPr>
            <w:r w:rsidRPr="00940E38">
              <w:fldChar w:fldCharType="end"/>
            </w:r>
          </w:p>
        </w:tc>
      </w:tr>
    </w:tbl>
    <w:p w14:paraId="288DFFD0" w14:textId="77777777" w:rsidR="003719CD" w:rsidRDefault="003719CD" w:rsidP="00DC39DE"/>
    <w:p w14:paraId="6A9BA554" w14:textId="77777777" w:rsidR="003719CD" w:rsidRDefault="003719CD" w:rsidP="00DC39DE"/>
    <w:p w14:paraId="6F265919"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70226E64" w14:textId="6AD4574F" w:rsidR="003719CD" w:rsidRDefault="003719CD" w:rsidP="002002F4">
      <w:pPr>
        <w:pStyle w:val="GuidanceBlockHeading"/>
      </w:pPr>
      <w:r>
        <w:lastRenderedPageBreak/>
        <w:t>Guidance: Financial report structure</w:t>
      </w:r>
    </w:p>
    <w:p w14:paraId="73F1DB3A" w14:textId="01B7A80B" w:rsidR="003719CD" w:rsidRDefault="003719CD" w:rsidP="002002F4">
      <w:pPr>
        <w:pStyle w:val="GuidanceHeading"/>
      </w:pPr>
      <w:r>
        <w:t>A complete set of financial statements comprises:</w:t>
      </w:r>
    </w:p>
    <w:p w14:paraId="2074254D" w14:textId="48FEC9BA" w:rsidR="003719CD" w:rsidRPr="002002F4" w:rsidRDefault="00AC71F5" w:rsidP="00310F12">
      <w:pPr>
        <w:pStyle w:val="ListBullet"/>
        <w:rPr>
          <w:rStyle w:val="Guidance"/>
          <w:b/>
          <w:sz w:val="20"/>
        </w:rPr>
      </w:pPr>
      <w:r>
        <w:rPr>
          <w:rStyle w:val="Guidance"/>
        </w:rPr>
        <w:t>a</w:t>
      </w:r>
      <w:r w:rsidR="003719CD" w:rsidRPr="002002F4">
        <w:rPr>
          <w:rStyle w:val="Guidance"/>
        </w:rPr>
        <w:t xml:space="preserve"> statement of financial position (or balance sheet)</w:t>
      </w:r>
    </w:p>
    <w:p w14:paraId="22C7BDBC" w14:textId="3E321288" w:rsidR="003719CD" w:rsidRPr="002002F4" w:rsidRDefault="00AC71F5" w:rsidP="00310F12">
      <w:pPr>
        <w:pStyle w:val="ListBullet"/>
        <w:rPr>
          <w:rStyle w:val="Guidance"/>
        </w:rPr>
      </w:pPr>
      <w:r>
        <w:rPr>
          <w:rStyle w:val="Guidance"/>
        </w:rPr>
        <w:t>a</w:t>
      </w:r>
      <w:r w:rsidR="003719CD" w:rsidRPr="002002F4">
        <w:rPr>
          <w:rStyle w:val="Guidance"/>
        </w:rPr>
        <w:t xml:space="preserve"> statement of profit or loss and other comprehensive income</w:t>
      </w:r>
    </w:p>
    <w:p w14:paraId="63C6A911" w14:textId="0E7760CC" w:rsidR="003719CD" w:rsidRPr="002002F4" w:rsidRDefault="00AC71F5" w:rsidP="00310F12">
      <w:pPr>
        <w:pStyle w:val="ListBullet"/>
        <w:rPr>
          <w:rStyle w:val="Guidance"/>
        </w:rPr>
      </w:pPr>
      <w:r>
        <w:rPr>
          <w:rStyle w:val="Guidance"/>
        </w:rPr>
        <w:t>a</w:t>
      </w:r>
      <w:r w:rsidR="003719CD" w:rsidRPr="002002F4">
        <w:rPr>
          <w:rStyle w:val="Guidance"/>
        </w:rPr>
        <w:t xml:space="preserve"> statement of changes in equity</w:t>
      </w:r>
    </w:p>
    <w:p w14:paraId="5750CDDC" w14:textId="08130F78" w:rsidR="003719CD" w:rsidRPr="002002F4" w:rsidRDefault="00221E82" w:rsidP="00310F12">
      <w:pPr>
        <w:pStyle w:val="ListBullet"/>
        <w:rPr>
          <w:rStyle w:val="Guidance"/>
        </w:rPr>
      </w:pPr>
      <w:r>
        <w:rPr>
          <w:rStyle w:val="Guidance"/>
        </w:rPr>
        <w:t>a</w:t>
      </w:r>
      <w:r w:rsidR="003719CD" w:rsidRPr="002002F4">
        <w:rPr>
          <w:rStyle w:val="Guidance"/>
        </w:rPr>
        <w:t xml:space="preserve"> statement of cash flows (together the ‘Financial Statements’)</w:t>
      </w:r>
    </w:p>
    <w:p w14:paraId="74959EDB" w14:textId="7E53E985" w:rsidR="003719CD" w:rsidRPr="002002F4" w:rsidRDefault="00AC71F5" w:rsidP="00552E47">
      <w:pPr>
        <w:pStyle w:val="ListBullet"/>
        <w:rPr>
          <w:rStyle w:val="Guidance"/>
        </w:rPr>
      </w:pPr>
      <w:r>
        <w:rPr>
          <w:rStyle w:val="Guidance"/>
        </w:rPr>
        <w:t>n</w:t>
      </w:r>
      <w:r w:rsidR="003719CD" w:rsidRPr="002002F4">
        <w:rPr>
          <w:rStyle w:val="Guidance"/>
        </w:rPr>
        <w:t>otes, comprising a summary of significant accounting policies and other explanatory information</w:t>
      </w:r>
      <w:r w:rsidR="00552E47">
        <w:rPr>
          <w:rStyle w:val="Guidance"/>
        </w:rPr>
        <w:t xml:space="preserve"> and </w:t>
      </w:r>
      <w:r>
        <w:rPr>
          <w:rStyle w:val="Guidance"/>
        </w:rPr>
        <w:t>c</w:t>
      </w:r>
      <w:r w:rsidR="003719CD" w:rsidRPr="002002F4">
        <w:rPr>
          <w:rStyle w:val="Guidance"/>
        </w:rPr>
        <w:t xml:space="preserve">omparative information in respect of the preceding period. </w:t>
      </w:r>
      <w:r w:rsidR="003719CD" w:rsidRPr="002002F4">
        <w:rPr>
          <w:rStyle w:val="Reference"/>
        </w:rPr>
        <w:t>[AASB 101.10]</w:t>
      </w:r>
    </w:p>
    <w:p w14:paraId="2AFC3A63" w14:textId="34B5039C" w:rsidR="003719CD" w:rsidRPr="002002F4" w:rsidRDefault="00AC71F5" w:rsidP="00310F12">
      <w:pPr>
        <w:pStyle w:val="ListBullet"/>
        <w:rPr>
          <w:rStyle w:val="Guidance"/>
        </w:rPr>
      </w:pPr>
      <w:r>
        <w:rPr>
          <w:rStyle w:val="Guidance"/>
        </w:rPr>
        <w:t>a</w:t>
      </w:r>
      <w:r w:rsidR="003719CD" w:rsidRPr="002002F4">
        <w:rPr>
          <w:rStyle w:val="Guidance"/>
        </w:rPr>
        <w:t xml:space="preserve"> statement of financial position as at the beginning of the preceding period when an entity applies an accounting policy retrospectively or makes a retrospective restatement of items in its financial statements, or when it reclassifies items in its financial statements</w:t>
      </w:r>
      <w:r w:rsidR="00575841">
        <w:rPr>
          <w:rStyle w:val="Guidance"/>
        </w:rPr>
        <w:t>.</w:t>
      </w:r>
      <w:r w:rsidR="003719CD" w:rsidRPr="002002F4">
        <w:rPr>
          <w:rStyle w:val="Guidance"/>
        </w:rPr>
        <w:t xml:space="preserve"> </w:t>
      </w:r>
    </w:p>
    <w:p w14:paraId="2958A123" w14:textId="77777777" w:rsidR="003719CD" w:rsidRDefault="003719CD" w:rsidP="002002F4">
      <w:pPr>
        <w:pStyle w:val="GuidanceHeading"/>
      </w:pPr>
      <w:r>
        <w:t>Contents of the notes to the financial statements</w:t>
      </w:r>
    </w:p>
    <w:p w14:paraId="482A85E5" w14:textId="77777777" w:rsidR="003719CD" w:rsidRPr="0024192E" w:rsidRDefault="003719CD" w:rsidP="00DC39DE">
      <w:pPr>
        <w:rPr>
          <w:rStyle w:val="Guidance"/>
        </w:rPr>
      </w:pPr>
      <w:r w:rsidRPr="0024192E">
        <w:rPr>
          <w:rStyle w:val="Guidance"/>
        </w:rPr>
        <w:t>The notes to the financial statements of an entity shall:</w:t>
      </w:r>
    </w:p>
    <w:p w14:paraId="225F754A" w14:textId="0F94720D" w:rsidR="003719CD" w:rsidRPr="002002F4" w:rsidRDefault="003719CD" w:rsidP="00310F12">
      <w:pPr>
        <w:pStyle w:val="ListBullet"/>
        <w:rPr>
          <w:rStyle w:val="Guidance"/>
        </w:rPr>
      </w:pPr>
      <w:r w:rsidRPr="002002F4">
        <w:rPr>
          <w:rStyle w:val="Guidance"/>
        </w:rPr>
        <w:t>present information about the basis of preparation</w:t>
      </w:r>
    </w:p>
    <w:p w14:paraId="43235C38" w14:textId="4CE8197D" w:rsidR="003719CD" w:rsidRPr="002002F4" w:rsidRDefault="003719CD" w:rsidP="00310F12">
      <w:pPr>
        <w:pStyle w:val="ListBullet"/>
        <w:rPr>
          <w:rStyle w:val="Guidance"/>
        </w:rPr>
      </w:pPr>
      <w:r w:rsidRPr="002002F4">
        <w:rPr>
          <w:rStyle w:val="Guidance"/>
        </w:rPr>
        <w:t>disclose the information required by AASs that is not presented in the face of the financial statements</w:t>
      </w:r>
    </w:p>
    <w:p w14:paraId="3E959CFF" w14:textId="7F26B629" w:rsidR="003719CD" w:rsidRPr="002002F4" w:rsidRDefault="003719CD" w:rsidP="00310F12">
      <w:pPr>
        <w:pStyle w:val="ListBullet"/>
        <w:rPr>
          <w:rStyle w:val="Guidance"/>
        </w:rPr>
      </w:pPr>
      <w:r w:rsidRPr="002002F4">
        <w:rPr>
          <w:rStyle w:val="Guidance"/>
        </w:rPr>
        <w:t>provide additional information that is relevant to an understanding of the financial statements and that is not disclosed elsewhere</w:t>
      </w:r>
    </w:p>
    <w:p w14:paraId="0CB4B583" w14:textId="0C0007EA" w:rsidR="003719CD" w:rsidRPr="002002F4" w:rsidRDefault="003719CD" w:rsidP="00310F12">
      <w:pPr>
        <w:pStyle w:val="ListBullet"/>
        <w:rPr>
          <w:rStyle w:val="Guidance"/>
        </w:rPr>
      </w:pPr>
      <w:r w:rsidRPr="002002F4">
        <w:rPr>
          <w:rStyle w:val="Guidance"/>
        </w:rPr>
        <w:t xml:space="preserve">be presented in a systematic manner with cross references to the financial statements or any related information in the notes </w:t>
      </w:r>
      <w:r w:rsidRPr="002002F4">
        <w:rPr>
          <w:rStyle w:val="Reference"/>
        </w:rPr>
        <w:t>[AASB 101.112 113]</w:t>
      </w:r>
    </w:p>
    <w:p w14:paraId="0BA41206" w14:textId="7A5D3DD0" w:rsidR="003719CD" w:rsidRPr="002002F4" w:rsidRDefault="003719CD" w:rsidP="00310F12">
      <w:pPr>
        <w:pStyle w:val="ListBullet"/>
        <w:rPr>
          <w:rStyle w:val="Guidance"/>
        </w:rPr>
      </w:pPr>
      <w:r w:rsidRPr="002002F4">
        <w:rPr>
          <w:rStyle w:val="Guidance"/>
        </w:rPr>
        <w:t xml:space="preserve">contain a statement of compliance with AASs </w:t>
      </w:r>
      <w:r w:rsidRPr="002002F4">
        <w:rPr>
          <w:rStyle w:val="Reference"/>
        </w:rPr>
        <w:t>[AASB 1054.7]</w:t>
      </w:r>
      <w:r w:rsidRPr="002002F4">
        <w:rPr>
          <w:rStyle w:val="Guidance"/>
        </w:rPr>
        <w:t xml:space="preserve"> </w:t>
      </w:r>
    </w:p>
    <w:p w14:paraId="305422D5" w14:textId="77777777" w:rsidR="003719CD" w:rsidRPr="002002F4" w:rsidRDefault="003719CD" w:rsidP="00310F12">
      <w:pPr>
        <w:pStyle w:val="ListBullet"/>
        <w:rPr>
          <w:rStyle w:val="Guidance"/>
        </w:rPr>
      </w:pPr>
      <w:r w:rsidRPr="002002F4">
        <w:rPr>
          <w:rStyle w:val="Guidance"/>
        </w:rPr>
        <w:t xml:space="preserve">contain a summary of significant accounting policies relevant to understanding the information presented in the financial statements, including the measurement bases used in preparing the financial statements. </w:t>
      </w:r>
      <w:r w:rsidRPr="002002F4">
        <w:rPr>
          <w:rStyle w:val="Reference"/>
        </w:rPr>
        <w:t>[AASB 101.117]</w:t>
      </w:r>
    </w:p>
    <w:p w14:paraId="26C91721" w14:textId="77777777" w:rsidR="003719CD" w:rsidRDefault="003719CD" w:rsidP="00DC39DE"/>
    <w:p w14:paraId="0B8906FC" w14:textId="77777777" w:rsidR="003719CD" w:rsidRDefault="003719CD" w:rsidP="00DC39DE"/>
    <w:p w14:paraId="22DDBBA7" w14:textId="47465ABE" w:rsidR="003719CD" w:rsidRDefault="00976AFC" w:rsidP="00976AFC">
      <w:pPr>
        <w:pStyle w:val="Heading1"/>
        <w:pageBreakBefore/>
      </w:pPr>
      <w:bookmarkStart w:id="3" w:name="INDEX_ComplianceMinDirection"/>
      <w:bookmarkEnd w:id="3"/>
      <w:r>
        <w:lastRenderedPageBreak/>
        <w:t>Declaration in the financial statements</w:t>
      </w:r>
    </w:p>
    <w:p w14:paraId="2F74C1CC" w14:textId="34AF863F" w:rsidR="003719CD" w:rsidRDefault="003719CD" w:rsidP="00DC39DE">
      <w:r>
        <w:t xml:space="preserve">The attached financial statements for the Department of Technology have been prepared in accordance with Direction 5.2 of the Standing Directions of the </w:t>
      </w:r>
      <w:r w:rsidR="0046343B">
        <w:t>Minister for Finance</w:t>
      </w:r>
      <w:r>
        <w:t xml:space="preserve"> under the </w:t>
      </w:r>
      <w:r w:rsidRPr="002640E1">
        <w:rPr>
          <w:i/>
          <w:iCs/>
        </w:rPr>
        <w:t>Financial Management Act 1994</w:t>
      </w:r>
      <w:r>
        <w:t>, applicable Financial Reporting Directions, Australian Accounting Standards including interpretations, and other mandatory professional reporting requirements.</w:t>
      </w:r>
      <w:r w:rsidRPr="002640E1">
        <w:rPr>
          <w:rStyle w:val="Reference"/>
        </w:rPr>
        <w:t xml:space="preserve"> [SD 5.2.1, 5.2.2(b)]</w:t>
      </w:r>
    </w:p>
    <w:p w14:paraId="2D3B7791" w14:textId="1C73B74F" w:rsidR="003719CD" w:rsidRDefault="003719CD" w:rsidP="00DC39DE">
      <w:r>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w:t>
      </w:r>
      <w:fldSimple w:instr="DOCPROPERTY  YearCurrent  \* MERGEFORMAT">
        <w:r w:rsidR="00A545BA">
          <w:t>20X2</w:t>
        </w:r>
      </w:fldSimple>
      <w:r>
        <w:t xml:space="preserve"> and financial position of the Department at 30 June </w:t>
      </w:r>
      <w:fldSimple w:instr="DOCPROPERTY  YearCurrent  \* MERGEFORMAT">
        <w:r w:rsidR="00A545BA">
          <w:t>20X2</w:t>
        </w:r>
      </w:fldSimple>
      <w:r>
        <w:t>.</w:t>
      </w:r>
    </w:p>
    <w:p w14:paraId="5D66C1F4" w14:textId="77777777" w:rsidR="003719CD" w:rsidRDefault="003719CD" w:rsidP="00DC39DE">
      <w:r>
        <w:t xml:space="preserve">At the time of signing, we are not aware of any circumstance which would render any particulars included in the financial statements to be misleading or inaccurate. </w:t>
      </w:r>
      <w:r w:rsidRPr="002640E1">
        <w:rPr>
          <w:rStyle w:val="Reference"/>
        </w:rPr>
        <w:t>[SD 5.2.2(b)]</w:t>
      </w:r>
    </w:p>
    <w:p w14:paraId="4A2B8408" w14:textId="4AE04933" w:rsidR="003719CD" w:rsidRDefault="003719CD" w:rsidP="00DC39DE">
      <w:r>
        <w:t xml:space="preserve">We authorise the attached financial statements for issue on 14 August </w:t>
      </w:r>
      <w:fldSimple w:instr="DOCPROPERTY  YearCurrent  \* MERGEFORMAT">
        <w:r w:rsidR="00A545BA">
          <w:t>20X2</w:t>
        </w:r>
      </w:fldSimple>
      <w:r>
        <w:t>.</w:t>
      </w:r>
    </w:p>
    <w:p w14:paraId="0275114F" w14:textId="77777777" w:rsidR="003719CD" w:rsidRDefault="003719CD" w:rsidP="00DC39DE"/>
    <w:p w14:paraId="6025B47A" w14:textId="77777777" w:rsidR="003719CD" w:rsidRDefault="003719CD" w:rsidP="00DC39DE"/>
    <w:p w14:paraId="21898FAE" w14:textId="77777777" w:rsidR="003719CD" w:rsidRPr="00940E38" w:rsidRDefault="003719CD" w:rsidP="002640E1">
      <w:pPr>
        <w:tabs>
          <w:tab w:val="left" w:leader="dot" w:pos="2835"/>
          <w:tab w:val="left" w:pos="5103"/>
          <w:tab w:val="left" w:leader="dot" w:pos="7938"/>
        </w:tabs>
      </w:pPr>
      <w:r w:rsidRPr="00940E38">
        <w:tab/>
      </w:r>
      <w:r w:rsidRPr="00940E38">
        <w:tab/>
      </w:r>
      <w:r w:rsidRPr="00940E38">
        <w:tab/>
      </w:r>
    </w:p>
    <w:p w14:paraId="3559CB25" w14:textId="77777777" w:rsidR="003719CD" w:rsidRPr="00940E38" w:rsidRDefault="003719CD" w:rsidP="002640E1">
      <w:pPr>
        <w:tabs>
          <w:tab w:val="left" w:pos="5103"/>
        </w:tabs>
      </w:pPr>
      <w:r w:rsidRPr="00940E38">
        <w:t>R McIvor</w:t>
      </w:r>
      <w:r w:rsidRPr="00940E38">
        <w:tab/>
        <w:t>J Smith</w:t>
      </w:r>
    </w:p>
    <w:p w14:paraId="50D3287A" w14:textId="77777777" w:rsidR="003719CD" w:rsidRPr="00940E38" w:rsidRDefault="003719CD" w:rsidP="002640E1">
      <w:pPr>
        <w:tabs>
          <w:tab w:val="left" w:pos="5103"/>
        </w:tabs>
      </w:pPr>
    </w:p>
    <w:p w14:paraId="4FC4A896" w14:textId="77777777" w:rsidR="003719CD" w:rsidRPr="00940E38" w:rsidRDefault="003719CD" w:rsidP="00FF4F58">
      <w:pPr>
        <w:tabs>
          <w:tab w:val="left" w:pos="5103"/>
        </w:tabs>
        <w:spacing w:before="0" w:after="0"/>
      </w:pPr>
      <w:r w:rsidRPr="00940E38">
        <w:t>Chief Finance Officer</w:t>
      </w:r>
      <w:r w:rsidRPr="00940E38">
        <w:tab/>
        <w:t>Secretary</w:t>
      </w:r>
    </w:p>
    <w:p w14:paraId="46845B48" w14:textId="77777777" w:rsidR="003719CD" w:rsidRPr="00940E38" w:rsidRDefault="003719CD" w:rsidP="002640E1">
      <w:pPr>
        <w:tabs>
          <w:tab w:val="left" w:pos="5103"/>
        </w:tabs>
        <w:spacing w:before="0"/>
      </w:pPr>
      <w:r w:rsidRPr="00940E38">
        <w:t>Department of Technology</w:t>
      </w:r>
      <w:r w:rsidRPr="00940E38">
        <w:tab/>
        <w:t>Department of Technology</w:t>
      </w:r>
    </w:p>
    <w:p w14:paraId="5EAEBC5C" w14:textId="77777777" w:rsidR="003719CD" w:rsidRPr="00940E38" w:rsidRDefault="003719CD" w:rsidP="002640E1">
      <w:pPr>
        <w:tabs>
          <w:tab w:val="left" w:pos="5103"/>
        </w:tabs>
      </w:pPr>
    </w:p>
    <w:p w14:paraId="707D0224" w14:textId="77777777" w:rsidR="003719CD" w:rsidRPr="00940E38" w:rsidRDefault="003719CD" w:rsidP="00FF4F58">
      <w:pPr>
        <w:tabs>
          <w:tab w:val="left" w:pos="5103"/>
        </w:tabs>
        <w:spacing w:before="0" w:after="0"/>
      </w:pPr>
      <w:r w:rsidRPr="00940E38">
        <w:t>Melbourne</w:t>
      </w:r>
      <w:r w:rsidRPr="00940E38">
        <w:tab/>
        <w:t>Melbourne</w:t>
      </w:r>
    </w:p>
    <w:p w14:paraId="06C80E6D" w14:textId="05ABE679" w:rsidR="003719CD" w:rsidRPr="00940E38" w:rsidRDefault="003719CD" w:rsidP="002640E1">
      <w:pPr>
        <w:tabs>
          <w:tab w:val="left" w:pos="5103"/>
        </w:tabs>
        <w:spacing w:before="0"/>
      </w:pPr>
      <w:r w:rsidRPr="00940E38">
        <w:t xml:space="preserve">14 August </w:t>
      </w:r>
      <w:fldSimple w:instr="DOCPROPERTY  YearCurrent  \* MERGEFORMAT">
        <w:r w:rsidR="00A545BA">
          <w:t>20X2</w:t>
        </w:r>
      </w:fldSimple>
      <w:r w:rsidRPr="00940E38">
        <w:tab/>
        <w:t xml:space="preserve">14 August </w:t>
      </w:r>
      <w:fldSimple w:instr="DOCPROPERTY  YearCurrent  \* MERGEFORMAT">
        <w:r w:rsidR="00A545BA">
          <w:t>20X2</w:t>
        </w:r>
      </w:fldSimple>
    </w:p>
    <w:p w14:paraId="43DE1C14" w14:textId="77777777" w:rsidR="003719CD" w:rsidRDefault="003719CD" w:rsidP="00DC39DE"/>
    <w:p w14:paraId="3AE7F2BF" w14:textId="77777777" w:rsidR="003719CD" w:rsidRDefault="003719CD" w:rsidP="00197D8A">
      <w:pPr>
        <w:pStyle w:val="GuidanceBlockHeading"/>
      </w:pPr>
      <w:r>
        <w:t>Guidance: Declaration in financial statements</w:t>
      </w:r>
    </w:p>
    <w:p w14:paraId="6F586E2A" w14:textId="77777777" w:rsidR="003719CD" w:rsidRPr="00197D8A" w:rsidRDefault="003719CD" w:rsidP="00DC39DE">
      <w:pPr>
        <w:rPr>
          <w:rStyle w:val="Guidance"/>
        </w:rPr>
      </w:pPr>
      <w:r w:rsidRPr="00197D8A">
        <w:rPr>
          <w:rStyle w:val="Guidance"/>
        </w:rPr>
        <w:t xml:space="preserve">The Accountable Officer is required to implement and maintain a process to ensure the agency’s annual report is prepared in accordance with the </w:t>
      </w:r>
      <w:r w:rsidRPr="00197D8A">
        <w:rPr>
          <w:rStyle w:val="Guidance"/>
          <w:i/>
          <w:iCs/>
        </w:rPr>
        <w:t>Financial Management Act 1994</w:t>
      </w:r>
      <w:r w:rsidRPr="00197D8A">
        <w:rPr>
          <w:rStyle w:val="Guidance"/>
        </w:rPr>
        <w:t xml:space="preserve"> (FMA), the Standing Directions (SD) and its supporting Instructions, applicable Australian Accounting Standards (AASs) and Financial Reporting Directions (FRDs). </w:t>
      </w:r>
      <w:r w:rsidRPr="00197D8A">
        <w:rPr>
          <w:rStyle w:val="Reference"/>
        </w:rPr>
        <w:t>[SD 5.2.1]</w:t>
      </w:r>
    </w:p>
    <w:p w14:paraId="2E8726DD" w14:textId="78BB390F" w:rsidR="003719CD" w:rsidRPr="00197D8A" w:rsidRDefault="003719CD" w:rsidP="00DC39DE">
      <w:pPr>
        <w:rPr>
          <w:rStyle w:val="Guidance"/>
        </w:rPr>
      </w:pPr>
      <w:r w:rsidRPr="00197D8A">
        <w:rPr>
          <w:rStyle w:val="Guidance"/>
        </w:rPr>
        <w:t xml:space="preserve">The general-purpose financial statements of a government department should form part of the annual report of that government </w:t>
      </w:r>
      <w:r w:rsidR="00040B1D" w:rsidRPr="00197D8A">
        <w:rPr>
          <w:rStyle w:val="Guidance"/>
        </w:rPr>
        <w:t>department</w:t>
      </w:r>
      <w:r w:rsidR="00040B1D">
        <w:rPr>
          <w:rStyle w:val="Guidance"/>
        </w:rPr>
        <w:t xml:space="preserve"> or</w:t>
      </w:r>
      <w:r w:rsidR="009F027D">
        <w:rPr>
          <w:rStyle w:val="Guidance"/>
        </w:rPr>
        <w:t xml:space="preserve"> be presented in a way that enables it to be read in conjunction with it</w:t>
      </w:r>
      <w:r w:rsidRPr="00197D8A">
        <w:rPr>
          <w:rStyle w:val="Guidance"/>
        </w:rPr>
        <w:t xml:space="preserve">. To that end, SD 5.2.2 requires that the financial statements of agencies must, where applicable, be signed and dated by the Accountable Officer and Chief Finance Officer (CFO) and a member of the Responsible Body. </w:t>
      </w:r>
      <w:r w:rsidRPr="00197D8A">
        <w:rPr>
          <w:rStyle w:val="Reference"/>
        </w:rPr>
        <w:t>[SD 5.2.2]</w:t>
      </w:r>
    </w:p>
    <w:p w14:paraId="11EAAB74" w14:textId="6B7E7094" w:rsidR="003719CD" w:rsidRPr="00197D8A" w:rsidRDefault="003719CD" w:rsidP="00DC39DE">
      <w:pPr>
        <w:rPr>
          <w:rStyle w:val="Guidance"/>
        </w:rPr>
      </w:pPr>
      <w:r w:rsidRPr="00197D8A">
        <w:rPr>
          <w:rStyle w:val="Guidance"/>
        </w:rPr>
        <w:t>For departments, as the Secretary also represents the responsible body, only two signatories are required for the departmental financial statements. For public bodies, if the Accountable Officer or the CFO is a member of the public body’s board, two signatories are required. However,</w:t>
      </w:r>
      <w:r w:rsidR="00627C79">
        <w:rPr>
          <w:rStyle w:val="Guidance"/>
        </w:rPr>
        <w:t xml:space="preserve"> three signatures are required</w:t>
      </w:r>
      <w:r w:rsidRPr="00197D8A">
        <w:rPr>
          <w:rStyle w:val="Guidance"/>
        </w:rPr>
        <w:t xml:space="preserve"> if the Accountable Officer or the CFO is not a member of the public body’s board.</w:t>
      </w:r>
    </w:p>
    <w:p w14:paraId="72C03956" w14:textId="5F4B7ADA" w:rsidR="003719CD" w:rsidRPr="00197D8A" w:rsidRDefault="003719CD" w:rsidP="00DC39DE">
      <w:pPr>
        <w:rPr>
          <w:rStyle w:val="Guidance"/>
        </w:rPr>
      </w:pPr>
      <w:r w:rsidRPr="00197D8A">
        <w:rPr>
          <w:rStyle w:val="Guidance"/>
        </w:rPr>
        <w:t>Direction 2.4.5 requires a CFO to be suitably experienced, hold a graduate or post</w:t>
      </w:r>
      <w:r w:rsidR="00627C79">
        <w:rPr>
          <w:rStyle w:val="Guidance"/>
        </w:rPr>
        <w:t>-</w:t>
      </w:r>
      <w:r w:rsidRPr="00197D8A">
        <w:rPr>
          <w:rStyle w:val="Guidance"/>
        </w:rPr>
        <w:t>graduate qualification in accounting or other relevant discipline granted by a tertiary provider, and keep their knowledge and expertise up</w:t>
      </w:r>
      <w:r w:rsidR="00E95191">
        <w:rPr>
          <w:rStyle w:val="Guidance"/>
        </w:rPr>
        <w:t>-</w:t>
      </w:r>
      <w:r w:rsidRPr="00197D8A">
        <w:rPr>
          <w:rStyle w:val="Guidance"/>
        </w:rPr>
        <w:t>to</w:t>
      </w:r>
      <w:r w:rsidR="00E95191">
        <w:rPr>
          <w:rStyle w:val="Guidance"/>
        </w:rPr>
        <w:t>-</w:t>
      </w:r>
      <w:r w:rsidRPr="00197D8A">
        <w:rPr>
          <w:rStyle w:val="Guidance"/>
        </w:rPr>
        <w:t xml:space="preserve">date with current developments in financial management and AASs. </w:t>
      </w:r>
      <w:r w:rsidRPr="00197D8A">
        <w:rPr>
          <w:rStyle w:val="Reference"/>
        </w:rPr>
        <w:t>[SD</w:t>
      </w:r>
      <w:r w:rsidR="0038016D">
        <w:rPr>
          <w:rStyle w:val="Reference"/>
        </w:rPr>
        <w:t xml:space="preserve"> </w:t>
      </w:r>
      <w:r w:rsidRPr="00197D8A">
        <w:rPr>
          <w:rStyle w:val="Reference"/>
        </w:rPr>
        <w:t>2.4.5]</w:t>
      </w:r>
    </w:p>
    <w:p w14:paraId="53647AEC" w14:textId="77777777" w:rsidR="003719CD" w:rsidRPr="00197D8A" w:rsidRDefault="003719CD" w:rsidP="00DC39DE">
      <w:pPr>
        <w:rPr>
          <w:rStyle w:val="Guidance"/>
        </w:rPr>
      </w:pPr>
      <w:r w:rsidRPr="00197D8A">
        <w:rPr>
          <w:rStyle w:val="Guidance"/>
        </w:rPr>
        <w:t>What constitutes a relevant discipline will depend on the judgement of the Accountable Officer having regard to the circumstances of the entity. It may include a qualification in finance, business or economics and relevant prior experience.</w:t>
      </w:r>
    </w:p>
    <w:p w14:paraId="530E4F55" w14:textId="77777777" w:rsidR="003719CD" w:rsidRDefault="003719CD" w:rsidP="00197D8A">
      <w:pPr>
        <w:pStyle w:val="GuidanceHeading"/>
      </w:pPr>
      <w:r>
        <w:lastRenderedPageBreak/>
        <w:t>Abolished agencies and declaration in financial statements required by SD 5.2.2</w:t>
      </w:r>
    </w:p>
    <w:p w14:paraId="67063FD3" w14:textId="77777777" w:rsidR="003719CD" w:rsidRPr="00197D8A" w:rsidRDefault="003719CD" w:rsidP="0013523F">
      <w:pPr>
        <w:keepNext/>
        <w:rPr>
          <w:rStyle w:val="Guidance"/>
        </w:rPr>
      </w:pPr>
      <w:r w:rsidRPr="00197D8A">
        <w:rPr>
          <w:rStyle w:val="Guidance"/>
        </w:rPr>
        <w:t>In circumstances where an entity has been or is expected to be abolished, the entity is strongly encouraged to engage with the Department of Treasury and Finance (DTF) as early as practicable to determine the arrangements for reporting, including who will sign the declaration in financial statements as required by SD 5.2.2.</w:t>
      </w:r>
    </w:p>
    <w:p w14:paraId="75CB7A95" w14:textId="6E990468" w:rsidR="003719CD" w:rsidRPr="00197D8A" w:rsidRDefault="003719CD" w:rsidP="00DC39DE">
      <w:pPr>
        <w:rPr>
          <w:rStyle w:val="Guidance"/>
        </w:rPr>
      </w:pPr>
      <w:r w:rsidRPr="00197D8A">
        <w:rPr>
          <w:rStyle w:val="Guidance"/>
        </w:rPr>
        <w:t xml:space="preserve">DTF expects that transitional arrangements (for instance, by way of legislation or legislative instrument) </w:t>
      </w:r>
      <w:r w:rsidR="009559B6">
        <w:rPr>
          <w:rStyle w:val="Guidance"/>
        </w:rPr>
        <w:t>will</w:t>
      </w:r>
      <w:r w:rsidRPr="00197D8A">
        <w:rPr>
          <w:rStyle w:val="Guidance"/>
        </w:rPr>
        <w:t xml:space="preserve"> make provisions for the authorisation of the final set of financial statements. In the absence of any such provisions, the agency taking on the bulk of the abolished </w:t>
      </w:r>
      <w:r w:rsidR="00AF3FCB" w:rsidRPr="00197D8A">
        <w:rPr>
          <w:rStyle w:val="Guidance"/>
        </w:rPr>
        <w:t>agenc</w:t>
      </w:r>
      <w:r w:rsidR="00AF3FCB">
        <w:rPr>
          <w:rStyle w:val="Guidance"/>
        </w:rPr>
        <w:t>y’s</w:t>
      </w:r>
      <w:r w:rsidR="00AF3FCB" w:rsidRPr="00197D8A">
        <w:rPr>
          <w:rStyle w:val="Guidance"/>
        </w:rPr>
        <w:t xml:space="preserve"> </w:t>
      </w:r>
      <w:r w:rsidRPr="00197D8A">
        <w:rPr>
          <w:rStyle w:val="Guidance"/>
        </w:rPr>
        <w:t>ongoing operations should take on the responsibility for meeting the requirements of SD 5.2.2.</w:t>
      </w:r>
    </w:p>
    <w:p w14:paraId="1A2AACC7" w14:textId="0F0C33BF" w:rsidR="003719CD" w:rsidRPr="00197D8A" w:rsidRDefault="003719CD" w:rsidP="00DC39DE">
      <w:pPr>
        <w:rPr>
          <w:rStyle w:val="Guidance"/>
        </w:rPr>
      </w:pPr>
      <w:r w:rsidRPr="00197D8A">
        <w:rPr>
          <w:rStyle w:val="Guidance"/>
        </w:rPr>
        <w:t xml:space="preserve">If for any reason no such agency exists and no provision has been made regarding the final set of financial statements, the entity to be wound up should seek independent legal advice and liaise with DTF to agree to appropriate arrangements on a </w:t>
      </w:r>
      <w:r w:rsidR="00DB59D5" w:rsidRPr="00197D8A">
        <w:rPr>
          <w:rStyle w:val="Guidance"/>
        </w:rPr>
        <w:t>case-by-case</w:t>
      </w:r>
      <w:r w:rsidRPr="00197D8A">
        <w:rPr>
          <w:rStyle w:val="Guidance"/>
        </w:rPr>
        <w:t xml:space="preserve"> basis. </w:t>
      </w:r>
    </w:p>
    <w:p w14:paraId="72331180" w14:textId="77777777" w:rsidR="003719CD" w:rsidRPr="00197D8A" w:rsidRDefault="003719CD" w:rsidP="00DC39DE">
      <w:pPr>
        <w:rPr>
          <w:rStyle w:val="Guidance"/>
        </w:rPr>
      </w:pPr>
      <w:r w:rsidRPr="00197D8A">
        <w:rPr>
          <w:rStyle w:val="Guidance"/>
        </w:rPr>
        <w:t>In the absence of an existing CFO in the abolished entity, it is recommended that anyone signing a declaration in the place of a CFO is required to have the experience and qualifications of CFOs as suggested above.</w:t>
      </w:r>
    </w:p>
    <w:p w14:paraId="2C335915" w14:textId="1E126564" w:rsidR="003719CD" w:rsidRDefault="003719CD" w:rsidP="00197D8A">
      <w:pPr>
        <w:pStyle w:val="GuidanceHeading"/>
      </w:pPr>
      <w:r>
        <w:t>Declaration details</w:t>
      </w:r>
    </w:p>
    <w:p w14:paraId="473B3BB0" w14:textId="336E31F8" w:rsidR="005111AF" w:rsidRPr="00197D8A" w:rsidRDefault="003719CD" w:rsidP="00DC39DE">
      <w:pPr>
        <w:rPr>
          <w:rStyle w:val="Guidance"/>
        </w:rPr>
      </w:pPr>
      <w:r w:rsidRPr="00197D8A">
        <w:rPr>
          <w:rStyle w:val="Guidance"/>
        </w:rPr>
        <w:t>The declaration must state that in the joint opinion of the signing persons</w:t>
      </w:r>
      <w:r w:rsidR="005111AF">
        <w:rPr>
          <w:rStyle w:val="Guidance"/>
        </w:rPr>
        <w:t>:</w:t>
      </w:r>
      <w:r w:rsidR="00EA02F6">
        <w:rPr>
          <w:rStyle w:val="Guidance"/>
        </w:rPr>
        <w:t xml:space="preserve"> </w:t>
      </w:r>
    </w:p>
    <w:p w14:paraId="60EFF2E6" w14:textId="4BE60CDD" w:rsidR="005111AF" w:rsidRPr="00C51272" w:rsidRDefault="003719CD" w:rsidP="00310F12">
      <w:pPr>
        <w:pStyle w:val="ListBullet"/>
        <w:rPr>
          <w:rStyle w:val="Guidance"/>
          <w:sz w:val="16"/>
          <w:szCs w:val="16"/>
        </w:rPr>
      </w:pPr>
      <w:r w:rsidRPr="00AD5D87">
        <w:rPr>
          <w:rStyle w:val="Guidance"/>
        </w:rPr>
        <w:t>the financial statements present fairly the financial position, financial performance and cash flows of an entity</w:t>
      </w:r>
      <w:r w:rsidR="00117519">
        <w:rPr>
          <w:rStyle w:val="Guidance"/>
        </w:rPr>
        <w:t xml:space="preserve">     </w:t>
      </w:r>
      <w:r w:rsidR="00557E56">
        <w:rPr>
          <w:rStyle w:val="Guidance"/>
        </w:rPr>
        <w:t xml:space="preserve"> </w:t>
      </w:r>
      <w:r w:rsidRPr="00C51272">
        <w:rPr>
          <w:rStyle w:val="Guidance"/>
          <w:color w:val="C00000"/>
          <w:sz w:val="16"/>
          <w:szCs w:val="16"/>
        </w:rPr>
        <w:t>[AASB</w:t>
      </w:r>
      <w:r w:rsidR="00557E56" w:rsidRPr="00C51272">
        <w:rPr>
          <w:rStyle w:val="Guidance"/>
          <w:color w:val="C00000"/>
          <w:sz w:val="16"/>
          <w:szCs w:val="16"/>
        </w:rPr>
        <w:t xml:space="preserve"> </w:t>
      </w:r>
      <w:r w:rsidRPr="00C51272">
        <w:rPr>
          <w:rStyle w:val="Guidance"/>
          <w:color w:val="C00000"/>
          <w:sz w:val="16"/>
          <w:szCs w:val="16"/>
        </w:rPr>
        <w:t>101.15]</w:t>
      </w:r>
    </w:p>
    <w:p w14:paraId="64BFAF04" w14:textId="30FEC984" w:rsidR="003719CD" w:rsidRPr="00197D8A" w:rsidRDefault="003719CD" w:rsidP="00310F12">
      <w:pPr>
        <w:pStyle w:val="ListBullet"/>
        <w:rPr>
          <w:rStyle w:val="Guidance"/>
        </w:rPr>
      </w:pPr>
      <w:r w:rsidRPr="00197D8A">
        <w:rPr>
          <w:rStyle w:val="Guidance"/>
        </w:rPr>
        <w:t xml:space="preserve">the date when the financial statements were authorised for issue and who gave that authorisation. If the entity’s owners or others have the power to amend the financial statements after issue, the entity shall disclose that fact. </w:t>
      </w:r>
      <w:r w:rsidRPr="00093256">
        <w:rPr>
          <w:rStyle w:val="Reference"/>
        </w:rPr>
        <w:t>[AASB</w:t>
      </w:r>
      <w:r w:rsidR="00557E56">
        <w:rPr>
          <w:rStyle w:val="Reference"/>
        </w:rPr>
        <w:t xml:space="preserve"> </w:t>
      </w:r>
      <w:r w:rsidRPr="00093256">
        <w:rPr>
          <w:rStyle w:val="Reference"/>
        </w:rPr>
        <w:t>101.17]</w:t>
      </w:r>
    </w:p>
    <w:p w14:paraId="28AA26BD" w14:textId="77777777" w:rsidR="003719CD" w:rsidRDefault="003719CD" w:rsidP="00197D8A">
      <w:pPr>
        <w:pStyle w:val="GuidanceEnd"/>
      </w:pPr>
    </w:p>
    <w:p w14:paraId="18B7DE31" w14:textId="77777777" w:rsidR="00612D9A" w:rsidRDefault="00612D9A">
      <w:pPr>
        <w:keepLines w:val="0"/>
      </w:pPr>
      <w:r>
        <w:br w:type="page"/>
      </w:r>
    </w:p>
    <w:p w14:paraId="229CE4EC" w14:textId="74A66457" w:rsidR="00612D9A" w:rsidRDefault="00612D9A" w:rsidP="00612D9A">
      <w:pPr>
        <w:pStyle w:val="Heading2"/>
      </w:pPr>
      <w:r>
        <w:lastRenderedPageBreak/>
        <w:t>PLACEHOLDER FOR VAGO REPORT</w:t>
      </w:r>
    </w:p>
    <w:p w14:paraId="45B8EB18" w14:textId="5245E6D5" w:rsidR="006E3C94" w:rsidRPr="006E3C94" w:rsidRDefault="006E3C94" w:rsidP="00B8370D">
      <w:r>
        <w:t>[</w:t>
      </w:r>
      <w:r w:rsidR="00B8370D">
        <w:t xml:space="preserve">please </w:t>
      </w:r>
      <w:r>
        <w:t xml:space="preserve">Insert </w:t>
      </w:r>
      <w:r w:rsidR="00B8370D">
        <w:t xml:space="preserve">your </w:t>
      </w:r>
      <w:r w:rsidR="000B3076">
        <w:t>entity’s</w:t>
      </w:r>
      <w:r>
        <w:t xml:space="preserve"> audit report</w:t>
      </w:r>
      <w:r w:rsidR="00B7324A">
        <w:t xml:space="preserve"> from VAGO</w:t>
      </w:r>
      <w:r>
        <w:t>]</w:t>
      </w:r>
    </w:p>
    <w:p w14:paraId="2E644229" w14:textId="62057F4F" w:rsidR="00612D9A" w:rsidRDefault="00612D9A">
      <w:pPr>
        <w:keepLines w:val="0"/>
      </w:pPr>
    </w:p>
    <w:p w14:paraId="7806F76A" w14:textId="77777777" w:rsidR="003719CD" w:rsidRDefault="003719CD" w:rsidP="00DC39DE">
      <w:r>
        <w:t xml:space="preserve"> </w:t>
      </w:r>
    </w:p>
    <w:p w14:paraId="3E4E9ADD" w14:textId="77777777" w:rsidR="003719CD" w:rsidRDefault="003719CD" w:rsidP="00DC39DE">
      <w:r>
        <w:t xml:space="preserve"> </w:t>
      </w:r>
    </w:p>
    <w:p w14:paraId="6897E5C7" w14:textId="070A3975" w:rsidR="003719CD" w:rsidRDefault="003719CD" w:rsidP="00DC39DE">
      <w:r>
        <w:t xml:space="preserve"> </w:t>
      </w:r>
    </w:p>
    <w:p w14:paraId="2656E6CD" w14:textId="39211D0A" w:rsidR="003719CD" w:rsidRDefault="003719CD" w:rsidP="00DC39DE">
      <w:r>
        <w:t xml:space="preserve"> </w:t>
      </w:r>
    </w:p>
    <w:p w14:paraId="6EE10256" w14:textId="77777777" w:rsidR="003719CD" w:rsidRDefault="003719CD" w:rsidP="00DC39DE">
      <w:r>
        <w:t xml:space="preserve"> </w:t>
      </w:r>
    </w:p>
    <w:p w14:paraId="4923A277" w14:textId="478D414F" w:rsidR="003719CD" w:rsidRDefault="003719CD" w:rsidP="00DC39DE"/>
    <w:p w14:paraId="771C8791" w14:textId="77777777" w:rsidR="003719CD" w:rsidRDefault="003719CD" w:rsidP="00DC39DE">
      <w:r>
        <w:t xml:space="preserve"> </w:t>
      </w:r>
    </w:p>
    <w:p w14:paraId="1C89CBCD" w14:textId="77777777" w:rsidR="003719CD" w:rsidRDefault="003719CD">
      <w:pPr>
        <w:keepLines w:val="0"/>
      </w:pPr>
      <w:r>
        <w:br w:type="page"/>
      </w:r>
    </w:p>
    <w:p w14:paraId="6D5C3057" w14:textId="4A023C9C" w:rsidR="003719CD" w:rsidRDefault="003719CD" w:rsidP="00197D8A">
      <w:pPr>
        <w:pStyle w:val="Heading2"/>
      </w:pPr>
      <w:bookmarkStart w:id="4" w:name="OperatingStatement"/>
      <w:bookmarkEnd w:id="4"/>
      <w:r>
        <w:lastRenderedPageBreak/>
        <w:t xml:space="preserve">Comprehensive operating statement </w:t>
      </w:r>
      <w:r w:rsidRPr="00CD06B1">
        <w:rPr>
          <w:vertAlign w:val="superscript"/>
        </w:rPr>
        <w:t>(a)</w:t>
      </w:r>
    </w:p>
    <w:p w14:paraId="04B774A4" w14:textId="00F37CA5" w:rsidR="003719CD" w:rsidRDefault="003719CD" w:rsidP="007D536F">
      <w:pPr>
        <w:pStyle w:val="Caption"/>
      </w:pPr>
      <w:r>
        <w:t xml:space="preserve">For the financial year ended 30 June </w:t>
      </w:r>
      <w:fldSimple w:instr="DOCPROPERTY  YearCurrent \* MERGEFORMAT">
        <w:r w:rsidR="00A545BA">
          <w:t>20X2</w:t>
        </w:r>
      </w:fldSimple>
      <w:r>
        <w:tab/>
        <w:t xml:space="preserve">($ thousand) </w:t>
      </w:r>
    </w:p>
    <w:tbl>
      <w:tblPr>
        <w:tblStyle w:val="DTFTable"/>
        <w:tblW w:w="9639" w:type="dxa"/>
        <w:tblLayout w:type="fixed"/>
        <w:tblLook w:val="06A0" w:firstRow="1" w:lastRow="0" w:firstColumn="1" w:lastColumn="0" w:noHBand="1" w:noVBand="1"/>
      </w:tblPr>
      <w:tblGrid>
        <w:gridCol w:w="1349"/>
        <w:gridCol w:w="5695"/>
        <w:gridCol w:w="865"/>
        <w:gridCol w:w="865"/>
        <w:gridCol w:w="865"/>
      </w:tblGrid>
      <w:tr w:rsidR="00182709" w14:paraId="003A96D8" w14:textId="77777777" w:rsidTr="007714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9" w:type="dxa"/>
            <w:tcBorders>
              <w:top w:val="nil"/>
              <w:bottom w:val="nil"/>
            </w:tcBorders>
            <w:shd w:val="clear" w:color="auto" w:fill="FFFFFF" w:themeFill="background1"/>
          </w:tcPr>
          <w:p w14:paraId="4272390D" w14:textId="22FDCDA5" w:rsidR="00182709" w:rsidRDefault="0044097C">
            <w:pPr>
              <w:keepNext/>
            </w:pPr>
            <w:r>
              <w:rPr>
                <w:color w:val="4472C4"/>
                <w:sz w:val="13"/>
              </w:rPr>
              <w:t>Source reference</w:t>
            </w:r>
          </w:p>
        </w:tc>
        <w:tc>
          <w:tcPr>
            <w:tcW w:w="5695" w:type="dxa"/>
          </w:tcPr>
          <w:p w14:paraId="33037413"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865" w:type="dxa"/>
          </w:tcPr>
          <w:p w14:paraId="2688DA44" w14:textId="5E6B9532" w:rsidR="00182709" w:rsidRDefault="00E71E36">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865" w:type="dxa"/>
          </w:tcPr>
          <w:p w14:paraId="6B2A229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20X2</w:t>
            </w:r>
          </w:p>
        </w:tc>
        <w:tc>
          <w:tcPr>
            <w:tcW w:w="865" w:type="dxa"/>
          </w:tcPr>
          <w:p w14:paraId="4A7EDEE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20X1</w:t>
            </w:r>
          </w:p>
        </w:tc>
      </w:tr>
      <w:tr w:rsidR="00182709" w14:paraId="63B0B0B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2B99C28" w14:textId="77777777" w:rsidR="00182709" w:rsidRDefault="00182709"/>
        </w:tc>
        <w:tc>
          <w:tcPr>
            <w:tcW w:w="5695" w:type="dxa"/>
          </w:tcPr>
          <w:p w14:paraId="05A8938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Continuing operations</w:t>
            </w:r>
          </w:p>
        </w:tc>
        <w:tc>
          <w:tcPr>
            <w:tcW w:w="865" w:type="dxa"/>
          </w:tcPr>
          <w:p w14:paraId="2F2FB673"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547713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7735BD6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1939C3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C7896FB" w14:textId="77777777" w:rsidR="00182709" w:rsidRDefault="0044097C">
            <w:r>
              <w:rPr>
                <w:color w:val="4472C4"/>
                <w:sz w:val="13"/>
              </w:rPr>
              <w:t>AASB 101.82 (a)</w:t>
            </w:r>
          </w:p>
        </w:tc>
        <w:tc>
          <w:tcPr>
            <w:tcW w:w="5695" w:type="dxa"/>
          </w:tcPr>
          <w:p w14:paraId="0944D2A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Revenue and income from transactions</w:t>
            </w:r>
          </w:p>
        </w:tc>
        <w:tc>
          <w:tcPr>
            <w:tcW w:w="865" w:type="dxa"/>
          </w:tcPr>
          <w:p w14:paraId="30515437"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3B1880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610E7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CB7B2B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56DD3D81" w14:textId="77777777" w:rsidR="00182709" w:rsidRDefault="0044097C">
            <w:r>
              <w:rPr>
                <w:color w:val="4472C4"/>
                <w:sz w:val="13"/>
              </w:rPr>
              <w:t>AASB 1058.26 (c)</w:t>
            </w:r>
          </w:p>
        </w:tc>
        <w:tc>
          <w:tcPr>
            <w:tcW w:w="5695" w:type="dxa"/>
          </w:tcPr>
          <w:p w14:paraId="008D4EF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Output appropriations</w:t>
            </w:r>
          </w:p>
        </w:tc>
        <w:tc>
          <w:tcPr>
            <w:tcW w:w="865" w:type="dxa"/>
          </w:tcPr>
          <w:p w14:paraId="481A1532" w14:textId="688C6F6C" w:rsidR="00182709" w:rsidRDefault="00B12926">
            <w:pPr>
              <w:jc w:val="center"/>
              <w:cnfStyle w:val="000000000000" w:firstRow="0" w:lastRow="0" w:firstColumn="0" w:lastColumn="0" w:oddVBand="0" w:evenVBand="0" w:oddHBand="0" w:evenHBand="0" w:firstRowFirstColumn="0" w:firstRowLastColumn="0" w:lastRowFirstColumn="0" w:lastRowLastColumn="0"/>
            </w:pPr>
            <w:r>
              <w:t>2.2</w:t>
            </w:r>
          </w:p>
        </w:tc>
        <w:tc>
          <w:tcPr>
            <w:tcW w:w="865" w:type="dxa"/>
          </w:tcPr>
          <w:p w14:paraId="2BABE7FF" w14:textId="77777777" w:rsidR="00182709" w:rsidRDefault="0044097C">
            <w:pPr>
              <w:cnfStyle w:val="000000000000" w:firstRow="0" w:lastRow="0" w:firstColumn="0" w:lastColumn="0" w:oddVBand="0" w:evenVBand="0" w:oddHBand="0" w:evenHBand="0" w:firstRowFirstColumn="0" w:firstRowLastColumn="0" w:lastRowFirstColumn="0" w:lastRowLastColumn="0"/>
            </w:pPr>
            <w:r>
              <w:t>85 535</w:t>
            </w:r>
          </w:p>
        </w:tc>
        <w:tc>
          <w:tcPr>
            <w:tcW w:w="865" w:type="dxa"/>
          </w:tcPr>
          <w:p w14:paraId="7CEFF5DA" w14:textId="77777777" w:rsidR="00182709" w:rsidRDefault="0044097C">
            <w:pPr>
              <w:cnfStyle w:val="000000000000" w:firstRow="0" w:lastRow="0" w:firstColumn="0" w:lastColumn="0" w:oddVBand="0" w:evenVBand="0" w:oddHBand="0" w:evenHBand="0" w:firstRowFirstColumn="0" w:firstRowLastColumn="0" w:lastRowFirstColumn="0" w:lastRowLastColumn="0"/>
            </w:pPr>
            <w:r>
              <w:t>63 682</w:t>
            </w:r>
          </w:p>
        </w:tc>
      </w:tr>
      <w:tr w:rsidR="00182709" w14:paraId="3A090E2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4E4F0BF0" w14:textId="17D6ED80" w:rsidR="00182709" w:rsidRDefault="0044097C">
            <w:r>
              <w:rPr>
                <w:color w:val="4472C4"/>
                <w:sz w:val="13"/>
              </w:rPr>
              <w:t>AASB 1058.26 (c)</w:t>
            </w:r>
          </w:p>
        </w:tc>
        <w:tc>
          <w:tcPr>
            <w:tcW w:w="5695" w:type="dxa"/>
          </w:tcPr>
          <w:p w14:paraId="4989D5A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Special appropriations</w:t>
            </w:r>
          </w:p>
        </w:tc>
        <w:tc>
          <w:tcPr>
            <w:tcW w:w="865" w:type="dxa"/>
          </w:tcPr>
          <w:p w14:paraId="47D60484" w14:textId="46555562" w:rsidR="00182709" w:rsidRDefault="00B12926">
            <w:pPr>
              <w:jc w:val="center"/>
              <w:cnfStyle w:val="000000000000" w:firstRow="0" w:lastRow="0" w:firstColumn="0" w:lastColumn="0" w:oddVBand="0" w:evenVBand="0" w:oddHBand="0" w:evenHBand="0" w:firstRowFirstColumn="0" w:firstRowLastColumn="0" w:lastRowFirstColumn="0" w:lastRowLastColumn="0"/>
            </w:pPr>
            <w:r>
              <w:t>2.2</w:t>
            </w:r>
          </w:p>
        </w:tc>
        <w:tc>
          <w:tcPr>
            <w:tcW w:w="865" w:type="dxa"/>
          </w:tcPr>
          <w:p w14:paraId="7878132B" w14:textId="77777777" w:rsidR="00182709" w:rsidRDefault="0044097C">
            <w:pPr>
              <w:cnfStyle w:val="000000000000" w:firstRow="0" w:lastRow="0" w:firstColumn="0" w:lastColumn="0" w:oddVBand="0" w:evenVBand="0" w:oddHBand="0" w:evenHBand="0" w:firstRowFirstColumn="0" w:firstRowLastColumn="0" w:lastRowFirstColumn="0" w:lastRowLastColumn="0"/>
            </w:pPr>
            <w:r>
              <w:t>8 128</w:t>
            </w:r>
          </w:p>
        </w:tc>
        <w:tc>
          <w:tcPr>
            <w:tcW w:w="865" w:type="dxa"/>
          </w:tcPr>
          <w:p w14:paraId="318442F2" w14:textId="77777777" w:rsidR="00182709" w:rsidRDefault="0044097C">
            <w:pPr>
              <w:cnfStyle w:val="000000000000" w:firstRow="0" w:lastRow="0" w:firstColumn="0" w:lastColumn="0" w:oddVBand="0" w:evenVBand="0" w:oddHBand="0" w:evenHBand="0" w:firstRowFirstColumn="0" w:firstRowLastColumn="0" w:lastRowFirstColumn="0" w:lastRowLastColumn="0"/>
            </w:pPr>
            <w:r>
              <w:t>11 396</w:t>
            </w:r>
          </w:p>
        </w:tc>
      </w:tr>
      <w:tr w:rsidR="00182709" w14:paraId="52E8165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8712958" w14:textId="77777777" w:rsidR="00182709" w:rsidRDefault="0044097C">
            <w:r>
              <w:rPr>
                <w:color w:val="4472C4"/>
                <w:sz w:val="13"/>
              </w:rPr>
              <w:t>AASB 101.82 (a)</w:t>
            </w:r>
          </w:p>
        </w:tc>
        <w:tc>
          <w:tcPr>
            <w:tcW w:w="5695" w:type="dxa"/>
          </w:tcPr>
          <w:p w14:paraId="784BBE6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Interest</w:t>
            </w:r>
          </w:p>
        </w:tc>
        <w:tc>
          <w:tcPr>
            <w:tcW w:w="865" w:type="dxa"/>
          </w:tcPr>
          <w:p w14:paraId="0CD4606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2.4.1</w:t>
            </w:r>
          </w:p>
        </w:tc>
        <w:tc>
          <w:tcPr>
            <w:tcW w:w="865" w:type="dxa"/>
          </w:tcPr>
          <w:p w14:paraId="4A83AB08" w14:textId="77777777" w:rsidR="00182709" w:rsidRDefault="0044097C">
            <w:pPr>
              <w:cnfStyle w:val="000000000000" w:firstRow="0" w:lastRow="0" w:firstColumn="0" w:lastColumn="0" w:oddVBand="0" w:evenVBand="0" w:oddHBand="0" w:evenHBand="0" w:firstRowFirstColumn="0" w:firstRowLastColumn="0" w:lastRowFirstColumn="0" w:lastRowLastColumn="0"/>
            </w:pPr>
            <w:r>
              <w:t>3 864</w:t>
            </w:r>
          </w:p>
        </w:tc>
        <w:tc>
          <w:tcPr>
            <w:tcW w:w="865" w:type="dxa"/>
          </w:tcPr>
          <w:p w14:paraId="38453AA8"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2 897</w:t>
            </w:r>
          </w:p>
        </w:tc>
      </w:tr>
      <w:tr w:rsidR="00182709" w14:paraId="1FCC20C6"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CAD3915" w14:textId="77777777" w:rsidR="00182709" w:rsidRDefault="0044097C">
            <w:r>
              <w:rPr>
                <w:color w:val="4472C4"/>
                <w:sz w:val="13"/>
              </w:rPr>
              <w:t>AASB 101.82 (a)</w:t>
            </w:r>
          </w:p>
        </w:tc>
        <w:tc>
          <w:tcPr>
            <w:tcW w:w="5695" w:type="dxa"/>
          </w:tcPr>
          <w:p w14:paraId="0C73A6A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Sale of goods and services</w:t>
            </w:r>
          </w:p>
        </w:tc>
        <w:tc>
          <w:tcPr>
            <w:tcW w:w="865" w:type="dxa"/>
          </w:tcPr>
          <w:p w14:paraId="4BCE491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2.4.2</w:t>
            </w:r>
          </w:p>
        </w:tc>
        <w:tc>
          <w:tcPr>
            <w:tcW w:w="865" w:type="dxa"/>
          </w:tcPr>
          <w:p w14:paraId="43D5BB36" w14:textId="77777777" w:rsidR="00182709" w:rsidRDefault="0044097C">
            <w:pPr>
              <w:cnfStyle w:val="000000000000" w:firstRow="0" w:lastRow="0" w:firstColumn="0" w:lastColumn="0" w:oddVBand="0" w:evenVBand="0" w:oddHBand="0" w:evenHBand="0" w:firstRowFirstColumn="0" w:firstRowLastColumn="0" w:lastRowFirstColumn="0" w:lastRowLastColumn="0"/>
            </w:pPr>
            <w:r>
              <w:t>1 779</w:t>
            </w:r>
          </w:p>
        </w:tc>
        <w:tc>
          <w:tcPr>
            <w:tcW w:w="865" w:type="dxa"/>
          </w:tcPr>
          <w:p w14:paraId="797BDCA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1 346</w:t>
            </w:r>
          </w:p>
        </w:tc>
      </w:tr>
      <w:tr w:rsidR="00182709" w14:paraId="5DBD393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5121163" w14:textId="77777777" w:rsidR="00182709" w:rsidRDefault="0044097C">
            <w:r>
              <w:rPr>
                <w:color w:val="4472C4"/>
                <w:sz w:val="13"/>
              </w:rPr>
              <w:t>AASB 1058.26 (a)</w:t>
            </w:r>
          </w:p>
        </w:tc>
        <w:tc>
          <w:tcPr>
            <w:tcW w:w="5695" w:type="dxa"/>
          </w:tcPr>
          <w:p w14:paraId="5131EB6A"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Grants</w:t>
            </w:r>
          </w:p>
        </w:tc>
        <w:tc>
          <w:tcPr>
            <w:tcW w:w="865" w:type="dxa"/>
          </w:tcPr>
          <w:p w14:paraId="0321237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2.4.3</w:t>
            </w:r>
          </w:p>
        </w:tc>
        <w:tc>
          <w:tcPr>
            <w:tcW w:w="865" w:type="dxa"/>
          </w:tcPr>
          <w:p w14:paraId="2959690A" w14:textId="77777777" w:rsidR="00182709" w:rsidRDefault="0044097C">
            <w:pPr>
              <w:cnfStyle w:val="000000000000" w:firstRow="0" w:lastRow="0" w:firstColumn="0" w:lastColumn="0" w:oddVBand="0" w:evenVBand="0" w:oddHBand="0" w:evenHBand="0" w:firstRowFirstColumn="0" w:firstRowLastColumn="0" w:lastRowFirstColumn="0" w:lastRowLastColumn="0"/>
            </w:pPr>
            <w:r>
              <w:t>288</w:t>
            </w:r>
          </w:p>
        </w:tc>
        <w:tc>
          <w:tcPr>
            <w:tcW w:w="865" w:type="dxa"/>
          </w:tcPr>
          <w:p w14:paraId="661F66F2" w14:textId="77777777" w:rsidR="00182709" w:rsidRDefault="0044097C">
            <w:pPr>
              <w:cnfStyle w:val="000000000000" w:firstRow="0" w:lastRow="0" w:firstColumn="0" w:lastColumn="0" w:oddVBand="0" w:evenVBand="0" w:oddHBand="0" w:evenHBand="0" w:firstRowFirstColumn="0" w:firstRowLastColumn="0" w:lastRowFirstColumn="0" w:lastRowLastColumn="0"/>
            </w:pPr>
            <w:r>
              <w:t>255</w:t>
            </w:r>
          </w:p>
        </w:tc>
      </w:tr>
      <w:tr w:rsidR="00182709" w14:paraId="18B539E6"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F49C582" w14:textId="77777777" w:rsidR="00182709" w:rsidRDefault="0044097C">
            <w:r>
              <w:rPr>
                <w:color w:val="4472C4"/>
                <w:sz w:val="13"/>
              </w:rPr>
              <w:t>AASB 1058.26 (a)</w:t>
            </w:r>
          </w:p>
        </w:tc>
        <w:tc>
          <w:tcPr>
            <w:tcW w:w="5695" w:type="dxa"/>
          </w:tcPr>
          <w:p w14:paraId="0C2AD8B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Fair value of assets and services received free of charge or for nominal consideration</w:t>
            </w:r>
          </w:p>
        </w:tc>
        <w:tc>
          <w:tcPr>
            <w:tcW w:w="865" w:type="dxa"/>
          </w:tcPr>
          <w:p w14:paraId="62C942DE"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2.4.4</w:t>
            </w:r>
          </w:p>
        </w:tc>
        <w:tc>
          <w:tcPr>
            <w:tcW w:w="865" w:type="dxa"/>
          </w:tcPr>
          <w:p w14:paraId="5E171CAF" w14:textId="77777777" w:rsidR="00182709" w:rsidRDefault="0044097C">
            <w:pPr>
              <w:cnfStyle w:val="000000000000" w:firstRow="0" w:lastRow="0" w:firstColumn="0" w:lastColumn="0" w:oddVBand="0" w:evenVBand="0" w:oddHBand="0" w:evenHBand="0" w:firstRowFirstColumn="0" w:firstRowLastColumn="0" w:lastRowFirstColumn="0" w:lastRowLastColumn="0"/>
            </w:pPr>
            <w:r>
              <w:t>1 589</w:t>
            </w:r>
          </w:p>
        </w:tc>
        <w:tc>
          <w:tcPr>
            <w:tcW w:w="865" w:type="dxa"/>
          </w:tcPr>
          <w:p w14:paraId="37B43DD7" w14:textId="77777777" w:rsidR="00182709" w:rsidRDefault="0044097C">
            <w:pPr>
              <w:cnfStyle w:val="000000000000" w:firstRow="0" w:lastRow="0" w:firstColumn="0" w:lastColumn="0" w:oddVBand="0" w:evenVBand="0" w:oddHBand="0" w:evenHBand="0" w:firstRowFirstColumn="0" w:firstRowLastColumn="0" w:lastRowFirstColumn="0" w:lastRowLastColumn="0"/>
            </w:pPr>
            <w:r>
              <w:t>1 708</w:t>
            </w:r>
          </w:p>
        </w:tc>
      </w:tr>
      <w:tr w:rsidR="00182709" w14:paraId="154E37EC"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B7AE965" w14:textId="77777777" w:rsidR="00182709" w:rsidRDefault="0044097C">
            <w:r>
              <w:rPr>
                <w:color w:val="4472C4"/>
                <w:sz w:val="13"/>
              </w:rPr>
              <w:t>AASB 101.85</w:t>
            </w:r>
          </w:p>
        </w:tc>
        <w:tc>
          <w:tcPr>
            <w:tcW w:w="5695" w:type="dxa"/>
            <w:tcBorders>
              <w:bottom w:val="single" w:sz="12" w:space="0" w:color="auto"/>
            </w:tcBorders>
          </w:tcPr>
          <w:p w14:paraId="3558B46A"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income</w:t>
            </w:r>
          </w:p>
        </w:tc>
        <w:tc>
          <w:tcPr>
            <w:tcW w:w="865" w:type="dxa"/>
            <w:tcBorders>
              <w:bottom w:val="single" w:sz="12" w:space="0" w:color="auto"/>
            </w:tcBorders>
          </w:tcPr>
          <w:p w14:paraId="270E0F9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2.4.5</w:t>
            </w:r>
          </w:p>
        </w:tc>
        <w:tc>
          <w:tcPr>
            <w:tcW w:w="865" w:type="dxa"/>
            <w:tcBorders>
              <w:bottom w:val="single" w:sz="12" w:space="0" w:color="auto"/>
            </w:tcBorders>
          </w:tcPr>
          <w:p w14:paraId="6177E4F9" w14:textId="77777777" w:rsidR="00182709" w:rsidRDefault="0044097C">
            <w:pPr>
              <w:cnfStyle w:val="000000000000" w:firstRow="0" w:lastRow="0" w:firstColumn="0" w:lastColumn="0" w:oddVBand="0" w:evenVBand="0" w:oddHBand="0" w:evenHBand="0" w:firstRowFirstColumn="0" w:firstRowLastColumn="0" w:lastRowFirstColumn="0" w:lastRowLastColumn="0"/>
            </w:pPr>
            <w:r>
              <w:t>7 213</w:t>
            </w:r>
          </w:p>
        </w:tc>
        <w:tc>
          <w:tcPr>
            <w:tcW w:w="865" w:type="dxa"/>
            <w:tcBorders>
              <w:bottom w:val="single" w:sz="12" w:space="0" w:color="auto"/>
            </w:tcBorders>
          </w:tcPr>
          <w:p w14:paraId="4F98003E" w14:textId="77777777" w:rsidR="00182709" w:rsidRDefault="0044097C">
            <w:pPr>
              <w:cnfStyle w:val="000000000000" w:firstRow="0" w:lastRow="0" w:firstColumn="0" w:lastColumn="0" w:oddVBand="0" w:evenVBand="0" w:oddHBand="0" w:evenHBand="0" w:firstRowFirstColumn="0" w:firstRowLastColumn="0" w:lastRowFirstColumn="0" w:lastRowLastColumn="0"/>
            </w:pPr>
            <w:r>
              <w:t>5 826</w:t>
            </w:r>
          </w:p>
        </w:tc>
      </w:tr>
      <w:tr w:rsidR="00671D55" w14:paraId="4C7B999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4C413B3" w14:textId="77777777" w:rsidR="00182709" w:rsidRDefault="00182709"/>
        </w:tc>
        <w:tc>
          <w:tcPr>
            <w:tcW w:w="5695" w:type="dxa"/>
          </w:tcPr>
          <w:p w14:paraId="2134B85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revenue and income from transactions</w:t>
            </w:r>
          </w:p>
        </w:tc>
        <w:tc>
          <w:tcPr>
            <w:tcW w:w="865" w:type="dxa"/>
          </w:tcPr>
          <w:p w14:paraId="7E915E7C"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29E2BCA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108 396</w:t>
            </w:r>
          </w:p>
        </w:tc>
        <w:tc>
          <w:tcPr>
            <w:tcW w:w="865" w:type="dxa"/>
          </w:tcPr>
          <w:p w14:paraId="7A6CF5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87 110</w:t>
            </w:r>
          </w:p>
        </w:tc>
      </w:tr>
      <w:tr w:rsidR="00182709" w14:paraId="62B1759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ADBABA2" w14:textId="77777777" w:rsidR="00182709" w:rsidRDefault="00182709"/>
        </w:tc>
        <w:tc>
          <w:tcPr>
            <w:tcW w:w="5695" w:type="dxa"/>
          </w:tcPr>
          <w:p w14:paraId="18544A1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Expenses from transactions</w:t>
            </w:r>
          </w:p>
        </w:tc>
        <w:tc>
          <w:tcPr>
            <w:tcW w:w="865" w:type="dxa"/>
          </w:tcPr>
          <w:p w14:paraId="74ABC8FE"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7D4ABAA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6E74E3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BB4817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4CF81BBC" w14:textId="77777777" w:rsidR="00182709" w:rsidRDefault="0044097C">
            <w:r>
              <w:rPr>
                <w:color w:val="4472C4"/>
                <w:sz w:val="13"/>
              </w:rPr>
              <w:t>AASB 101.99</w:t>
            </w:r>
          </w:p>
        </w:tc>
        <w:tc>
          <w:tcPr>
            <w:tcW w:w="5695" w:type="dxa"/>
          </w:tcPr>
          <w:p w14:paraId="654CCFE4"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Employee expenses</w:t>
            </w:r>
          </w:p>
        </w:tc>
        <w:tc>
          <w:tcPr>
            <w:tcW w:w="865" w:type="dxa"/>
          </w:tcPr>
          <w:p w14:paraId="4ED03A7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3.1.1</w:t>
            </w:r>
          </w:p>
        </w:tc>
        <w:tc>
          <w:tcPr>
            <w:tcW w:w="865" w:type="dxa"/>
          </w:tcPr>
          <w:p w14:paraId="255EC803"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(13 767)</w:t>
            </w:r>
          </w:p>
        </w:tc>
        <w:tc>
          <w:tcPr>
            <w:tcW w:w="865" w:type="dxa"/>
          </w:tcPr>
          <w:p w14:paraId="402BCF17" w14:textId="77777777" w:rsidR="00182709" w:rsidRDefault="0044097C">
            <w:pPr>
              <w:cnfStyle w:val="000000000000" w:firstRow="0" w:lastRow="0" w:firstColumn="0" w:lastColumn="0" w:oddVBand="0" w:evenVBand="0" w:oddHBand="0" w:evenHBand="0" w:firstRowFirstColumn="0" w:firstRowLastColumn="0" w:lastRowFirstColumn="0" w:lastRowLastColumn="0"/>
            </w:pPr>
            <w:r>
              <w:t>(10 970)</w:t>
            </w:r>
          </w:p>
        </w:tc>
      </w:tr>
      <w:tr w:rsidR="00182709" w14:paraId="0DC16C8C"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6D6AEF6" w14:textId="77777777" w:rsidR="00182709" w:rsidRDefault="0044097C">
            <w:r>
              <w:rPr>
                <w:color w:val="4472C4"/>
                <w:sz w:val="13"/>
              </w:rPr>
              <w:t>AASB 101.85</w:t>
            </w:r>
          </w:p>
        </w:tc>
        <w:tc>
          <w:tcPr>
            <w:tcW w:w="5695" w:type="dxa"/>
          </w:tcPr>
          <w:p w14:paraId="7502BDD9"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Depreciation</w:t>
            </w:r>
          </w:p>
        </w:tc>
        <w:tc>
          <w:tcPr>
            <w:tcW w:w="865" w:type="dxa"/>
          </w:tcPr>
          <w:p w14:paraId="053A2DAA"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5.1.3</w:t>
            </w:r>
          </w:p>
        </w:tc>
        <w:tc>
          <w:tcPr>
            <w:tcW w:w="865" w:type="dxa"/>
          </w:tcPr>
          <w:p w14:paraId="23F681BD" w14:textId="77777777" w:rsidR="00182709" w:rsidRDefault="0044097C">
            <w:pPr>
              <w:cnfStyle w:val="000000000000" w:firstRow="0" w:lastRow="0" w:firstColumn="0" w:lastColumn="0" w:oddVBand="0" w:evenVBand="0" w:oddHBand="0" w:evenHBand="0" w:firstRowFirstColumn="0" w:firstRowLastColumn="0" w:lastRowFirstColumn="0" w:lastRowLastColumn="0"/>
            </w:pPr>
            <w:r>
              <w:t>(18 718)</w:t>
            </w:r>
          </w:p>
        </w:tc>
        <w:tc>
          <w:tcPr>
            <w:tcW w:w="865" w:type="dxa"/>
          </w:tcPr>
          <w:p w14:paraId="42DC053A" w14:textId="77777777" w:rsidR="00182709" w:rsidRDefault="0044097C">
            <w:pPr>
              <w:cnfStyle w:val="000000000000" w:firstRow="0" w:lastRow="0" w:firstColumn="0" w:lastColumn="0" w:oddVBand="0" w:evenVBand="0" w:oddHBand="0" w:evenHBand="0" w:firstRowFirstColumn="0" w:firstRowLastColumn="0" w:lastRowFirstColumn="0" w:lastRowLastColumn="0"/>
            </w:pPr>
            <w:r>
              <w:t>(13 358)</w:t>
            </w:r>
          </w:p>
        </w:tc>
      </w:tr>
      <w:tr w:rsidR="00182709" w14:paraId="466DF44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506DEE9B" w14:textId="77777777" w:rsidR="00182709" w:rsidRDefault="0044097C">
            <w:r>
              <w:rPr>
                <w:color w:val="4472C4"/>
                <w:sz w:val="13"/>
              </w:rPr>
              <w:t>AASB 101.85</w:t>
            </w:r>
          </w:p>
        </w:tc>
        <w:tc>
          <w:tcPr>
            <w:tcW w:w="5695" w:type="dxa"/>
          </w:tcPr>
          <w:p w14:paraId="24678F8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Interest expense</w:t>
            </w:r>
          </w:p>
        </w:tc>
        <w:tc>
          <w:tcPr>
            <w:tcW w:w="865" w:type="dxa"/>
          </w:tcPr>
          <w:p w14:paraId="33FA9C2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7</w:t>
            </w:r>
          </w:p>
        </w:tc>
        <w:tc>
          <w:tcPr>
            <w:tcW w:w="865" w:type="dxa"/>
          </w:tcPr>
          <w:p w14:paraId="3045DAD7" w14:textId="77777777" w:rsidR="00182709" w:rsidRDefault="0044097C">
            <w:pPr>
              <w:cnfStyle w:val="000000000000" w:firstRow="0" w:lastRow="0" w:firstColumn="0" w:lastColumn="0" w:oddVBand="0" w:evenVBand="0" w:oddHBand="0" w:evenHBand="0" w:firstRowFirstColumn="0" w:firstRowLastColumn="0" w:lastRowFirstColumn="0" w:lastRowLastColumn="0"/>
            </w:pPr>
            <w:r>
              <w:t>(6 548)</w:t>
            </w:r>
          </w:p>
        </w:tc>
        <w:tc>
          <w:tcPr>
            <w:tcW w:w="865" w:type="dxa"/>
          </w:tcPr>
          <w:p w14:paraId="02E92CF2" w14:textId="77777777" w:rsidR="00182709" w:rsidRDefault="0044097C">
            <w:pPr>
              <w:cnfStyle w:val="000000000000" w:firstRow="0" w:lastRow="0" w:firstColumn="0" w:lastColumn="0" w:oddVBand="0" w:evenVBand="0" w:oddHBand="0" w:evenHBand="0" w:firstRowFirstColumn="0" w:firstRowLastColumn="0" w:lastRowFirstColumn="0" w:lastRowLastColumn="0"/>
            </w:pPr>
            <w:r>
              <w:t>(4 335)</w:t>
            </w:r>
          </w:p>
        </w:tc>
      </w:tr>
      <w:tr w:rsidR="00182709" w14:paraId="6DC8E05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3419374" w14:textId="77777777" w:rsidR="00182709" w:rsidRDefault="0044097C">
            <w:r>
              <w:rPr>
                <w:color w:val="4472C4"/>
                <w:sz w:val="13"/>
              </w:rPr>
              <w:t>AASB 101.82 (b)</w:t>
            </w:r>
          </w:p>
        </w:tc>
        <w:tc>
          <w:tcPr>
            <w:tcW w:w="5695" w:type="dxa"/>
          </w:tcPr>
          <w:p w14:paraId="05C2881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Grant expenses</w:t>
            </w:r>
          </w:p>
        </w:tc>
        <w:tc>
          <w:tcPr>
            <w:tcW w:w="865" w:type="dxa"/>
          </w:tcPr>
          <w:p w14:paraId="12EB574A"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w:t>
            </w:r>
          </w:p>
        </w:tc>
        <w:tc>
          <w:tcPr>
            <w:tcW w:w="865" w:type="dxa"/>
          </w:tcPr>
          <w:p w14:paraId="69806B31" w14:textId="77777777" w:rsidR="00182709" w:rsidRDefault="0044097C">
            <w:pPr>
              <w:cnfStyle w:val="000000000000" w:firstRow="0" w:lastRow="0" w:firstColumn="0" w:lastColumn="0" w:oddVBand="0" w:evenVBand="0" w:oddHBand="0" w:evenHBand="0" w:firstRowFirstColumn="0" w:firstRowLastColumn="0" w:lastRowFirstColumn="0" w:lastRowLastColumn="0"/>
            </w:pPr>
            <w:r>
              <w:t>(32 884)</w:t>
            </w:r>
          </w:p>
        </w:tc>
        <w:tc>
          <w:tcPr>
            <w:tcW w:w="865" w:type="dxa"/>
          </w:tcPr>
          <w:p w14:paraId="7E9D2607" w14:textId="77777777" w:rsidR="00182709" w:rsidRDefault="0044097C">
            <w:pPr>
              <w:cnfStyle w:val="000000000000" w:firstRow="0" w:lastRow="0" w:firstColumn="0" w:lastColumn="0" w:oddVBand="0" w:evenVBand="0" w:oddHBand="0" w:evenHBand="0" w:firstRowFirstColumn="0" w:firstRowLastColumn="0" w:lastRowFirstColumn="0" w:lastRowLastColumn="0"/>
            </w:pPr>
            <w:r>
              <w:t>(43 040)</w:t>
            </w:r>
          </w:p>
        </w:tc>
      </w:tr>
      <w:tr w:rsidR="00182709" w14:paraId="5FB9B51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7D8E669" w14:textId="77777777" w:rsidR="00182709" w:rsidRDefault="0044097C">
            <w:r>
              <w:rPr>
                <w:color w:val="4472C4"/>
                <w:sz w:val="13"/>
              </w:rPr>
              <w:t>AASB 101.82 (b)</w:t>
            </w:r>
          </w:p>
        </w:tc>
        <w:tc>
          <w:tcPr>
            <w:tcW w:w="5695" w:type="dxa"/>
            <w:tcBorders>
              <w:bottom w:val="single" w:sz="12" w:space="0" w:color="auto"/>
            </w:tcBorders>
          </w:tcPr>
          <w:p w14:paraId="570C3B9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operating expenses</w:t>
            </w:r>
          </w:p>
        </w:tc>
        <w:tc>
          <w:tcPr>
            <w:tcW w:w="865" w:type="dxa"/>
            <w:tcBorders>
              <w:bottom w:val="single" w:sz="12" w:space="0" w:color="auto"/>
            </w:tcBorders>
          </w:tcPr>
          <w:p w14:paraId="0B56C3A2"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3</w:t>
            </w:r>
          </w:p>
        </w:tc>
        <w:tc>
          <w:tcPr>
            <w:tcW w:w="865" w:type="dxa"/>
            <w:tcBorders>
              <w:bottom w:val="single" w:sz="12" w:space="0" w:color="auto"/>
            </w:tcBorders>
          </w:tcPr>
          <w:p w14:paraId="1A9BE509" w14:textId="5E6139FB" w:rsidR="00182709" w:rsidRDefault="008F49C2">
            <w:pPr>
              <w:cnfStyle w:val="000000000000" w:firstRow="0" w:lastRow="0" w:firstColumn="0" w:lastColumn="0" w:oddVBand="0" w:evenVBand="0" w:oddHBand="0" w:evenHBand="0" w:firstRowFirstColumn="0" w:firstRowLastColumn="0" w:lastRowFirstColumn="0" w:lastRowLastColumn="0"/>
            </w:pPr>
            <w:r w:rsidRPr="008F49C2">
              <w:t>(16 328)</w:t>
            </w:r>
          </w:p>
        </w:tc>
        <w:tc>
          <w:tcPr>
            <w:tcW w:w="865" w:type="dxa"/>
            <w:tcBorders>
              <w:bottom w:val="single" w:sz="12" w:space="0" w:color="auto"/>
            </w:tcBorders>
          </w:tcPr>
          <w:p w14:paraId="69AE532C" w14:textId="30E31E2F" w:rsidR="00182709" w:rsidRDefault="008F49C2">
            <w:pPr>
              <w:cnfStyle w:val="000000000000" w:firstRow="0" w:lastRow="0" w:firstColumn="0" w:lastColumn="0" w:oddVBand="0" w:evenVBand="0" w:oddHBand="0" w:evenHBand="0" w:firstRowFirstColumn="0" w:firstRowLastColumn="0" w:lastRowFirstColumn="0" w:lastRowLastColumn="0"/>
            </w:pPr>
            <w:r w:rsidRPr="008F49C2">
              <w:t>(8 822)</w:t>
            </w:r>
            <w:r w:rsidRPr="008F49C2" w:rsidDel="008F49C2">
              <w:t xml:space="preserve"> </w:t>
            </w:r>
          </w:p>
        </w:tc>
      </w:tr>
      <w:tr w:rsidR="00671D55" w14:paraId="150E9DE4"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2645791" w14:textId="77777777" w:rsidR="00182709" w:rsidRDefault="0044097C">
            <w:r>
              <w:rPr>
                <w:color w:val="4472C4"/>
                <w:sz w:val="13"/>
              </w:rPr>
              <w:t>AASB 101.85</w:t>
            </w:r>
          </w:p>
        </w:tc>
        <w:tc>
          <w:tcPr>
            <w:tcW w:w="5695" w:type="dxa"/>
          </w:tcPr>
          <w:p w14:paraId="0E80425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expenses from transactions</w:t>
            </w:r>
          </w:p>
        </w:tc>
        <w:tc>
          <w:tcPr>
            <w:tcW w:w="865" w:type="dxa"/>
          </w:tcPr>
          <w:p w14:paraId="697D2C50"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0219E1D1" w14:textId="54110354" w:rsidR="00182709" w:rsidRDefault="0044097C">
            <w:pPr>
              <w:cnfStyle w:val="000000000000" w:firstRow="0" w:lastRow="0" w:firstColumn="0" w:lastColumn="0" w:oddVBand="0" w:evenVBand="0" w:oddHBand="0" w:evenHBand="0" w:firstRowFirstColumn="0" w:firstRowLastColumn="0" w:lastRowFirstColumn="0" w:lastRowLastColumn="0"/>
            </w:pPr>
            <w:r>
              <w:rPr>
                <w:b/>
              </w:rPr>
              <w:t>(8</w:t>
            </w:r>
            <w:r w:rsidR="008F49C2">
              <w:rPr>
                <w:b/>
              </w:rPr>
              <w:t>8</w:t>
            </w:r>
            <w:r>
              <w:rPr>
                <w:b/>
              </w:rPr>
              <w:t xml:space="preserve"> </w:t>
            </w:r>
            <w:r w:rsidR="008F49C2">
              <w:rPr>
                <w:b/>
              </w:rPr>
              <w:t>245</w:t>
            </w:r>
            <w:r>
              <w:rPr>
                <w:b/>
              </w:rPr>
              <w:t>)</w:t>
            </w:r>
          </w:p>
        </w:tc>
        <w:tc>
          <w:tcPr>
            <w:tcW w:w="865" w:type="dxa"/>
          </w:tcPr>
          <w:p w14:paraId="35F8BFDB" w14:textId="0C4FBB4A" w:rsidR="00182709" w:rsidRDefault="0044097C">
            <w:pPr>
              <w:cnfStyle w:val="000000000000" w:firstRow="0" w:lastRow="0" w:firstColumn="0" w:lastColumn="0" w:oddVBand="0" w:evenVBand="0" w:oddHBand="0" w:evenHBand="0" w:firstRowFirstColumn="0" w:firstRowLastColumn="0" w:lastRowFirstColumn="0" w:lastRowLastColumn="0"/>
            </w:pPr>
            <w:r>
              <w:rPr>
                <w:b/>
              </w:rPr>
              <w:t>(8</w:t>
            </w:r>
            <w:r w:rsidR="008F49C2">
              <w:rPr>
                <w:b/>
              </w:rPr>
              <w:t>0</w:t>
            </w:r>
            <w:r>
              <w:rPr>
                <w:b/>
              </w:rPr>
              <w:t xml:space="preserve"> </w:t>
            </w:r>
            <w:r w:rsidR="008F49C2">
              <w:rPr>
                <w:b/>
              </w:rPr>
              <w:t>52</w:t>
            </w:r>
            <w:r>
              <w:rPr>
                <w:b/>
              </w:rPr>
              <w:t>5)</w:t>
            </w:r>
          </w:p>
        </w:tc>
      </w:tr>
      <w:tr w:rsidR="00671D55" w14:paraId="691E82D8"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462A4177" w14:textId="630401BE" w:rsidR="00182709" w:rsidRDefault="007714CA">
            <w:r>
              <w:rPr>
                <w:color w:val="4472C4"/>
                <w:sz w:val="13"/>
              </w:rPr>
              <w:t>AASB 1049.32</w:t>
            </w:r>
          </w:p>
        </w:tc>
        <w:tc>
          <w:tcPr>
            <w:tcW w:w="5695" w:type="dxa"/>
          </w:tcPr>
          <w:p w14:paraId="5E1E510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transactions (net operating balance)</w:t>
            </w:r>
          </w:p>
        </w:tc>
        <w:tc>
          <w:tcPr>
            <w:tcW w:w="865" w:type="dxa"/>
          </w:tcPr>
          <w:p w14:paraId="4C16D7AD"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235CDDCB" w14:textId="0702147F" w:rsidR="00182709" w:rsidRDefault="008F49C2">
            <w:pPr>
              <w:cnfStyle w:val="000000000000" w:firstRow="0" w:lastRow="0" w:firstColumn="0" w:lastColumn="0" w:oddVBand="0" w:evenVBand="0" w:oddHBand="0" w:evenHBand="0" w:firstRowFirstColumn="0" w:firstRowLastColumn="0" w:lastRowFirstColumn="0" w:lastRowLastColumn="0"/>
            </w:pPr>
            <w:r>
              <w:rPr>
                <w:b/>
              </w:rPr>
              <w:t>20</w:t>
            </w:r>
            <w:r w:rsidR="0044097C">
              <w:rPr>
                <w:b/>
              </w:rPr>
              <w:t xml:space="preserve"> </w:t>
            </w:r>
            <w:r>
              <w:rPr>
                <w:b/>
              </w:rPr>
              <w:t>151</w:t>
            </w:r>
          </w:p>
        </w:tc>
        <w:tc>
          <w:tcPr>
            <w:tcW w:w="865" w:type="dxa"/>
          </w:tcPr>
          <w:p w14:paraId="3CB57556" w14:textId="1EC21381" w:rsidR="00182709" w:rsidRDefault="008F49C2">
            <w:pPr>
              <w:cnfStyle w:val="000000000000" w:firstRow="0" w:lastRow="0" w:firstColumn="0" w:lastColumn="0" w:oddVBand="0" w:evenVBand="0" w:oddHBand="0" w:evenHBand="0" w:firstRowFirstColumn="0" w:firstRowLastColumn="0" w:lastRowFirstColumn="0" w:lastRowLastColumn="0"/>
            </w:pPr>
            <w:r>
              <w:rPr>
                <w:b/>
              </w:rPr>
              <w:t>6</w:t>
            </w:r>
            <w:r w:rsidR="0044097C">
              <w:rPr>
                <w:b/>
              </w:rPr>
              <w:t xml:space="preserve"> </w:t>
            </w:r>
            <w:r>
              <w:rPr>
                <w:b/>
              </w:rPr>
              <w:t>58</w:t>
            </w:r>
            <w:r w:rsidR="0044097C">
              <w:rPr>
                <w:b/>
              </w:rPr>
              <w:t>5</w:t>
            </w:r>
          </w:p>
        </w:tc>
      </w:tr>
      <w:tr w:rsidR="00671D55" w14:paraId="4355D23A"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FDED97F" w14:textId="4164E7CF" w:rsidR="00182709" w:rsidRDefault="00182709"/>
        </w:tc>
        <w:tc>
          <w:tcPr>
            <w:tcW w:w="5695" w:type="dxa"/>
          </w:tcPr>
          <w:p w14:paraId="134AA03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Other economic flows included in net result</w:t>
            </w:r>
          </w:p>
        </w:tc>
        <w:tc>
          <w:tcPr>
            <w:tcW w:w="865" w:type="dxa"/>
          </w:tcPr>
          <w:p w14:paraId="30F08DCF"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177D0A6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304E0D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2BA43B7"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6637EE4" w14:textId="77777777" w:rsidR="00182709" w:rsidRDefault="0044097C">
            <w:r>
              <w:rPr>
                <w:color w:val="4472C4"/>
                <w:sz w:val="13"/>
              </w:rPr>
              <w:t>AASB 101.85‑86</w:t>
            </w:r>
          </w:p>
        </w:tc>
        <w:tc>
          <w:tcPr>
            <w:tcW w:w="5695" w:type="dxa"/>
          </w:tcPr>
          <w:p w14:paraId="6207D7B4" w14:textId="4C70E30F" w:rsidR="00182709" w:rsidRDefault="0044097C">
            <w:pPr>
              <w:jc w:val="left"/>
              <w:cnfStyle w:val="000000000000" w:firstRow="0" w:lastRow="0" w:firstColumn="0" w:lastColumn="0" w:oddVBand="0" w:evenVBand="0" w:oddHBand="0" w:evenHBand="0" w:firstRowFirstColumn="0" w:firstRowLastColumn="0" w:lastRowFirstColumn="0" w:lastRowLastColumn="0"/>
            </w:pPr>
            <w:r>
              <w:t>Net gain/(loss) on non‑financial assets</w:t>
            </w:r>
            <w:r w:rsidR="007528E7">
              <w:t xml:space="preserve"> </w:t>
            </w:r>
            <w:r w:rsidR="007528E7">
              <w:rPr>
                <w:vertAlign w:val="superscript"/>
              </w:rPr>
              <w:t>(b)</w:t>
            </w:r>
          </w:p>
        </w:tc>
        <w:tc>
          <w:tcPr>
            <w:tcW w:w="865" w:type="dxa"/>
          </w:tcPr>
          <w:p w14:paraId="61EAFD5D"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0F06C4FC" w14:textId="77777777" w:rsidR="00182709" w:rsidRDefault="0044097C">
            <w:pPr>
              <w:cnfStyle w:val="000000000000" w:firstRow="0" w:lastRow="0" w:firstColumn="0" w:lastColumn="0" w:oddVBand="0" w:evenVBand="0" w:oddHBand="0" w:evenHBand="0" w:firstRowFirstColumn="0" w:firstRowLastColumn="0" w:lastRowFirstColumn="0" w:lastRowLastColumn="0"/>
            </w:pPr>
            <w:r>
              <w:t>(5 161)</w:t>
            </w:r>
          </w:p>
        </w:tc>
        <w:tc>
          <w:tcPr>
            <w:tcW w:w="865" w:type="dxa"/>
          </w:tcPr>
          <w:p w14:paraId="11BFB61D" w14:textId="77777777" w:rsidR="00182709" w:rsidRDefault="0044097C">
            <w:pPr>
              <w:cnfStyle w:val="000000000000" w:firstRow="0" w:lastRow="0" w:firstColumn="0" w:lastColumn="0" w:oddVBand="0" w:evenVBand="0" w:oddHBand="0" w:evenHBand="0" w:firstRowFirstColumn="0" w:firstRowLastColumn="0" w:lastRowFirstColumn="0" w:lastRowLastColumn="0"/>
            </w:pPr>
            <w:r>
              <w:t>1 805</w:t>
            </w:r>
          </w:p>
        </w:tc>
      </w:tr>
      <w:tr w:rsidR="00182709" w14:paraId="470435C4"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EC47A67" w14:textId="60E32683" w:rsidR="00182709" w:rsidRDefault="0044097C">
            <w:r>
              <w:rPr>
                <w:color w:val="4472C4"/>
                <w:sz w:val="13"/>
              </w:rPr>
              <w:t>AASB 101.98 (c)</w:t>
            </w:r>
          </w:p>
        </w:tc>
        <w:tc>
          <w:tcPr>
            <w:tcW w:w="5695" w:type="dxa"/>
          </w:tcPr>
          <w:p w14:paraId="1298A0BB" w14:textId="50FB6903" w:rsidR="00182709" w:rsidRDefault="0044097C">
            <w:pPr>
              <w:jc w:val="left"/>
              <w:cnfStyle w:val="000000000000" w:firstRow="0" w:lastRow="0" w:firstColumn="0" w:lastColumn="0" w:oddVBand="0" w:evenVBand="0" w:oddHBand="0" w:evenHBand="0" w:firstRowFirstColumn="0" w:firstRowLastColumn="0" w:lastRowFirstColumn="0" w:lastRowLastColumn="0"/>
            </w:pPr>
            <w:r>
              <w:t>Net gain/(loss) on financial instruments</w:t>
            </w:r>
            <w:r>
              <w:rPr>
                <w:vertAlign w:val="superscript"/>
              </w:rPr>
              <w:t xml:space="preserve"> (</w:t>
            </w:r>
            <w:r w:rsidR="00FE16A0">
              <w:rPr>
                <w:vertAlign w:val="superscript"/>
              </w:rPr>
              <w:t>c</w:t>
            </w:r>
            <w:r>
              <w:rPr>
                <w:vertAlign w:val="superscript"/>
              </w:rPr>
              <w:t>)</w:t>
            </w:r>
          </w:p>
        </w:tc>
        <w:tc>
          <w:tcPr>
            <w:tcW w:w="865" w:type="dxa"/>
          </w:tcPr>
          <w:p w14:paraId="045AF237"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300AD803" w14:textId="77777777" w:rsidR="00182709" w:rsidRDefault="0044097C">
            <w:pPr>
              <w:cnfStyle w:val="000000000000" w:firstRow="0" w:lastRow="0" w:firstColumn="0" w:lastColumn="0" w:oddVBand="0" w:evenVBand="0" w:oddHBand="0" w:evenHBand="0" w:firstRowFirstColumn="0" w:firstRowLastColumn="0" w:lastRowFirstColumn="0" w:lastRowLastColumn="0"/>
            </w:pPr>
            <w:r>
              <w:t>(7 121)</w:t>
            </w:r>
          </w:p>
        </w:tc>
        <w:tc>
          <w:tcPr>
            <w:tcW w:w="865" w:type="dxa"/>
          </w:tcPr>
          <w:p w14:paraId="2B0DAF20" w14:textId="77777777" w:rsidR="00182709" w:rsidRDefault="0044097C">
            <w:pPr>
              <w:cnfStyle w:val="000000000000" w:firstRow="0" w:lastRow="0" w:firstColumn="0" w:lastColumn="0" w:oddVBand="0" w:evenVBand="0" w:oddHBand="0" w:evenHBand="0" w:firstRowFirstColumn="0" w:firstRowLastColumn="0" w:lastRowFirstColumn="0" w:lastRowLastColumn="0"/>
            </w:pPr>
            <w:r>
              <w:t>(3 971)</w:t>
            </w:r>
          </w:p>
        </w:tc>
      </w:tr>
      <w:tr w:rsidR="00182709" w14:paraId="6405364E"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78F8390" w14:textId="77777777" w:rsidR="00182709" w:rsidRDefault="0044097C">
            <w:r>
              <w:rPr>
                <w:color w:val="4472C4"/>
                <w:sz w:val="13"/>
              </w:rPr>
              <w:t>AASB 101.82 (c)</w:t>
            </w:r>
          </w:p>
        </w:tc>
        <w:tc>
          <w:tcPr>
            <w:tcW w:w="5695" w:type="dxa"/>
          </w:tcPr>
          <w:p w14:paraId="27B6D93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Share of net profits/(losses) of associates and joint entities, excluding dividends</w:t>
            </w:r>
          </w:p>
        </w:tc>
        <w:tc>
          <w:tcPr>
            <w:tcW w:w="865" w:type="dxa"/>
          </w:tcPr>
          <w:p w14:paraId="2CB906A0"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513FFF91"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1 286</w:t>
            </w:r>
          </w:p>
        </w:tc>
        <w:tc>
          <w:tcPr>
            <w:tcW w:w="865" w:type="dxa"/>
          </w:tcPr>
          <w:p w14:paraId="1F3C368B" w14:textId="77777777" w:rsidR="00182709" w:rsidRDefault="0044097C">
            <w:pPr>
              <w:cnfStyle w:val="000000000000" w:firstRow="0" w:lastRow="0" w:firstColumn="0" w:lastColumn="0" w:oddVBand="0" w:evenVBand="0" w:oddHBand="0" w:evenHBand="0" w:firstRowFirstColumn="0" w:firstRowLastColumn="0" w:lastRowFirstColumn="0" w:lastRowLastColumn="0"/>
            </w:pPr>
            <w:r>
              <w:t>1 397</w:t>
            </w:r>
          </w:p>
        </w:tc>
      </w:tr>
      <w:tr w:rsidR="00182709" w14:paraId="1536AF3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70136F0" w14:textId="77777777" w:rsidR="00182709" w:rsidRDefault="00182709"/>
        </w:tc>
        <w:tc>
          <w:tcPr>
            <w:tcW w:w="5695" w:type="dxa"/>
            <w:tcBorders>
              <w:bottom w:val="single" w:sz="12" w:space="0" w:color="auto"/>
            </w:tcBorders>
          </w:tcPr>
          <w:p w14:paraId="44A55E8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Other gains/(losses) from other economic flows</w:t>
            </w:r>
          </w:p>
        </w:tc>
        <w:tc>
          <w:tcPr>
            <w:tcW w:w="865" w:type="dxa"/>
            <w:tcBorders>
              <w:bottom w:val="single" w:sz="12" w:space="0" w:color="auto"/>
            </w:tcBorders>
          </w:tcPr>
          <w:p w14:paraId="1728CDAB"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Borders>
              <w:bottom w:val="single" w:sz="12" w:space="0" w:color="auto"/>
            </w:tcBorders>
          </w:tcPr>
          <w:p w14:paraId="1366E46D"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(2 895)</w:t>
            </w:r>
          </w:p>
        </w:tc>
        <w:tc>
          <w:tcPr>
            <w:tcW w:w="865" w:type="dxa"/>
            <w:tcBorders>
              <w:bottom w:val="single" w:sz="12" w:space="0" w:color="auto"/>
            </w:tcBorders>
          </w:tcPr>
          <w:p w14:paraId="6D55F220" w14:textId="77777777" w:rsidR="00182709" w:rsidRDefault="0044097C">
            <w:pPr>
              <w:cnfStyle w:val="000000000000" w:firstRow="0" w:lastRow="0" w:firstColumn="0" w:lastColumn="0" w:oddVBand="0" w:evenVBand="0" w:oddHBand="0" w:evenHBand="0" w:firstRowFirstColumn="0" w:firstRowLastColumn="0" w:lastRowFirstColumn="0" w:lastRowLastColumn="0"/>
            </w:pPr>
            <w:r>
              <w:t>(2 048)</w:t>
            </w:r>
          </w:p>
        </w:tc>
      </w:tr>
      <w:tr w:rsidR="00671D55" w14:paraId="0B3B93B8"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DED6324" w14:textId="77777777" w:rsidR="00182709" w:rsidRDefault="00182709"/>
        </w:tc>
        <w:tc>
          <w:tcPr>
            <w:tcW w:w="5695" w:type="dxa"/>
          </w:tcPr>
          <w:p w14:paraId="47014DD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other economic flows included in net result</w:t>
            </w:r>
          </w:p>
        </w:tc>
        <w:tc>
          <w:tcPr>
            <w:tcW w:w="865" w:type="dxa"/>
          </w:tcPr>
          <w:p w14:paraId="181340F1"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35AF14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(13 891)</w:t>
            </w:r>
          </w:p>
        </w:tc>
        <w:tc>
          <w:tcPr>
            <w:tcW w:w="865" w:type="dxa"/>
          </w:tcPr>
          <w:p w14:paraId="18A8A5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(2 817)</w:t>
            </w:r>
          </w:p>
        </w:tc>
      </w:tr>
      <w:tr w:rsidR="00671D55" w14:paraId="6E016DBC"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127C8175" w14:textId="77777777" w:rsidR="00182709" w:rsidRDefault="0044097C">
            <w:r>
              <w:rPr>
                <w:color w:val="4472C4"/>
                <w:sz w:val="13"/>
              </w:rPr>
              <w:t>AASB 101.85</w:t>
            </w:r>
          </w:p>
        </w:tc>
        <w:tc>
          <w:tcPr>
            <w:tcW w:w="5695" w:type="dxa"/>
          </w:tcPr>
          <w:p w14:paraId="4D7F334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continuing operations</w:t>
            </w:r>
          </w:p>
        </w:tc>
        <w:tc>
          <w:tcPr>
            <w:tcW w:w="865" w:type="dxa"/>
          </w:tcPr>
          <w:p w14:paraId="23DF1977"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40E0A892" w14:textId="16730C6A" w:rsidR="00182709" w:rsidRDefault="002A01A3">
            <w:pPr>
              <w:cnfStyle w:val="000000000000" w:firstRow="0" w:lastRow="0" w:firstColumn="0" w:lastColumn="0" w:oddVBand="0" w:evenVBand="0" w:oddHBand="0" w:evenHBand="0" w:firstRowFirstColumn="0" w:firstRowLastColumn="0" w:lastRowFirstColumn="0" w:lastRowLastColumn="0"/>
            </w:pPr>
            <w:r>
              <w:rPr>
                <w:b/>
              </w:rPr>
              <w:t>6 260</w:t>
            </w:r>
          </w:p>
        </w:tc>
        <w:tc>
          <w:tcPr>
            <w:tcW w:w="865" w:type="dxa"/>
          </w:tcPr>
          <w:p w14:paraId="05AFC7AD" w14:textId="56AFFC19" w:rsidR="00182709" w:rsidRDefault="0044097C">
            <w:pPr>
              <w:cnfStyle w:val="000000000000" w:firstRow="0" w:lastRow="0" w:firstColumn="0" w:lastColumn="0" w:oddVBand="0" w:evenVBand="0" w:oddHBand="0" w:evenHBand="0" w:firstRowFirstColumn="0" w:firstRowLastColumn="0" w:lastRowFirstColumn="0" w:lastRowLastColumn="0"/>
            </w:pPr>
            <w:r>
              <w:rPr>
                <w:b/>
              </w:rPr>
              <w:t xml:space="preserve">3 </w:t>
            </w:r>
            <w:r w:rsidR="002A01A3">
              <w:rPr>
                <w:b/>
              </w:rPr>
              <w:t>768</w:t>
            </w:r>
          </w:p>
        </w:tc>
      </w:tr>
      <w:tr w:rsidR="00182709" w14:paraId="4BE9D3F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C2E2589" w14:textId="77777777" w:rsidR="00182709" w:rsidRDefault="0044097C">
            <w:r>
              <w:rPr>
                <w:color w:val="4472C4"/>
                <w:sz w:val="13"/>
              </w:rPr>
              <w:t>AASB 5.33 (a)</w:t>
            </w:r>
          </w:p>
        </w:tc>
        <w:tc>
          <w:tcPr>
            <w:tcW w:w="5695" w:type="dxa"/>
          </w:tcPr>
          <w:p w14:paraId="4162DEF9"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 from discontinued operations</w:t>
            </w:r>
          </w:p>
        </w:tc>
        <w:tc>
          <w:tcPr>
            <w:tcW w:w="865" w:type="dxa"/>
          </w:tcPr>
          <w:p w14:paraId="0910C702"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9.3.3</w:t>
            </w:r>
          </w:p>
        </w:tc>
        <w:tc>
          <w:tcPr>
            <w:tcW w:w="865" w:type="dxa"/>
          </w:tcPr>
          <w:p w14:paraId="63AF555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1 230</w:t>
            </w:r>
          </w:p>
        </w:tc>
        <w:tc>
          <w:tcPr>
            <w:tcW w:w="865" w:type="dxa"/>
          </w:tcPr>
          <w:p w14:paraId="5868EA1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3 856</w:t>
            </w:r>
          </w:p>
        </w:tc>
      </w:tr>
      <w:tr w:rsidR="00182709" w14:paraId="50CE1ED5"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64749EFD" w14:textId="77777777" w:rsidR="00182709" w:rsidRDefault="00182709"/>
        </w:tc>
        <w:tc>
          <w:tcPr>
            <w:tcW w:w="5695" w:type="dxa"/>
            <w:tcBorders>
              <w:bottom w:val="single" w:sz="12" w:space="0" w:color="auto"/>
            </w:tcBorders>
          </w:tcPr>
          <w:p w14:paraId="690432F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Net result</w:t>
            </w:r>
          </w:p>
        </w:tc>
        <w:tc>
          <w:tcPr>
            <w:tcW w:w="865" w:type="dxa"/>
            <w:tcBorders>
              <w:bottom w:val="single" w:sz="12" w:space="0" w:color="auto"/>
            </w:tcBorders>
          </w:tcPr>
          <w:p w14:paraId="61240C83"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Borders>
              <w:bottom w:val="single" w:sz="12" w:space="0" w:color="auto"/>
            </w:tcBorders>
          </w:tcPr>
          <w:p w14:paraId="3F00F52D" w14:textId="386730C3" w:rsidR="00182709" w:rsidRDefault="002A01A3">
            <w:pPr>
              <w:cnfStyle w:val="000000000000" w:firstRow="0" w:lastRow="0" w:firstColumn="0" w:lastColumn="0" w:oddVBand="0" w:evenVBand="0" w:oddHBand="0" w:evenHBand="0" w:firstRowFirstColumn="0" w:firstRowLastColumn="0" w:lastRowFirstColumn="0" w:lastRowLastColumn="0"/>
            </w:pPr>
            <w:r>
              <w:rPr>
                <w:b/>
              </w:rPr>
              <w:t>7 490</w:t>
            </w:r>
          </w:p>
        </w:tc>
        <w:tc>
          <w:tcPr>
            <w:tcW w:w="865" w:type="dxa"/>
            <w:tcBorders>
              <w:bottom w:val="single" w:sz="12" w:space="0" w:color="auto"/>
            </w:tcBorders>
          </w:tcPr>
          <w:p w14:paraId="22CA954B" w14:textId="69C66EF8" w:rsidR="00182709" w:rsidRDefault="002A01A3">
            <w:pPr>
              <w:cnfStyle w:val="000000000000" w:firstRow="0" w:lastRow="0" w:firstColumn="0" w:lastColumn="0" w:oddVBand="0" w:evenVBand="0" w:oddHBand="0" w:evenHBand="0" w:firstRowFirstColumn="0" w:firstRowLastColumn="0" w:lastRowFirstColumn="0" w:lastRowLastColumn="0"/>
            </w:pPr>
            <w:r>
              <w:rPr>
                <w:b/>
              </w:rPr>
              <w:t>7 624</w:t>
            </w:r>
          </w:p>
        </w:tc>
      </w:tr>
      <w:tr w:rsidR="00671D55" w14:paraId="51C4F8D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E81C140" w14:textId="77777777" w:rsidR="00182709" w:rsidRDefault="0044097C">
            <w:r>
              <w:rPr>
                <w:color w:val="4472C4"/>
                <w:sz w:val="13"/>
              </w:rPr>
              <w:t>AASB 101.85</w:t>
            </w:r>
          </w:p>
        </w:tc>
        <w:tc>
          <w:tcPr>
            <w:tcW w:w="5695" w:type="dxa"/>
          </w:tcPr>
          <w:p w14:paraId="22DF6EFF"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Other economic flows – other comprehensive income:</w:t>
            </w:r>
          </w:p>
        </w:tc>
        <w:tc>
          <w:tcPr>
            <w:tcW w:w="865" w:type="dxa"/>
          </w:tcPr>
          <w:p w14:paraId="70B1EFB2"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75456F4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03CBF60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1D337B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3C16A1C7" w14:textId="77777777" w:rsidR="00182709" w:rsidRDefault="00182709"/>
        </w:tc>
        <w:tc>
          <w:tcPr>
            <w:tcW w:w="5695" w:type="dxa"/>
          </w:tcPr>
          <w:p w14:paraId="4B4922B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Items that will not be reclassified to net result</w:t>
            </w:r>
          </w:p>
        </w:tc>
        <w:tc>
          <w:tcPr>
            <w:tcW w:w="865" w:type="dxa"/>
          </w:tcPr>
          <w:p w14:paraId="4FC49A25"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445A5FF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5A20A7D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EA08941"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F0D8788" w14:textId="77777777" w:rsidR="00182709" w:rsidRDefault="0044097C">
            <w:r>
              <w:rPr>
                <w:color w:val="4472C4"/>
                <w:sz w:val="13"/>
              </w:rPr>
              <w:t>AASB 101.82A (a)</w:t>
            </w:r>
          </w:p>
        </w:tc>
        <w:tc>
          <w:tcPr>
            <w:tcW w:w="5695" w:type="dxa"/>
          </w:tcPr>
          <w:p w14:paraId="15151F49" w14:textId="57F86C9C" w:rsidR="00182709" w:rsidRDefault="0044097C">
            <w:pPr>
              <w:jc w:val="left"/>
              <w:cnfStyle w:val="000000000000" w:firstRow="0" w:lastRow="0" w:firstColumn="0" w:lastColumn="0" w:oddVBand="0" w:evenVBand="0" w:oddHBand="0" w:evenHBand="0" w:firstRowFirstColumn="0" w:firstRowLastColumn="0" w:lastRowFirstColumn="0" w:lastRowLastColumn="0"/>
            </w:pPr>
            <w:r>
              <w:t>Changes in physical asset revaluation surplus</w:t>
            </w:r>
            <w:r>
              <w:rPr>
                <w:vertAlign w:val="superscript"/>
              </w:rPr>
              <w:t xml:space="preserve"> (</w:t>
            </w:r>
            <w:r w:rsidR="00FE16A0">
              <w:rPr>
                <w:vertAlign w:val="superscript"/>
              </w:rPr>
              <w:t>d</w:t>
            </w:r>
            <w:r>
              <w:rPr>
                <w:vertAlign w:val="superscript"/>
              </w:rPr>
              <w:t>)</w:t>
            </w:r>
          </w:p>
        </w:tc>
        <w:tc>
          <w:tcPr>
            <w:tcW w:w="865" w:type="dxa"/>
          </w:tcPr>
          <w:p w14:paraId="665DF3CE"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3D5F2032" w14:textId="77777777" w:rsidR="00182709" w:rsidRDefault="0044097C">
            <w:pPr>
              <w:cnfStyle w:val="000000000000" w:firstRow="0" w:lastRow="0" w:firstColumn="0" w:lastColumn="0" w:oddVBand="0" w:evenVBand="0" w:oddHBand="0" w:evenHBand="0" w:firstRowFirstColumn="0" w:firstRowLastColumn="0" w:lastRowFirstColumn="0" w:lastRowLastColumn="0"/>
            </w:pPr>
            <w:r>
              <w:t>7 403</w:t>
            </w:r>
          </w:p>
        </w:tc>
        <w:tc>
          <w:tcPr>
            <w:tcW w:w="865" w:type="dxa"/>
          </w:tcPr>
          <w:p w14:paraId="0562E965" w14:textId="77777777" w:rsidR="00182709" w:rsidRDefault="0044097C">
            <w:pPr>
              <w:cnfStyle w:val="000000000000" w:firstRow="0" w:lastRow="0" w:firstColumn="0" w:lastColumn="0" w:oddVBand="0" w:evenVBand="0" w:oddHBand="0" w:evenHBand="0" w:firstRowFirstColumn="0" w:firstRowLastColumn="0" w:lastRowFirstColumn="0" w:lastRowLastColumn="0"/>
            </w:pPr>
            <w:r>
              <w:t>2 825</w:t>
            </w:r>
          </w:p>
        </w:tc>
      </w:tr>
      <w:tr w:rsidR="00182709" w14:paraId="52261C7B"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FBE59FB" w14:textId="6DA08835" w:rsidR="00182709" w:rsidRDefault="0044097C">
            <w:r>
              <w:rPr>
                <w:color w:val="4472C4"/>
                <w:sz w:val="13"/>
              </w:rPr>
              <w:t>AASB 101.82A</w:t>
            </w:r>
            <w:r w:rsidR="00FC048F">
              <w:rPr>
                <w:color w:val="4472C4"/>
                <w:sz w:val="13"/>
              </w:rPr>
              <w:t xml:space="preserve"> </w:t>
            </w:r>
            <w:r>
              <w:rPr>
                <w:color w:val="4472C4"/>
                <w:sz w:val="13"/>
              </w:rPr>
              <w:t>(b) AASB 128.39</w:t>
            </w:r>
          </w:p>
        </w:tc>
        <w:tc>
          <w:tcPr>
            <w:tcW w:w="5695" w:type="dxa"/>
          </w:tcPr>
          <w:p w14:paraId="348EC41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Share of net movement in revaluation surplus of associates and joint ventures</w:t>
            </w:r>
          </w:p>
        </w:tc>
        <w:tc>
          <w:tcPr>
            <w:tcW w:w="865" w:type="dxa"/>
          </w:tcPr>
          <w:p w14:paraId="6405218F"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33E5532D" w14:textId="77777777" w:rsidR="00182709" w:rsidRDefault="0044097C">
            <w:pPr>
              <w:cnfStyle w:val="000000000000" w:firstRow="0" w:lastRow="0" w:firstColumn="0" w:lastColumn="0" w:oddVBand="0" w:evenVBand="0" w:oddHBand="0" w:evenHBand="0" w:firstRowFirstColumn="0" w:firstRowLastColumn="0" w:lastRowFirstColumn="0" w:lastRowLastColumn="0"/>
            </w:pPr>
            <w:r>
              <w:t>260</w:t>
            </w:r>
          </w:p>
        </w:tc>
        <w:tc>
          <w:tcPr>
            <w:tcW w:w="865" w:type="dxa"/>
          </w:tcPr>
          <w:p w14:paraId="7FB4B238" w14:textId="77777777" w:rsidR="00182709" w:rsidRDefault="0044097C">
            <w:pPr>
              <w:cnfStyle w:val="000000000000" w:firstRow="0" w:lastRow="0" w:firstColumn="0" w:lastColumn="0" w:oddVBand="0" w:evenVBand="0" w:oddHBand="0" w:evenHBand="0" w:firstRowFirstColumn="0" w:firstRowLastColumn="0" w:lastRowFirstColumn="0" w:lastRowLastColumn="0"/>
            </w:pPr>
            <w:r>
              <w:t>130</w:t>
            </w:r>
          </w:p>
        </w:tc>
      </w:tr>
      <w:tr w:rsidR="00182709" w14:paraId="7192138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9C2A41B" w14:textId="5FE7B0EF" w:rsidR="002013EE" w:rsidRDefault="0044097C" w:rsidP="007714CA">
            <w:pPr>
              <w:rPr>
                <w:bCs w:val="0"/>
                <w:color w:val="4472C4"/>
                <w:sz w:val="13"/>
              </w:rPr>
            </w:pPr>
            <w:r>
              <w:rPr>
                <w:color w:val="4472C4"/>
                <w:sz w:val="13"/>
              </w:rPr>
              <w:t>AASB 101.</w:t>
            </w:r>
            <w:r w:rsidR="007714CA">
              <w:rPr>
                <w:color w:val="4472C4"/>
                <w:sz w:val="13"/>
              </w:rPr>
              <w:t>82</w:t>
            </w:r>
            <w:r w:rsidR="002013EE">
              <w:rPr>
                <w:color w:val="4472C4"/>
                <w:sz w:val="13"/>
              </w:rPr>
              <w:t>A (a)</w:t>
            </w:r>
          </w:p>
          <w:p w14:paraId="1B1F8A8E" w14:textId="70696244" w:rsidR="00182709" w:rsidRDefault="0044097C">
            <w:r>
              <w:rPr>
                <w:color w:val="4472C4"/>
                <w:sz w:val="13"/>
              </w:rPr>
              <w:t>AASB</w:t>
            </w:r>
            <w:r w:rsidR="003E0EDB">
              <w:rPr>
                <w:color w:val="4472C4"/>
                <w:sz w:val="13"/>
              </w:rPr>
              <w:t xml:space="preserve"> </w:t>
            </w:r>
            <w:r>
              <w:rPr>
                <w:color w:val="4472C4"/>
                <w:sz w:val="13"/>
              </w:rPr>
              <w:t>101.7 (da)</w:t>
            </w:r>
            <w:r>
              <w:rPr>
                <w:color w:val="4472C4"/>
                <w:sz w:val="13"/>
              </w:rPr>
              <w:br/>
            </w:r>
          </w:p>
        </w:tc>
        <w:tc>
          <w:tcPr>
            <w:tcW w:w="5695" w:type="dxa"/>
          </w:tcPr>
          <w:p w14:paraId="24132455" w14:textId="7C9C20E4" w:rsidR="00182709" w:rsidRDefault="0044097C">
            <w:pPr>
              <w:jc w:val="left"/>
              <w:cnfStyle w:val="000000000000" w:firstRow="0" w:lastRow="0" w:firstColumn="0" w:lastColumn="0" w:oddVBand="0" w:evenVBand="0" w:oddHBand="0" w:evenHBand="0" w:firstRowFirstColumn="0" w:firstRowLastColumn="0" w:lastRowFirstColumn="0" w:lastRowLastColumn="0"/>
            </w:pPr>
            <w:r>
              <w:t xml:space="preserve">Changes to equity instruments measured at fair value through other comprehensive income </w:t>
            </w:r>
          </w:p>
        </w:tc>
        <w:tc>
          <w:tcPr>
            <w:tcW w:w="865" w:type="dxa"/>
          </w:tcPr>
          <w:p w14:paraId="0D6593F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Pr>
          <w:p w14:paraId="0CE94DD6" w14:textId="77777777" w:rsidR="00182709" w:rsidRDefault="0044097C">
            <w:pPr>
              <w:cnfStyle w:val="000000000000" w:firstRow="0" w:lastRow="0" w:firstColumn="0" w:lastColumn="0" w:oddVBand="0" w:evenVBand="0" w:oddHBand="0" w:evenHBand="0" w:firstRowFirstColumn="0" w:firstRowLastColumn="0" w:lastRowFirstColumn="0" w:lastRowLastColumn="0"/>
            </w:pPr>
            <w:r>
              <w:t>100</w:t>
            </w:r>
          </w:p>
        </w:tc>
        <w:tc>
          <w:tcPr>
            <w:tcW w:w="865" w:type="dxa"/>
          </w:tcPr>
          <w:p w14:paraId="6D5BB09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FA5F75D"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0C04F6BF" w14:textId="77777777" w:rsidR="00182709" w:rsidRDefault="0044097C">
            <w:r w:rsidRPr="5A2E01D0">
              <w:rPr>
                <w:color w:val="4472C4" w:themeColor="accent1"/>
                <w:sz w:val="13"/>
                <w:szCs w:val="13"/>
              </w:rPr>
              <w:t>AASB 7.20 (a)(i)</w:t>
            </w:r>
          </w:p>
        </w:tc>
        <w:tc>
          <w:tcPr>
            <w:tcW w:w="5695" w:type="dxa"/>
            <w:tcBorders>
              <w:bottom w:val="single" w:sz="12" w:space="0" w:color="auto"/>
            </w:tcBorders>
          </w:tcPr>
          <w:p w14:paraId="357AADDE"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Changes to financial liability designated at fair value through profit or loss due to its own credit risk</w:t>
            </w:r>
          </w:p>
        </w:tc>
        <w:tc>
          <w:tcPr>
            <w:tcW w:w="865" w:type="dxa"/>
            <w:tcBorders>
              <w:bottom w:val="single" w:sz="12" w:space="0" w:color="auto"/>
            </w:tcBorders>
          </w:tcPr>
          <w:p w14:paraId="3E6CE521"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Borders>
              <w:bottom w:val="single" w:sz="12" w:space="0" w:color="auto"/>
            </w:tcBorders>
          </w:tcPr>
          <w:p w14:paraId="729F07C4" w14:textId="77777777" w:rsidR="00182709" w:rsidRDefault="0044097C">
            <w:pPr>
              <w:cnfStyle w:val="000000000000" w:firstRow="0" w:lastRow="0" w:firstColumn="0" w:lastColumn="0" w:oddVBand="0" w:evenVBand="0" w:oddHBand="0" w:evenHBand="0" w:firstRowFirstColumn="0" w:firstRowLastColumn="0" w:lastRowFirstColumn="0" w:lastRowLastColumn="0"/>
            </w:pPr>
            <w:r>
              <w:t>30</w:t>
            </w:r>
          </w:p>
        </w:tc>
        <w:tc>
          <w:tcPr>
            <w:tcW w:w="865" w:type="dxa"/>
            <w:tcBorders>
              <w:bottom w:val="single" w:sz="12" w:space="0" w:color="auto"/>
            </w:tcBorders>
          </w:tcPr>
          <w:p w14:paraId="59F9CFC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3552A2F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7D0F8957" w14:textId="77777777" w:rsidR="00182709" w:rsidRDefault="00182709"/>
        </w:tc>
        <w:tc>
          <w:tcPr>
            <w:tcW w:w="5695" w:type="dxa"/>
          </w:tcPr>
          <w:p w14:paraId="5814D7A6"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Items that may be reclassified subsequently to net result</w:t>
            </w:r>
          </w:p>
        </w:tc>
        <w:tc>
          <w:tcPr>
            <w:tcW w:w="865" w:type="dxa"/>
          </w:tcPr>
          <w:p w14:paraId="32A1DDB0"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06C26F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6C375F7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B329DC9"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A54F906" w14:textId="3BC52A23" w:rsidR="00182709" w:rsidRDefault="00F20565">
            <w:r w:rsidRPr="00F20565">
              <w:rPr>
                <w:color w:val="4472C4"/>
                <w:sz w:val="13"/>
              </w:rPr>
              <w:t>AASB 7.20(a)(vii)</w:t>
            </w:r>
            <w:r w:rsidR="0044097C">
              <w:rPr>
                <w:color w:val="4472C4"/>
                <w:sz w:val="13"/>
              </w:rPr>
              <w:br/>
              <w:t>AASB</w:t>
            </w:r>
            <w:r w:rsidR="00D610CD">
              <w:rPr>
                <w:color w:val="4472C4"/>
                <w:sz w:val="13"/>
              </w:rPr>
              <w:t xml:space="preserve"> </w:t>
            </w:r>
            <w:r w:rsidR="0044097C">
              <w:rPr>
                <w:color w:val="4472C4"/>
                <w:sz w:val="13"/>
              </w:rPr>
              <w:t>101.7 (d)</w:t>
            </w:r>
          </w:p>
        </w:tc>
        <w:tc>
          <w:tcPr>
            <w:tcW w:w="5695" w:type="dxa"/>
            <w:tcBorders>
              <w:bottom w:val="single" w:sz="12" w:space="0" w:color="auto"/>
            </w:tcBorders>
          </w:tcPr>
          <w:p w14:paraId="18E220B7" w14:textId="0CA6D440" w:rsidR="00182709" w:rsidRDefault="0044097C">
            <w:pPr>
              <w:jc w:val="left"/>
              <w:cnfStyle w:val="000000000000" w:firstRow="0" w:lastRow="0" w:firstColumn="0" w:lastColumn="0" w:oddVBand="0" w:evenVBand="0" w:oddHBand="0" w:evenHBand="0" w:firstRowFirstColumn="0" w:firstRowLastColumn="0" w:lastRowFirstColumn="0" w:lastRowLastColumn="0"/>
            </w:pPr>
            <w:r>
              <w:t xml:space="preserve">Changes to debt instruments measured at fair value through other comprehensive income </w:t>
            </w:r>
          </w:p>
        </w:tc>
        <w:tc>
          <w:tcPr>
            <w:tcW w:w="865" w:type="dxa"/>
            <w:tcBorders>
              <w:bottom w:val="single" w:sz="12" w:space="0" w:color="auto"/>
            </w:tcBorders>
          </w:tcPr>
          <w:p w14:paraId="360DD589" w14:textId="77777777" w:rsidR="00182709" w:rsidRDefault="0044097C">
            <w:pPr>
              <w:jc w:val="center"/>
              <w:cnfStyle w:val="000000000000" w:firstRow="0" w:lastRow="0" w:firstColumn="0" w:lastColumn="0" w:oddVBand="0" w:evenVBand="0" w:oddHBand="0" w:evenHBand="0" w:firstRowFirstColumn="0" w:firstRowLastColumn="0" w:lastRowFirstColumn="0" w:lastRowLastColumn="0"/>
            </w:pPr>
            <w:r>
              <w:t>9</w:t>
            </w:r>
          </w:p>
        </w:tc>
        <w:tc>
          <w:tcPr>
            <w:tcW w:w="865" w:type="dxa"/>
            <w:tcBorders>
              <w:bottom w:val="single" w:sz="12" w:space="0" w:color="auto"/>
            </w:tcBorders>
          </w:tcPr>
          <w:p w14:paraId="4BC5C66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65" w:type="dxa"/>
            <w:tcBorders>
              <w:bottom w:val="single" w:sz="12" w:space="0" w:color="auto"/>
            </w:tcBorders>
          </w:tcPr>
          <w:p w14:paraId="7D5A45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0240AA82" w14:textId="77777777" w:rsidTr="007714CA">
        <w:tc>
          <w:tcPr>
            <w:cnfStyle w:val="001000000000" w:firstRow="0" w:lastRow="0" w:firstColumn="1" w:lastColumn="0" w:oddVBand="0" w:evenVBand="0" w:oddHBand="0" w:evenHBand="0" w:firstRowFirstColumn="0" w:firstRowLastColumn="0" w:lastRowFirstColumn="0" w:lastRowLastColumn="0"/>
            <w:tcW w:w="1349" w:type="dxa"/>
          </w:tcPr>
          <w:p w14:paraId="2FDBE2FD" w14:textId="77777777" w:rsidR="00182709" w:rsidRDefault="00182709"/>
        </w:tc>
        <w:tc>
          <w:tcPr>
            <w:tcW w:w="5695" w:type="dxa"/>
          </w:tcPr>
          <w:p w14:paraId="219FDBE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Total other economic flows – other comprehensive income</w:t>
            </w:r>
          </w:p>
        </w:tc>
        <w:tc>
          <w:tcPr>
            <w:tcW w:w="865" w:type="dxa"/>
          </w:tcPr>
          <w:p w14:paraId="0CC303A9"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3070115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7 793</w:t>
            </w:r>
          </w:p>
        </w:tc>
        <w:tc>
          <w:tcPr>
            <w:tcW w:w="865" w:type="dxa"/>
          </w:tcPr>
          <w:p w14:paraId="5656BB4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2 955</w:t>
            </w:r>
          </w:p>
        </w:tc>
      </w:tr>
      <w:tr w:rsidR="00671D55" w14:paraId="1341EE99" w14:textId="77777777" w:rsidTr="007714CA">
        <w:tc>
          <w:tcPr>
            <w:cnfStyle w:val="001000000000" w:firstRow="0" w:lastRow="0" w:firstColumn="1" w:lastColumn="0" w:oddVBand="0" w:evenVBand="0" w:oddHBand="0" w:evenHBand="0" w:firstRowFirstColumn="0" w:firstRowLastColumn="0" w:lastRowFirstColumn="0" w:lastRowLastColumn="0"/>
            <w:tcW w:w="1349" w:type="dxa"/>
            <w:tcBorders>
              <w:bottom w:val="nil"/>
            </w:tcBorders>
          </w:tcPr>
          <w:p w14:paraId="4BB8B718" w14:textId="77777777" w:rsidR="00182709" w:rsidRDefault="0044097C">
            <w:r>
              <w:rPr>
                <w:color w:val="4472C4"/>
                <w:sz w:val="13"/>
              </w:rPr>
              <w:t>AASB 101.8</w:t>
            </w:r>
          </w:p>
        </w:tc>
        <w:tc>
          <w:tcPr>
            <w:tcW w:w="5695" w:type="dxa"/>
          </w:tcPr>
          <w:p w14:paraId="0854EC2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Comprehensive result</w:t>
            </w:r>
          </w:p>
        </w:tc>
        <w:tc>
          <w:tcPr>
            <w:tcW w:w="865" w:type="dxa"/>
          </w:tcPr>
          <w:p w14:paraId="3CF3BB14" w14:textId="77777777" w:rsidR="00182709" w:rsidRDefault="00182709">
            <w:pPr>
              <w:jc w:val="center"/>
              <w:cnfStyle w:val="000000000000" w:firstRow="0" w:lastRow="0" w:firstColumn="0" w:lastColumn="0" w:oddVBand="0" w:evenVBand="0" w:oddHBand="0" w:evenHBand="0" w:firstRowFirstColumn="0" w:firstRowLastColumn="0" w:lastRowFirstColumn="0" w:lastRowLastColumn="0"/>
            </w:pPr>
          </w:p>
        </w:tc>
        <w:tc>
          <w:tcPr>
            <w:tcW w:w="865" w:type="dxa"/>
          </w:tcPr>
          <w:p w14:paraId="6D5CC93A" w14:textId="772953D1" w:rsidR="00182709" w:rsidRDefault="002A01A3">
            <w:pPr>
              <w:cnfStyle w:val="000000000000" w:firstRow="0" w:lastRow="0" w:firstColumn="0" w:lastColumn="0" w:oddVBand="0" w:evenVBand="0" w:oddHBand="0" w:evenHBand="0" w:firstRowFirstColumn="0" w:firstRowLastColumn="0" w:lastRowFirstColumn="0" w:lastRowLastColumn="0"/>
            </w:pPr>
            <w:r>
              <w:rPr>
                <w:b/>
              </w:rPr>
              <w:t>15 283</w:t>
            </w:r>
          </w:p>
        </w:tc>
        <w:tc>
          <w:tcPr>
            <w:tcW w:w="865" w:type="dxa"/>
          </w:tcPr>
          <w:p w14:paraId="1BA0A38B" w14:textId="07817E74" w:rsidR="00182709" w:rsidRDefault="002A01A3">
            <w:pPr>
              <w:cnfStyle w:val="000000000000" w:firstRow="0" w:lastRow="0" w:firstColumn="0" w:lastColumn="0" w:oddVBand="0" w:evenVBand="0" w:oddHBand="0" w:evenHBand="0" w:firstRowFirstColumn="0" w:firstRowLastColumn="0" w:lastRowFirstColumn="0" w:lastRowLastColumn="0"/>
            </w:pPr>
            <w:r>
              <w:rPr>
                <w:b/>
              </w:rPr>
              <w:t>10 579</w:t>
            </w:r>
          </w:p>
        </w:tc>
      </w:tr>
    </w:tbl>
    <w:p w14:paraId="788AE631" w14:textId="77777777" w:rsidR="003719CD" w:rsidRDefault="003719CD" w:rsidP="00FA4323">
      <w:pPr>
        <w:pStyle w:val="Source"/>
      </w:pPr>
      <w:r>
        <w:t>The accompanying notes form part of these financial statements.</w:t>
      </w:r>
    </w:p>
    <w:p w14:paraId="03ADDCF1" w14:textId="77777777" w:rsidR="003719CD" w:rsidRDefault="003719CD" w:rsidP="00197D8A">
      <w:pPr>
        <w:pStyle w:val="Note"/>
      </w:pPr>
      <w:r>
        <w:t>Notes:</w:t>
      </w:r>
    </w:p>
    <w:p w14:paraId="4001C139" w14:textId="2FA3F6A6" w:rsidR="003719CD" w:rsidRDefault="003719CD" w:rsidP="00197D8A">
      <w:pPr>
        <w:pStyle w:val="Note"/>
      </w:pPr>
      <w:r>
        <w:t>(a)</w:t>
      </w:r>
      <w:r>
        <w:tab/>
        <w:t xml:space="preserve">This format is aligned to AASB 1049 </w:t>
      </w:r>
      <w:r w:rsidRPr="00436E90">
        <w:rPr>
          <w:i w:val="0"/>
          <w:iCs/>
        </w:rPr>
        <w:t>Whole of Government and General Government Sector Financial Reporting</w:t>
      </w:r>
      <w:r w:rsidR="00D65B36" w:rsidRPr="00040B1D">
        <w:t>.</w:t>
      </w:r>
    </w:p>
    <w:p w14:paraId="1E5E7FFA" w14:textId="77777777" w:rsidR="003719CD" w:rsidRDefault="003719CD" w:rsidP="00197D8A">
      <w:pPr>
        <w:pStyle w:val="Note"/>
      </w:pPr>
      <w:r>
        <w:t>(b)</w:t>
      </w:r>
      <w:r>
        <w:tab/>
        <w:t>‘Net gain/(loss) on non-financial assets’ includes unrealised and realised gains/(losses) from revaluations, impairments, and disposals of all physical assets and intangible assets, except when these are taken through the asset revaluation surplus.</w:t>
      </w:r>
    </w:p>
    <w:p w14:paraId="2A604C40" w14:textId="5D98159B" w:rsidR="003719CD" w:rsidRDefault="003719CD" w:rsidP="00197D8A">
      <w:pPr>
        <w:pStyle w:val="Note"/>
      </w:pPr>
      <w:r>
        <w:t>(c)</w:t>
      </w:r>
      <w:r>
        <w:tab/>
        <w:t>‘Net gain/(loss) on financial instruments’ includes bad and doubtful debts from other economic flows, unrealised and realised gains/(losses) from revaluations, impairments and reversals of impairment, and gains/(losses) from disposals of financial instruments, except when these are taken through the financial assets at fair value through other comprehensive income revaluation surplus.</w:t>
      </w:r>
    </w:p>
    <w:p w14:paraId="4B59F017" w14:textId="77777777" w:rsidR="003719CD" w:rsidRDefault="003719CD" w:rsidP="00197D8A">
      <w:pPr>
        <w:pStyle w:val="Note"/>
      </w:pPr>
      <w:r>
        <w:t>(d)</w:t>
      </w:r>
      <w:r>
        <w:tab/>
        <w:t>Changes in revaluation surplus excludes share of net movement in associates and joint ventures, which is disclosed separately.</w:t>
      </w:r>
    </w:p>
    <w:p w14:paraId="545C8F13" w14:textId="77777777" w:rsidR="003719CD" w:rsidRDefault="003719CD" w:rsidP="00DC39DE"/>
    <w:p w14:paraId="7DE9BB3E" w14:textId="77777777" w:rsidR="003719CD" w:rsidRDefault="003719CD" w:rsidP="00197D8A">
      <w:pPr>
        <w:pStyle w:val="GuidanceBlockHeading"/>
      </w:pPr>
      <w:r>
        <w:lastRenderedPageBreak/>
        <w:t>Guidance – Comprehensive operating statement</w:t>
      </w:r>
    </w:p>
    <w:p w14:paraId="0AC13695" w14:textId="77777777" w:rsidR="003719CD" w:rsidRDefault="003719CD" w:rsidP="00197D8A">
      <w:pPr>
        <w:pStyle w:val="GuidanceHeading"/>
      </w:pPr>
      <w:r>
        <w:t>Presentation of comprehensive operating statement</w:t>
      </w:r>
    </w:p>
    <w:p w14:paraId="3157ABC0" w14:textId="4D57D099" w:rsidR="003719CD" w:rsidRPr="00197D8A" w:rsidRDefault="003719CD" w:rsidP="00197D8A">
      <w:pPr>
        <w:rPr>
          <w:rStyle w:val="Guidance"/>
        </w:rPr>
      </w:pPr>
      <w:r w:rsidRPr="00197D8A">
        <w:rPr>
          <w:rStyle w:val="Guidance"/>
        </w:rPr>
        <w:t>Income and expense items are classified within the comprehensive operating statement depending on whether they arise from ‘</w:t>
      </w:r>
      <w:r w:rsidRPr="000F5E0B">
        <w:rPr>
          <w:rStyle w:val="Guidance"/>
          <w:b/>
          <w:bCs/>
        </w:rPr>
        <w:t>transactions</w:t>
      </w:r>
      <w:r w:rsidRPr="00197D8A">
        <w:rPr>
          <w:rStyle w:val="Guidance"/>
        </w:rPr>
        <w:t>’ or ‘</w:t>
      </w:r>
      <w:r w:rsidRPr="000F5E0B">
        <w:rPr>
          <w:rStyle w:val="Guidance"/>
          <w:b/>
          <w:bCs/>
        </w:rPr>
        <w:t>other economic flows included in net</w:t>
      </w:r>
      <w:r w:rsidRPr="00AD5D87">
        <w:rPr>
          <w:rStyle w:val="Guidance"/>
        </w:rPr>
        <w:t xml:space="preserve"> </w:t>
      </w:r>
      <w:r w:rsidRPr="000F5E0B">
        <w:rPr>
          <w:rStyle w:val="Guidance"/>
          <w:b/>
          <w:bCs/>
        </w:rPr>
        <w:t>result</w:t>
      </w:r>
      <w:r w:rsidRPr="00197D8A">
        <w:rPr>
          <w:rStyle w:val="Guidance"/>
        </w:rPr>
        <w:t>’. In addition, the comprehensive operating statement also presents movements due to changes in non-owner equity under ‘</w:t>
      </w:r>
      <w:r w:rsidRPr="000F5E0B">
        <w:rPr>
          <w:rStyle w:val="Guidance"/>
          <w:b/>
          <w:bCs/>
        </w:rPr>
        <w:t>other economic flows – other comprehensive income</w:t>
      </w:r>
      <w:r w:rsidRPr="00197D8A">
        <w:rPr>
          <w:rStyle w:val="Guidance"/>
        </w:rPr>
        <w:t xml:space="preserve">’. All owner changes in equity in their capacity as owners can be found in the statement of changes in equity. </w:t>
      </w:r>
      <w:r w:rsidRPr="000F5E0B">
        <w:rPr>
          <w:rStyle w:val="Reference"/>
        </w:rPr>
        <w:t>[AASB 1049.29 and 1049.30]</w:t>
      </w:r>
      <w:r w:rsidRPr="00197D8A">
        <w:rPr>
          <w:rStyle w:val="Guidance"/>
        </w:rPr>
        <w:t xml:space="preserve"> (See guidance below)</w:t>
      </w:r>
    </w:p>
    <w:tbl>
      <w:tblPr>
        <w:tblW w:w="0" w:type="auto"/>
        <w:tblLook w:val="04A0" w:firstRow="1" w:lastRow="0" w:firstColumn="1" w:lastColumn="0" w:noHBand="0" w:noVBand="1"/>
      </w:tblPr>
      <w:tblGrid>
        <w:gridCol w:w="2827"/>
        <w:gridCol w:w="2977"/>
        <w:gridCol w:w="3818"/>
      </w:tblGrid>
      <w:tr w:rsidR="003719CD" w:rsidRPr="00197D8A" w14:paraId="54E8DB7F" w14:textId="77777777" w:rsidTr="007D536F">
        <w:tc>
          <w:tcPr>
            <w:tcW w:w="2827" w:type="dxa"/>
          </w:tcPr>
          <w:p w14:paraId="0B64B261" w14:textId="1B7ECF7B" w:rsidR="003719CD" w:rsidRPr="00197D8A" w:rsidRDefault="003719CD" w:rsidP="007D536F">
            <w:pPr>
              <w:rPr>
                <w:rStyle w:val="Guidance"/>
              </w:rPr>
            </w:pPr>
            <w:r w:rsidRPr="00197D8A">
              <w:rPr>
                <w:rStyle w:val="Guidance"/>
              </w:rPr>
              <w:t>In the ‘</w:t>
            </w:r>
            <w:r w:rsidRPr="000F5E0B">
              <w:rPr>
                <w:rStyle w:val="Guidance"/>
                <w:b/>
                <w:bCs/>
              </w:rPr>
              <w:t>net result from</w:t>
            </w:r>
            <w:r w:rsidRPr="00AD5D87">
              <w:rPr>
                <w:rStyle w:val="Guidance"/>
              </w:rPr>
              <w:t xml:space="preserve"> </w:t>
            </w:r>
            <w:r w:rsidRPr="00593459">
              <w:rPr>
                <w:rStyle w:val="Guidance"/>
                <w:b/>
              </w:rPr>
              <w:t>transactions</w:t>
            </w:r>
            <w:r w:rsidR="00593459">
              <w:rPr>
                <w:rStyle w:val="Guidance"/>
              </w:rPr>
              <w:t>’</w:t>
            </w:r>
            <w:r w:rsidRPr="00197D8A">
              <w:rPr>
                <w:rStyle w:val="Guidance"/>
              </w:rPr>
              <w:t xml:space="preserve"> section:</w:t>
            </w:r>
          </w:p>
        </w:tc>
        <w:tc>
          <w:tcPr>
            <w:tcW w:w="2977" w:type="dxa"/>
          </w:tcPr>
          <w:p w14:paraId="311BED9C" w14:textId="6AEA68A3" w:rsidR="003719CD" w:rsidRPr="00197D8A" w:rsidRDefault="003719CD" w:rsidP="007D536F">
            <w:pPr>
              <w:rPr>
                <w:rStyle w:val="Guidance"/>
              </w:rPr>
            </w:pPr>
            <w:r w:rsidRPr="00197D8A">
              <w:rPr>
                <w:rStyle w:val="Guidance"/>
              </w:rPr>
              <w:t>In the ‘</w:t>
            </w:r>
            <w:r w:rsidRPr="000F5E0B">
              <w:rPr>
                <w:rStyle w:val="Guidance"/>
                <w:b/>
                <w:bCs/>
              </w:rPr>
              <w:t xml:space="preserve">other economic flow included in net </w:t>
            </w:r>
            <w:r w:rsidRPr="00593459">
              <w:rPr>
                <w:rStyle w:val="Guidance"/>
                <w:b/>
              </w:rPr>
              <w:t>result</w:t>
            </w:r>
            <w:r w:rsidR="00593459">
              <w:rPr>
                <w:rStyle w:val="Guidance"/>
              </w:rPr>
              <w:t>’</w:t>
            </w:r>
            <w:r w:rsidRPr="00197D8A">
              <w:rPr>
                <w:rStyle w:val="Guidance"/>
              </w:rPr>
              <w:t xml:space="preserve"> section:</w:t>
            </w:r>
          </w:p>
        </w:tc>
        <w:tc>
          <w:tcPr>
            <w:tcW w:w="3818" w:type="dxa"/>
          </w:tcPr>
          <w:p w14:paraId="17774042" w14:textId="0DEDA6C7" w:rsidR="003719CD" w:rsidRPr="00197D8A" w:rsidRDefault="003719CD" w:rsidP="007D536F">
            <w:pPr>
              <w:rPr>
                <w:rStyle w:val="Guidance"/>
              </w:rPr>
            </w:pPr>
            <w:r w:rsidRPr="00197D8A">
              <w:rPr>
                <w:rStyle w:val="Guidance"/>
              </w:rPr>
              <w:t xml:space="preserve">In the </w:t>
            </w:r>
            <w:r w:rsidRPr="00CD06B1">
              <w:rPr>
                <w:rStyle w:val="Guidance"/>
                <w:b/>
              </w:rPr>
              <w:t>‘</w:t>
            </w:r>
            <w:r w:rsidRPr="000F5E0B">
              <w:rPr>
                <w:rStyle w:val="Guidance"/>
                <w:b/>
                <w:bCs/>
              </w:rPr>
              <w:t xml:space="preserve">other economic flow </w:t>
            </w:r>
            <w:r w:rsidR="00CE0634" w:rsidRPr="000F5E0B">
              <w:rPr>
                <w:rStyle w:val="Guidance"/>
                <w:b/>
                <w:bCs/>
              </w:rPr>
              <w:t>–</w:t>
            </w:r>
            <w:r w:rsidR="00CE0634">
              <w:rPr>
                <w:rStyle w:val="Guidance"/>
                <w:b/>
                <w:bCs/>
              </w:rPr>
              <w:t xml:space="preserve"> </w:t>
            </w:r>
            <w:r w:rsidRPr="000F5E0B">
              <w:rPr>
                <w:rStyle w:val="Guidance"/>
                <w:b/>
                <w:bCs/>
              </w:rPr>
              <w:t xml:space="preserve">other comprehensive </w:t>
            </w:r>
            <w:r w:rsidRPr="00593459">
              <w:rPr>
                <w:rStyle w:val="Guidance"/>
                <w:b/>
              </w:rPr>
              <w:t>income</w:t>
            </w:r>
            <w:r w:rsidR="00593459">
              <w:rPr>
                <w:rStyle w:val="Guidance"/>
              </w:rPr>
              <w:t>’</w:t>
            </w:r>
            <w:r w:rsidRPr="00197D8A">
              <w:rPr>
                <w:rStyle w:val="Guidance"/>
              </w:rPr>
              <w:t xml:space="preserve"> section:</w:t>
            </w:r>
          </w:p>
        </w:tc>
      </w:tr>
      <w:tr w:rsidR="003719CD" w:rsidRPr="00197D8A" w14:paraId="5C744B8F" w14:textId="77777777" w:rsidTr="007D536F">
        <w:tc>
          <w:tcPr>
            <w:tcW w:w="2827" w:type="dxa"/>
          </w:tcPr>
          <w:p w14:paraId="043987D5" w14:textId="77777777" w:rsidR="003719CD" w:rsidRPr="00197D8A" w:rsidRDefault="003719CD" w:rsidP="007D536F">
            <w:pPr>
              <w:rPr>
                <w:rStyle w:val="Guidance"/>
              </w:rPr>
            </w:pPr>
            <w:r w:rsidRPr="00197D8A">
              <w:rPr>
                <w:rStyle w:val="Guidance"/>
              </w:rPr>
              <w:t>Transactions are those economic flows that arise as a result of policy decisions, usually interactions between two entities by mutual agreement, and also flows within an entity. Taxation is regarded as mutually agreed interactions between the Government and taxpayers. Transactions can be cash or in kind. In simple terms, transactions arise from the policy decisions of the Government.</w:t>
            </w:r>
          </w:p>
          <w:p w14:paraId="2E1CB10D" w14:textId="77777777" w:rsidR="003719CD" w:rsidRPr="00197D8A" w:rsidRDefault="003719CD" w:rsidP="007D536F">
            <w:pPr>
              <w:rPr>
                <w:rStyle w:val="Guidance"/>
              </w:rPr>
            </w:pPr>
            <w:r w:rsidRPr="00197D8A">
              <w:rPr>
                <w:rStyle w:val="Guidance"/>
              </w:rPr>
              <w:t>Minimum requirements in AASB 101.82:</w:t>
            </w:r>
          </w:p>
          <w:p w14:paraId="1DC0FBD1" w14:textId="1ECB3ACA" w:rsidR="003719CD" w:rsidRPr="00197D8A" w:rsidRDefault="003719CD" w:rsidP="00367D84">
            <w:pPr>
              <w:pStyle w:val="ListBullet"/>
              <w:numPr>
                <w:ilvl w:val="0"/>
                <w:numId w:val="34"/>
              </w:numPr>
              <w:rPr>
                <w:rStyle w:val="Guidance"/>
              </w:rPr>
            </w:pPr>
            <w:r w:rsidRPr="00197D8A">
              <w:rPr>
                <w:rStyle w:val="Guidance"/>
              </w:rPr>
              <w:t>Revenue</w:t>
            </w:r>
          </w:p>
          <w:p w14:paraId="0F894E54" w14:textId="759B21DC" w:rsidR="003719CD" w:rsidRPr="00197D8A" w:rsidRDefault="003719CD" w:rsidP="00367D84">
            <w:pPr>
              <w:pStyle w:val="ListBullet"/>
              <w:numPr>
                <w:ilvl w:val="0"/>
                <w:numId w:val="34"/>
              </w:numPr>
              <w:rPr>
                <w:rStyle w:val="Guidance"/>
              </w:rPr>
            </w:pPr>
            <w:r w:rsidRPr="00197D8A">
              <w:rPr>
                <w:rStyle w:val="Guidance"/>
              </w:rPr>
              <w:t>Finance costs</w:t>
            </w:r>
          </w:p>
          <w:p w14:paraId="218EB858" w14:textId="77777777" w:rsidR="003719CD" w:rsidRPr="00197D8A" w:rsidRDefault="003719CD" w:rsidP="00367D84">
            <w:pPr>
              <w:pStyle w:val="ListBullet"/>
              <w:numPr>
                <w:ilvl w:val="0"/>
                <w:numId w:val="34"/>
              </w:numPr>
              <w:rPr>
                <w:rStyle w:val="Guidance"/>
              </w:rPr>
            </w:pPr>
            <w:r w:rsidRPr="00197D8A">
              <w:rPr>
                <w:rStyle w:val="Guidance"/>
              </w:rPr>
              <w:t>Tax expense (NTER entities).</w:t>
            </w:r>
          </w:p>
        </w:tc>
        <w:tc>
          <w:tcPr>
            <w:tcW w:w="2977" w:type="dxa"/>
          </w:tcPr>
          <w:p w14:paraId="7B42DAE9" w14:textId="77777777" w:rsidR="003719CD" w:rsidRPr="00197D8A" w:rsidRDefault="003719CD" w:rsidP="007D536F">
            <w:pPr>
              <w:rPr>
                <w:rStyle w:val="Guidance"/>
              </w:rPr>
            </w:pPr>
            <w:r w:rsidRPr="00197D8A">
              <w:rPr>
                <w:rStyle w:val="Guidance"/>
              </w:rPr>
              <w:t>This section includes changes in the volume or value of an asset or liability that do not result from transactions. It includes:</w:t>
            </w:r>
          </w:p>
          <w:p w14:paraId="4ED51FC5" w14:textId="5B6EE3E4" w:rsidR="003719CD" w:rsidRPr="00197D8A" w:rsidRDefault="003719CD" w:rsidP="5A2E01D0">
            <w:pPr>
              <w:pStyle w:val="ListBullet"/>
              <w:rPr>
                <w:rStyle w:val="Guidance"/>
              </w:rPr>
            </w:pPr>
            <w:r w:rsidRPr="00197D8A">
              <w:rPr>
                <w:rStyle w:val="Guidance"/>
              </w:rPr>
              <w:t>gains and losses from disposals, revaluations and impairments of non-financial physical and intangible assets</w:t>
            </w:r>
          </w:p>
          <w:p w14:paraId="61309D9C" w14:textId="48297C1E" w:rsidR="003719CD" w:rsidRPr="00197D8A" w:rsidRDefault="003719CD" w:rsidP="00367D84">
            <w:pPr>
              <w:pStyle w:val="ListBullet"/>
              <w:numPr>
                <w:ilvl w:val="0"/>
                <w:numId w:val="34"/>
              </w:numPr>
              <w:rPr>
                <w:rStyle w:val="Guidance"/>
              </w:rPr>
            </w:pPr>
            <w:r w:rsidRPr="00197D8A">
              <w:rPr>
                <w:rStyle w:val="Guidance"/>
              </w:rPr>
              <w:t>fair value changes of financial instruments and agricultural assets</w:t>
            </w:r>
          </w:p>
          <w:p w14:paraId="211B49BB" w14:textId="51E3662F" w:rsidR="003719CD" w:rsidRPr="00197D8A" w:rsidRDefault="003719CD" w:rsidP="5A2E01D0">
            <w:pPr>
              <w:pStyle w:val="ListBullet"/>
              <w:rPr>
                <w:rStyle w:val="Guidance"/>
              </w:rPr>
            </w:pPr>
            <w:r w:rsidRPr="00197D8A">
              <w:rPr>
                <w:rStyle w:val="Guidance"/>
              </w:rPr>
              <w:t>depletion of natural assets (</w:t>
            </w:r>
            <w:r w:rsidRPr="5A2E01D0">
              <w:rPr>
                <w:rStyle w:val="Guidance"/>
              </w:rPr>
              <w:t>non</w:t>
            </w:r>
            <w:r w:rsidR="00FB3A00">
              <w:rPr>
                <w:rStyle w:val="Guidance"/>
              </w:rPr>
              <w:t>-</w:t>
            </w:r>
            <w:r w:rsidRPr="5A2E01D0">
              <w:rPr>
                <w:rStyle w:val="Guidance"/>
              </w:rPr>
              <w:t>produced</w:t>
            </w:r>
            <w:r w:rsidRPr="00197D8A">
              <w:rPr>
                <w:rStyle w:val="Guidance"/>
              </w:rPr>
              <w:t>) from their use or removal</w:t>
            </w:r>
          </w:p>
          <w:p w14:paraId="2EE85F87" w14:textId="4FEF607B" w:rsidR="003719CD" w:rsidRPr="00197D8A" w:rsidRDefault="003719CD" w:rsidP="00367D84">
            <w:pPr>
              <w:pStyle w:val="ListBullet"/>
              <w:numPr>
                <w:ilvl w:val="0"/>
                <w:numId w:val="34"/>
              </w:numPr>
              <w:rPr>
                <w:rStyle w:val="Guidance"/>
              </w:rPr>
            </w:pPr>
            <w:r w:rsidRPr="00197D8A">
              <w:rPr>
                <w:rStyle w:val="Guidance"/>
              </w:rPr>
              <w:t>share of the profit or loss of equity accounted investments</w:t>
            </w:r>
          </w:p>
          <w:p w14:paraId="23A59AA8" w14:textId="77777777" w:rsidR="003719CD" w:rsidRPr="00197D8A" w:rsidRDefault="003719CD" w:rsidP="00367D84">
            <w:pPr>
              <w:pStyle w:val="ListBullet"/>
              <w:numPr>
                <w:ilvl w:val="0"/>
                <w:numId w:val="34"/>
              </w:numPr>
              <w:rPr>
                <w:rStyle w:val="Guidance"/>
              </w:rPr>
            </w:pPr>
            <w:r w:rsidRPr="00197D8A">
              <w:rPr>
                <w:rStyle w:val="Guidance"/>
              </w:rPr>
              <w:t>a single amount for the total of discontinued operations.</w:t>
            </w:r>
          </w:p>
        </w:tc>
        <w:tc>
          <w:tcPr>
            <w:tcW w:w="3818" w:type="dxa"/>
          </w:tcPr>
          <w:p w14:paraId="232AE5FE" w14:textId="2F3F4C39" w:rsidR="003719CD" w:rsidRPr="00197D8A" w:rsidRDefault="003719CD" w:rsidP="007D536F">
            <w:pPr>
              <w:rPr>
                <w:rStyle w:val="Guidance"/>
              </w:rPr>
            </w:pPr>
            <w:r w:rsidRPr="00197D8A">
              <w:rPr>
                <w:rStyle w:val="Guidance"/>
              </w:rPr>
              <w:t>It presents line items for amounts classified by nature and grouped into those that</w:t>
            </w:r>
            <w:r w:rsidR="00097F8A">
              <w:rPr>
                <w:rStyle w:val="Guidance"/>
              </w:rPr>
              <w:t xml:space="preserve"> either</w:t>
            </w:r>
            <w:r w:rsidRPr="00197D8A">
              <w:rPr>
                <w:rStyle w:val="Guidance"/>
              </w:rPr>
              <w:t>:</w:t>
            </w:r>
          </w:p>
          <w:p w14:paraId="3FC5F546" w14:textId="2D551F3C" w:rsidR="003719CD" w:rsidRPr="00197D8A" w:rsidRDefault="003719CD" w:rsidP="5A2E01D0">
            <w:pPr>
              <w:pStyle w:val="ListBullet"/>
              <w:rPr>
                <w:rStyle w:val="Guidance"/>
              </w:rPr>
            </w:pPr>
            <w:r w:rsidRPr="00197D8A">
              <w:rPr>
                <w:rStyle w:val="Guidance"/>
              </w:rPr>
              <w:t>will not be reclassified subsequently to profit or loss</w:t>
            </w:r>
          </w:p>
          <w:p w14:paraId="285F5A85" w14:textId="77777777" w:rsidR="003719CD" w:rsidRPr="00197D8A" w:rsidRDefault="003719CD" w:rsidP="5A2E01D0">
            <w:pPr>
              <w:pStyle w:val="ListBullet"/>
              <w:rPr>
                <w:rStyle w:val="Guidance"/>
              </w:rPr>
            </w:pPr>
            <w:r w:rsidRPr="00197D8A">
              <w:rPr>
                <w:rStyle w:val="Guidance"/>
              </w:rPr>
              <w:t xml:space="preserve">will be reclassified subsequently to profit or loss when specific conditions are met. </w:t>
            </w:r>
          </w:p>
          <w:p w14:paraId="6D205CDB" w14:textId="77777777" w:rsidR="003719CD" w:rsidRPr="00197D8A" w:rsidRDefault="003719CD" w:rsidP="007D536F">
            <w:pPr>
              <w:rPr>
                <w:rStyle w:val="Guidance"/>
              </w:rPr>
            </w:pPr>
            <w:r w:rsidRPr="00197D8A">
              <w:rPr>
                <w:rStyle w:val="Guidance"/>
              </w:rPr>
              <w:t xml:space="preserve">It includes: </w:t>
            </w:r>
          </w:p>
          <w:p w14:paraId="0D9734C6" w14:textId="359BFE64" w:rsidR="003719CD" w:rsidRPr="00197D8A" w:rsidRDefault="003719CD" w:rsidP="00367D84">
            <w:pPr>
              <w:pStyle w:val="ListBullet"/>
              <w:numPr>
                <w:ilvl w:val="0"/>
                <w:numId w:val="34"/>
              </w:numPr>
              <w:rPr>
                <w:rStyle w:val="Guidance"/>
              </w:rPr>
            </w:pPr>
            <w:r w:rsidRPr="00197D8A">
              <w:rPr>
                <w:rStyle w:val="Guidance"/>
              </w:rPr>
              <w:t>changes in physical asset revaluation surpluses</w:t>
            </w:r>
          </w:p>
          <w:p w14:paraId="7CD0431A" w14:textId="3C7B01A5" w:rsidR="003719CD" w:rsidRPr="00197D8A" w:rsidRDefault="003719CD" w:rsidP="00367D84">
            <w:pPr>
              <w:pStyle w:val="ListBullet"/>
              <w:numPr>
                <w:ilvl w:val="0"/>
                <w:numId w:val="34"/>
              </w:numPr>
              <w:rPr>
                <w:rStyle w:val="Guidance"/>
              </w:rPr>
            </w:pPr>
            <w:r w:rsidRPr="00197D8A">
              <w:rPr>
                <w:rStyle w:val="Guidance"/>
              </w:rPr>
              <w:t>share of movements of other comprehensive income of equity accounted investments</w:t>
            </w:r>
          </w:p>
          <w:p w14:paraId="5CAB3EF8" w14:textId="55FADD13" w:rsidR="003719CD" w:rsidRPr="00197D8A" w:rsidRDefault="003719CD" w:rsidP="00367D84">
            <w:pPr>
              <w:pStyle w:val="ListBullet"/>
              <w:numPr>
                <w:ilvl w:val="0"/>
                <w:numId w:val="34"/>
              </w:numPr>
              <w:rPr>
                <w:rStyle w:val="Guidance"/>
              </w:rPr>
            </w:pPr>
            <w:r w:rsidRPr="00197D8A">
              <w:rPr>
                <w:rStyle w:val="Guidance"/>
              </w:rPr>
              <w:t>changes to the fair value of equity investments measured at fair value through other comprehensive income</w:t>
            </w:r>
          </w:p>
          <w:p w14:paraId="309B9A1E" w14:textId="77777777" w:rsidR="003719CD" w:rsidRPr="00197D8A" w:rsidRDefault="003719CD" w:rsidP="5A2E01D0">
            <w:pPr>
              <w:pStyle w:val="ListBullet"/>
              <w:rPr>
                <w:rStyle w:val="Guidance"/>
              </w:rPr>
            </w:pPr>
            <w:r w:rsidRPr="00197D8A">
              <w:rPr>
                <w:rStyle w:val="Guidance"/>
              </w:rPr>
              <w:t>changes to the fair value of financial liabilities designated at fair value through net result due to changes in own credit risk.</w:t>
            </w:r>
          </w:p>
        </w:tc>
      </w:tr>
    </w:tbl>
    <w:p w14:paraId="7483A4E8" w14:textId="3C3C7186" w:rsidR="003719CD" w:rsidRPr="00197D8A" w:rsidRDefault="003719CD" w:rsidP="00040B1D">
      <w:pPr>
        <w:rPr>
          <w:rStyle w:val="Guidance"/>
        </w:rPr>
      </w:pPr>
      <w:r w:rsidRPr="00197D8A">
        <w:rPr>
          <w:rStyle w:val="Guidance"/>
        </w:rPr>
        <w:t xml:space="preserve">For further guidance on the classifications, please refer to </w:t>
      </w:r>
      <w:r w:rsidR="00040B1D">
        <w:rPr>
          <w:rStyle w:val="Guidance"/>
        </w:rPr>
        <w:t xml:space="preserve">AASB 1049 </w:t>
      </w:r>
      <w:r w:rsidR="00040B1D" w:rsidRPr="00040B1D">
        <w:rPr>
          <w:rStyle w:val="Guidance"/>
          <w:i/>
          <w:iCs/>
        </w:rPr>
        <w:t>Whole of Government and General Government Sector Financial Reporting</w:t>
      </w:r>
      <w:r w:rsidR="00040B1D">
        <w:rPr>
          <w:rStyle w:val="Guidance"/>
        </w:rPr>
        <w:t xml:space="preserve">. </w:t>
      </w:r>
    </w:p>
    <w:p w14:paraId="18E4CB86" w14:textId="4E6101C5" w:rsidR="003719CD" w:rsidRPr="00197D8A" w:rsidRDefault="003719CD" w:rsidP="007D536F">
      <w:pPr>
        <w:rPr>
          <w:rStyle w:val="Guidance"/>
        </w:rPr>
      </w:pPr>
      <w:r w:rsidRPr="000F5E0B">
        <w:rPr>
          <w:rStyle w:val="Guidance"/>
          <w:b/>
          <w:bCs/>
        </w:rPr>
        <w:t>Classification of expenses by nature or function</w:t>
      </w:r>
      <w:r w:rsidRPr="00197D8A">
        <w:rPr>
          <w:rStyle w:val="Guidance"/>
        </w:rPr>
        <w:t xml:space="preserve">: Expenses must be classified and presented (either in the comprehensive operating statement or in the related notes) based on either their nature or their function, whichever provides information that is reliable and more relevant. </w:t>
      </w:r>
      <w:r w:rsidRPr="000F5E0B">
        <w:rPr>
          <w:rStyle w:val="Reference"/>
        </w:rPr>
        <w:t>[AASB 101.99 and 101.100]</w:t>
      </w:r>
      <w:r w:rsidR="00593459">
        <w:rPr>
          <w:rStyle w:val="Guidance"/>
        </w:rPr>
        <w:t xml:space="preserve"> </w:t>
      </w:r>
      <w:r w:rsidRPr="00197D8A">
        <w:rPr>
          <w:rStyle w:val="Guidance"/>
        </w:rPr>
        <w:t>Regardless of whether expenses are classified by nature or by function, each material class is separately disclosed.</w:t>
      </w:r>
    </w:p>
    <w:p w14:paraId="1C609F23" w14:textId="77777777" w:rsidR="003719CD" w:rsidRPr="00197D8A" w:rsidRDefault="003719CD" w:rsidP="007D536F">
      <w:pPr>
        <w:rPr>
          <w:rStyle w:val="Guidance"/>
        </w:rPr>
      </w:pPr>
      <w:r w:rsidRPr="000F5E0B">
        <w:rPr>
          <w:rStyle w:val="Guidance"/>
          <w:b/>
          <w:bCs/>
        </w:rPr>
        <w:t>National Tax Equivalent Regime (NTER)</w:t>
      </w:r>
      <w:r w:rsidRPr="00197D8A">
        <w:rPr>
          <w:rStyle w:val="Guidance"/>
        </w:rPr>
        <w:t xml:space="preserve">: Those entities that are subject to NTER are required to disclose in the comprehensive operating statement ‘net result for the period before income tax’, ‘income tax expense’, and ‘net result for the period after income tax’. Similarly, items of other comprehensive income are required to be presented net of tax effects. </w:t>
      </w:r>
      <w:r w:rsidRPr="000F5E0B">
        <w:rPr>
          <w:rStyle w:val="Reference"/>
        </w:rPr>
        <w:t>[AASB 101.90 91]</w:t>
      </w:r>
    </w:p>
    <w:p w14:paraId="41C5B1D2" w14:textId="7A8DAE9E" w:rsidR="003719CD" w:rsidRPr="00197D8A" w:rsidRDefault="003719CD" w:rsidP="007D536F">
      <w:pPr>
        <w:rPr>
          <w:rStyle w:val="Guidance"/>
        </w:rPr>
      </w:pPr>
      <w:r w:rsidRPr="000F5E0B">
        <w:rPr>
          <w:rStyle w:val="Guidance"/>
          <w:b/>
          <w:bCs/>
        </w:rPr>
        <w:t>Material items of income and expense</w:t>
      </w:r>
      <w:r w:rsidRPr="00197D8A">
        <w:rPr>
          <w:rStyle w:val="Guidance"/>
        </w:rPr>
        <w:t xml:space="preserve">: When items of income and expense are material, their nature and amount shall be disclosed separately either in the comprehensive operating statement or in the notes to the financial statements. </w:t>
      </w:r>
      <w:r w:rsidRPr="000F5E0B">
        <w:rPr>
          <w:rStyle w:val="Reference"/>
        </w:rPr>
        <w:t>[AASB 101.97]</w:t>
      </w:r>
    </w:p>
    <w:p w14:paraId="5843904B" w14:textId="2870CB40" w:rsidR="003719CD" w:rsidRPr="00197D8A" w:rsidRDefault="003719CD" w:rsidP="007D536F">
      <w:pPr>
        <w:rPr>
          <w:rStyle w:val="Guidance"/>
        </w:rPr>
      </w:pPr>
      <w:r w:rsidRPr="00197D8A">
        <w:rPr>
          <w:rStyle w:val="Guidance"/>
        </w:rPr>
        <w:t>Further, an entity shall disclose, either in the comprehensive operating statement or in the notes, any amounts related to components of other comprehensive income that are reclassified to net result in the current period that were previously recognised in other comprehensive income in the current or previous periods.</w:t>
      </w:r>
    </w:p>
    <w:p w14:paraId="33036045" w14:textId="77777777" w:rsidR="003719CD" w:rsidRPr="00197D8A" w:rsidRDefault="003719CD" w:rsidP="007D536F">
      <w:pPr>
        <w:rPr>
          <w:rStyle w:val="Guidance"/>
        </w:rPr>
      </w:pPr>
      <w:r w:rsidRPr="000F5E0B">
        <w:rPr>
          <w:rStyle w:val="Guidance"/>
          <w:b/>
          <w:bCs/>
        </w:rPr>
        <w:t>Additional disclosures</w:t>
      </w:r>
      <w:r w:rsidRPr="00197D8A">
        <w:rPr>
          <w:rStyle w:val="Guidance"/>
        </w:rPr>
        <w:t xml:space="preserve">: Additional disclosures (such as additional line items, headings and subtotals) shall be presented in the statement(s) presenting profit or loss and other comprehensive income when it is relevant to an understanding of the financial performance of the entity </w:t>
      </w:r>
      <w:r w:rsidRPr="00C51272">
        <w:rPr>
          <w:rStyle w:val="Guidance"/>
          <w:color w:val="C00000"/>
          <w:sz w:val="16"/>
          <w:szCs w:val="16"/>
        </w:rPr>
        <w:t>[AASB 101.85]</w:t>
      </w:r>
      <w:r w:rsidRPr="00197D8A">
        <w:rPr>
          <w:rStyle w:val="Guidance"/>
        </w:rPr>
        <w:t xml:space="preserve">, subject to those disclosures being consistent with requirements of AASB 1049 </w:t>
      </w:r>
      <w:r w:rsidRPr="000F5E0B">
        <w:rPr>
          <w:rStyle w:val="Guidance"/>
          <w:i/>
          <w:iCs/>
        </w:rPr>
        <w:t>Whole of Government and General Government Sector Financial Reporting</w:t>
      </w:r>
      <w:r w:rsidRPr="00197D8A">
        <w:rPr>
          <w:rStyle w:val="Guidance"/>
        </w:rPr>
        <w:t>.</w:t>
      </w:r>
    </w:p>
    <w:p w14:paraId="2390F46F" w14:textId="77777777" w:rsidR="003719CD" w:rsidRPr="00197D8A" w:rsidRDefault="003719CD" w:rsidP="000F5E0B">
      <w:pPr>
        <w:pStyle w:val="GuidanceHeading"/>
        <w:rPr>
          <w:rStyle w:val="Guidance"/>
        </w:rPr>
      </w:pPr>
      <w:r w:rsidRPr="00197D8A">
        <w:rPr>
          <w:rStyle w:val="Guidance"/>
        </w:rPr>
        <w:lastRenderedPageBreak/>
        <w:t>Streamlining tips</w:t>
      </w:r>
    </w:p>
    <w:p w14:paraId="0AFE171A" w14:textId="77777777" w:rsidR="003719CD" w:rsidRPr="00197D8A" w:rsidRDefault="003719CD" w:rsidP="007D536F">
      <w:pPr>
        <w:rPr>
          <w:rStyle w:val="Guidance"/>
        </w:rPr>
      </w:pPr>
      <w:r w:rsidRPr="00197D8A">
        <w:rPr>
          <w:rStyle w:val="Guidance"/>
        </w:rPr>
        <w:t>Where there are no amounts applicable to any individual line item, that line item should be omitted from the comprehensive operating statement, balance sheet, cash flow statement and statement of changes in equity.</w:t>
      </w:r>
    </w:p>
    <w:p w14:paraId="50C8EC94" w14:textId="77777777" w:rsidR="003719CD" w:rsidRDefault="003719CD" w:rsidP="007D536F">
      <w:pPr>
        <w:rPr>
          <w:rStyle w:val="Guidance"/>
        </w:rPr>
      </w:pPr>
      <w:r w:rsidRPr="00197D8A">
        <w:rPr>
          <w:rStyle w:val="Guidance"/>
        </w:rPr>
        <w:t>When such presentation is relevant to the understanding of the entity’s financial position, additional line items, headings and subtotals shall be presented in the comprehensive operating statement, balance sheet, cash flow statement and statement of changes in equity.</w:t>
      </w:r>
    </w:p>
    <w:p w14:paraId="1AA725A7" w14:textId="77777777" w:rsidR="007B1F7F" w:rsidRDefault="003719CD">
      <w:pPr>
        <w:rPr>
          <w:rStyle w:val="Guidance"/>
        </w:rPr>
      </w:pPr>
      <w:r w:rsidRPr="00AA3FAE">
        <w:rPr>
          <w:rStyle w:val="Guidance"/>
          <w:b/>
          <w:bCs/>
        </w:rPr>
        <w:t>Disclosure requirements under AASB 1049</w:t>
      </w:r>
      <w:r w:rsidRPr="00741878">
        <w:rPr>
          <w:rStyle w:val="Guidance"/>
        </w:rPr>
        <w:t>: To align with whole of government reporting, departments are required to classify items of income between ‘transactions’ and ‘other economic flows’ as appropriate (refer to the guidance provided on the Comprehensive Operating Statement). Common material items may include</w:t>
      </w:r>
      <w:r w:rsidR="007B1F7F">
        <w:rPr>
          <w:rStyle w:val="Guidance"/>
        </w:rPr>
        <w:t>:</w:t>
      </w:r>
    </w:p>
    <w:p w14:paraId="01D0C3E4" w14:textId="613694E4" w:rsidR="003719CD" w:rsidRPr="00741878" w:rsidRDefault="003719CD" w:rsidP="00310F12">
      <w:pPr>
        <w:pStyle w:val="ListBullet"/>
        <w:rPr>
          <w:rStyle w:val="Guidance"/>
        </w:rPr>
      </w:pPr>
      <w:r w:rsidRPr="00741878">
        <w:rPr>
          <w:rStyle w:val="Guidance"/>
        </w:rPr>
        <w:t>the amount of each significant category of income recognised</w:t>
      </w:r>
      <w:r w:rsidR="00111DCA">
        <w:rPr>
          <w:rStyle w:val="Guidance"/>
        </w:rPr>
        <w:t>,</w:t>
      </w:r>
      <w:r w:rsidRPr="00741878">
        <w:rPr>
          <w:rStyle w:val="Guidance"/>
        </w:rPr>
        <w:t xml:space="preserve"> including income arising from:</w:t>
      </w:r>
    </w:p>
    <w:p w14:paraId="40F7AB57" w14:textId="5CB84AE8" w:rsidR="003719CD" w:rsidRPr="00741878" w:rsidRDefault="003719CD" w:rsidP="00132AE1">
      <w:pPr>
        <w:pStyle w:val="ListBullet2"/>
        <w:rPr>
          <w:rStyle w:val="Guidance"/>
        </w:rPr>
      </w:pPr>
      <w:r w:rsidRPr="00741878">
        <w:rPr>
          <w:rStyle w:val="Guidance"/>
        </w:rPr>
        <w:t>the sale of goods</w:t>
      </w:r>
    </w:p>
    <w:p w14:paraId="7874F435" w14:textId="251E80B9" w:rsidR="003719CD" w:rsidRPr="00741878" w:rsidRDefault="003719CD" w:rsidP="00132AE1">
      <w:pPr>
        <w:pStyle w:val="ListBullet2"/>
        <w:rPr>
          <w:rStyle w:val="Guidance"/>
        </w:rPr>
      </w:pPr>
      <w:r w:rsidRPr="00741878">
        <w:rPr>
          <w:rStyle w:val="Guidance"/>
        </w:rPr>
        <w:t>the rendering of services</w:t>
      </w:r>
    </w:p>
    <w:p w14:paraId="39C990A9" w14:textId="1E3CF5E7" w:rsidR="003719CD" w:rsidRPr="00741878" w:rsidRDefault="003719CD" w:rsidP="00132AE1">
      <w:pPr>
        <w:pStyle w:val="ListBullet2"/>
        <w:rPr>
          <w:rStyle w:val="Guidance"/>
        </w:rPr>
      </w:pPr>
      <w:r w:rsidRPr="00741878">
        <w:rPr>
          <w:rStyle w:val="Guidance"/>
        </w:rPr>
        <w:t>interest</w:t>
      </w:r>
    </w:p>
    <w:p w14:paraId="04BF8388" w14:textId="23B25757" w:rsidR="003719CD" w:rsidRPr="00741878" w:rsidRDefault="003719CD" w:rsidP="00132AE1">
      <w:pPr>
        <w:pStyle w:val="ListBullet2"/>
        <w:rPr>
          <w:rStyle w:val="Guidance"/>
        </w:rPr>
      </w:pPr>
      <w:r w:rsidRPr="00741878">
        <w:rPr>
          <w:rStyle w:val="Guidance"/>
        </w:rPr>
        <w:t>royalties</w:t>
      </w:r>
    </w:p>
    <w:p w14:paraId="4225AD9B" w14:textId="3DCC4852" w:rsidR="003719CD" w:rsidRPr="00741878" w:rsidRDefault="003719CD" w:rsidP="00132AE1">
      <w:pPr>
        <w:pStyle w:val="ListBullet2"/>
        <w:rPr>
          <w:rStyle w:val="Guidance"/>
        </w:rPr>
      </w:pPr>
      <w:r w:rsidRPr="00741878">
        <w:rPr>
          <w:rStyle w:val="Guidance"/>
        </w:rPr>
        <w:t xml:space="preserve">dividends. </w:t>
      </w:r>
      <w:r w:rsidRPr="00AA3FAE">
        <w:rPr>
          <w:rStyle w:val="Reference"/>
        </w:rPr>
        <w:t>[AASB 101.79(b)]</w:t>
      </w:r>
    </w:p>
    <w:p w14:paraId="3A81EBCD" w14:textId="6389530E" w:rsidR="003719CD" w:rsidRPr="00741878" w:rsidRDefault="003719CD" w:rsidP="00310F12">
      <w:pPr>
        <w:pStyle w:val="ListBullet"/>
        <w:rPr>
          <w:rStyle w:val="Guidance"/>
        </w:rPr>
      </w:pPr>
      <w:r w:rsidRPr="00741878">
        <w:rPr>
          <w:rStyle w:val="Guidance"/>
        </w:rPr>
        <w:t>the amount of income arising from exchanges of goods or services included in each significant category of income</w:t>
      </w:r>
    </w:p>
    <w:p w14:paraId="253FDECE" w14:textId="57F36CF4" w:rsidR="003719CD" w:rsidRPr="00741878" w:rsidRDefault="003719CD" w:rsidP="00310F12">
      <w:pPr>
        <w:pStyle w:val="ListBullet"/>
        <w:rPr>
          <w:rStyle w:val="Guidance"/>
        </w:rPr>
      </w:pPr>
      <w:r w:rsidRPr="00741878">
        <w:rPr>
          <w:rStyle w:val="Guidance"/>
        </w:rPr>
        <w:t xml:space="preserve">total interest income for financial assets that are not at fair value through profit or loss </w:t>
      </w:r>
      <w:r w:rsidRPr="00AA3FAE">
        <w:rPr>
          <w:rStyle w:val="Reference"/>
        </w:rPr>
        <w:t>[AASB 7.20(b)]</w:t>
      </w:r>
    </w:p>
    <w:p w14:paraId="306FB4F2" w14:textId="389161E4" w:rsidR="003719CD" w:rsidRPr="00C51272" w:rsidRDefault="003719CD" w:rsidP="00D65B36">
      <w:pPr>
        <w:pStyle w:val="ListBullet"/>
        <w:rPr>
          <w:rStyle w:val="Reference"/>
          <w:color w:val="4472C4" w:themeColor="accent1"/>
          <w:sz w:val="18"/>
        </w:rPr>
      </w:pPr>
      <w:r w:rsidRPr="00741878">
        <w:rPr>
          <w:rStyle w:val="Guidance"/>
        </w:rPr>
        <w:t>fee income arising from</w:t>
      </w:r>
      <w:r w:rsidR="00111DCA">
        <w:rPr>
          <w:rStyle w:val="Guidance"/>
        </w:rPr>
        <w:t xml:space="preserve"> </w:t>
      </w:r>
      <w:r w:rsidRPr="00741878">
        <w:rPr>
          <w:rStyle w:val="Guidance"/>
        </w:rPr>
        <w:t>financial assets that are not at fair value through profit or loss</w:t>
      </w:r>
      <w:r w:rsidR="00111DCA">
        <w:rPr>
          <w:rStyle w:val="Guidance"/>
        </w:rPr>
        <w:t xml:space="preserve"> or </w:t>
      </w:r>
      <w:r w:rsidRPr="00741878">
        <w:rPr>
          <w:rStyle w:val="Guidance"/>
        </w:rPr>
        <w:t xml:space="preserve">trust and other fiduciary activities that result in the holding of assets on behalf of others. </w:t>
      </w:r>
      <w:r w:rsidRPr="00AA3FAE">
        <w:rPr>
          <w:rStyle w:val="Reference"/>
        </w:rPr>
        <w:t>[AASB 7.20(c)]</w:t>
      </w:r>
    </w:p>
    <w:p w14:paraId="487D6E1F" w14:textId="77777777" w:rsidR="003719CD" w:rsidRPr="00197D8A" w:rsidRDefault="003719CD" w:rsidP="000F5E0B">
      <w:pPr>
        <w:pStyle w:val="GuidanceEnd"/>
        <w:rPr>
          <w:rStyle w:val="Guidance"/>
        </w:rPr>
      </w:pPr>
    </w:p>
    <w:p w14:paraId="0EF67CAC" w14:textId="41F85955" w:rsidR="003719CD" w:rsidRPr="00A52DC2" w:rsidRDefault="003719CD" w:rsidP="000F5E0B">
      <w:pPr>
        <w:pStyle w:val="Heading2"/>
        <w:pageBreakBefore/>
      </w:pPr>
      <w:bookmarkStart w:id="5" w:name="BalanceSheet"/>
      <w:bookmarkEnd w:id="5"/>
      <w:r>
        <w:lastRenderedPageBreak/>
        <w:t xml:space="preserve">Balance sheet </w:t>
      </w:r>
      <w:r w:rsidRPr="00AF446B">
        <w:rPr>
          <w:vertAlign w:val="superscript"/>
        </w:rPr>
        <w:t>(a)</w:t>
      </w:r>
      <w:r w:rsidR="00A52DC2">
        <w:t xml:space="preserve"> </w:t>
      </w:r>
      <w:r w:rsidR="00827B32" w:rsidRPr="00205F99">
        <w:rPr>
          <w:color w:val="7030A0"/>
        </w:rPr>
        <w:t>[</w:t>
      </w:r>
      <w:r w:rsidR="00077E30">
        <w:rPr>
          <w:color w:val="7030A0"/>
        </w:rPr>
        <w:t>REVISED</w:t>
      </w:r>
      <w:r w:rsidR="00827B32" w:rsidRPr="00205F99">
        <w:rPr>
          <w:color w:val="7030A0"/>
        </w:rPr>
        <w:t>]</w:t>
      </w:r>
    </w:p>
    <w:p w14:paraId="21198B0F" w14:textId="2A8992C8" w:rsidR="003719CD" w:rsidRDefault="003719CD" w:rsidP="007D536F">
      <w:pPr>
        <w:pStyle w:val="Caption"/>
      </w:pPr>
      <w:r>
        <w:t xml:space="preserve">As at 30 June </w:t>
      </w:r>
      <w:fldSimple w:instr="DOCPROPERTY  YearCurrent \* MERGEFORMAT">
        <w:r w:rsidR="00A545BA">
          <w:t>20X2</w:t>
        </w:r>
      </w:fldSimple>
      <w:r>
        <w:tab/>
        <w:t>($ thousand)</w:t>
      </w:r>
    </w:p>
    <w:tbl>
      <w:tblPr>
        <w:tblStyle w:val="DTFTable"/>
        <w:tblW w:w="9639" w:type="dxa"/>
        <w:tblLayout w:type="fixed"/>
        <w:tblLook w:val="0620" w:firstRow="1" w:lastRow="0" w:firstColumn="0" w:lastColumn="0" w:noHBand="1" w:noVBand="1"/>
      </w:tblPr>
      <w:tblGrid>
        <w:gridCol w:w="1349"/>
        <w:gridCol w:w="6016"/>
        <w:gridCol w:w="544"/>
        <w:gridCol w:w="865"/>
        <w:gridCol w:w="865"/>
      </w:tblGrid>
      <w:tr w:rsidR="00182709" w14:paraId="3D249C87" w14:textId="77777777" w:rsidTr="007D5C79">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590ECF0A" w14:textId="77777777" w:rsidR="00182709" w:rsidRDefault="0044097C">
            <w:pPr>
              <w:keepNext/>
              <w:jc w:val="left"/>
            </w:pPr>
            <w:r>
              <w:rPr>
                <w:color w:val="4472C4"/>
                <w:sz w:val="13"/>
              </w:rPr>
              <w:t>Source reference</w:t>
            </w:r>
          </w:p>
        </w:tc>
        <w:tc>
          <w:tcPr>
            <w:tcW w:w="6016" w:type="dxa"/>
          </w:tcPr>
          <w:p w14:paraId="2829922B" w14:textId="77777777" w:rsidR="00182709" w:rsidRDefault="0044097C">
            <w:pPr>
              <w:keepNext/>
              <w:jc w:val="left"/>
            </w:pPr>
            <w:r>
              <w:t>For illustrative purposes only</w:t>
            </w:r>
          </w:p>
        </w:tc>
        <w:tc>
          <w:tcPr>
            <w:tcW w:w="544" w:type="dxa"/>
          </w:tcPr>
          <w:p w14:paraId="5DD945CC" w14:textId="77777777" w:rsidR="00182709" w:rsidRDefault="0044097C">
            <w:pPr>
              <w:keepNext/>
              <w:jc w:val="center"/>
            </w:pPr>
            <w:r>
              <w:t>Notes</w:t>
            </w:r>
          </w:p>
        </w:tc>
        <w:tc>
          <w:tcPr>
            <w:tcW w:w="865" w:type="dxa"/>
          </w:tcPr>
          <w:p w14:paraId="73579C91" w14:textId="2A0C2301" w:rsidR="00182709" w:rsidRDefault="00BA36DD">
            <w:pPr>
              <w:keepNext/>
            </w:pPr>
            <w:fldSimple w:instr="DOCPROPERTY  YearCurrent \* MERGEFORMAT">
              <w:r>
                <w:t>20X2</w:t>
              </w:r>
            </w:fldSimple>
          </w:p>
        </w:tc>
        <w:tc>
          <w:tcPr>
            <w:tcW w:w="865" w:type="dxa"/>
          </w:tcPr>
          <w:p w14:paraId="031E5161" w14:textId="3EA32AF9" w:rsidR="00182709" w:rsidRDefault="00BA36DD">
            <w:pPr>
              <w:keepNext/>
            </w:pPr>
            <w:fldSimple w:instr="DOCPROPERTY  YearPrevious \* MERGEFORMAT">
              <w:r>
                <w:t>20X1</w:t>
              </w:r>
            </w:fldSimple>
          </w:p>
        </w:tc>
      </w:tr>
      <w:tr w:rsidR="00182709" w14:paraId="42FD7637" w14:textId="77777777" w:rsidTr="007D5C79">
        <w:tc>
          <w:tcPr>
            <w:tcW w:w="1349" w:type="dxa"/>
          </w:tcPr>
          <w:p w14:paraId="4095B9EB" w14:textId="77777777" w:rsidR="00182709" w:rsidRDefault="0044097C">
            <w:pPr>
              <w:jc w:val="left"/>
            </w:pPr>
            <w:r>
              <w:rPr>
                <w:color w:val="4472C4"/>
                <w:sz w:val="13"/>
              </w:rPr>
              <w:t>AASB 101.60</w:t>
            </w:r>
          </w:p>
        </w:tc>
        <w:tc>
          <w:tcPr>
            <w:tcW w:w="6016" w:type="dxa"/>
          </w:tcPr>
          <w:p w14:paraId="4B0A32CE" w14:textId="77777777" w:rsidR="00182709" w:rsidRDefault="0044097C">
            <w:pPr>
              <w:jc w:val="left"/>
            </w:pPr>
            <w:r>
              <w:rPr>
                <w:b/>
              </w:rPr>
              <w:t>Assets</w:t>
            </w:r>
          </w:p>
        </w:tc>
        <w:tc>
          <w:tcPr>
            <w:tcW w:w="544" w:type="dxa"/>
          </w:tcPr>
          <w:p w14:paraId="614BD8C8" w14:textId="77777777" w:rsidR="00182709" w:rsidRDefault="00182709">
            <w:pPr>
              <w:jc w:val="center"/>
            </w:pPr>
          </w:p>
        </w:tc>
        <w:tc>
          <w:tcPr>
            <w:tcW w:w="865" w:type="dxa"/>
          </w:tcPr>
          <w:p w14:paraId="35C86997" w14:textId="77777777" w:rsidR="00182709" w:rsidRDefault="00182709"/>
        </w:tc>
        <w:tc>
          <w:tcPr>
            <w:tcW w:w="865" w:type="dxa"/>
          </w:tcPr>
          <w:p w14:paraId="6487A623" w14:textId="77777777" w:rsidR="00182709" w:rsidRDefault="00182709"/>
        </w:tc>
      </w:tr>
      <w:tr w:rsidR="00182709" w14:paraId="059C4C66" w14:textId="77777777" w:rsidTr="007D5C79">
        <w:tc>
          <w:tcPr>
            <w:tcW w:w="1349" w:type="dxa"/>
          </w:tcPr>
          <w:p w14:paraId="10ACEC3B" w14:textId="77777777" w:rsidR="00182709" w:rsidRDefault="0044097C">
            <w:pPr>
              <w:jc w:val="left"/>
            </w:pPr>
            <w:r>
              <w:rPr>
                <w:color w:val="4472C4"/>
                <w:sz w:val="13"/>
              </w:rPr>
              <w:t>AASB 101.58 (a)</w:t>
            </w:r>
          </w:p>
        </w:tc>
        <w:tc>
          <w:tcPr>
            <w:tcW w:w="6016" w:type="dxa"/>
          </w:tcPr>
          <w:p w14:paraId="54EF5B83" w14:textId="77777777" w:rsidR="00182709" w:rsidRDefault="0044097C">
            <w:pPr>
              <w:jc w:val="left"/>
            </w:pPr>
            <w:r>
              <w:rPr>
                <w:b/>
              </w:rPr>
              <w:t>Financial assets</w:t>
            </w:r>
          </w:p>
        </w:tc>
        <w:tc>
          <w:tcPr>
            <w:tcW w:w="544" w:type="dxa"/>
          </w:tcPr>
          <w:p w14:paraId="7D96A6C0" w14:textId="77777777" w:rsidR="00182709" w:rsidRDefault="00182709">
            <w:pPr>
              <w:jc w:val="center"/>
            </w:pPr>
          </w:p>
        </w:tc>
        <w:tc>
          <w:tcPr>
            <w:tcW w:w="865" w:type="dxa"/>
          </w:tcPr>
          <w:p w14:paraId="1787FEC0" w14:textId="77777777" w:rsidR="00182709" w:rsidRDefault="00182709"/>
        </w:tc>
        <w:tc>
          <w:tcPr>
            <w:tcW w:w="865" w:type="dxa"/>
          </w:tcPr>
          <w:p w14:paraId="5744CDE9" w14:textId="77777777" w:rsidR="00182709" w:rsidRDefault="00182709"/>
        </w:tc>
      </w:tr>
      <w:tr w:rsidR="00182709" w14:paraId="18972818" w14:textId="77777777" w:rsidTr="007D5C79">
        <w:tc>
          <w:tcPr>
            <w:tcW w:w="1349" w:type="dxa"/>
          </w:tcPr>
          <w:p w14:paraId="582B95FB" w14:textId="77777777" w:rsidR="00182709" w:rsidRDefault="0044097C">
            <w:pPr>
              <w:jc w:val="left"/>
            </w:pPr>
            <w:r w:rsidRPr="5A2E01D0">
              <w:rPr>
                <w:color w:val="4472C4" w:themeColor="accent1"/>
                <w:sz w:val="13"/>
                <w:szCs w:val="13"/>
              </w:rPr>
              <w:t>AASB 101.54 (i)</w:t>
            </w:r>
          </w:p>
        </w:tc>
        <w:tc>
          <w:tcPr>
            <w:tcW w:w="6016" w:type="dxa"/>
          </w:tcPr>
          <w:p w14:paraId="1B25AF7A" w14:textId="77777777" w:rsidR="00182709" w:rsidRDefault="0044097C">
            <w:pPr>
              <w:jc w:val="left"/>
            </w:pPr>
            <w:r>
              <w:t>Cash and deposits</w:t>
            </w:r>
          </w:p>
        </w:tc>
        <w:tc>
          <w:tcPr>
            <w:tcW w:w="544" w:type="dxa"/>
          </w:tcPr>
          <w:p w14:paraId="0FC9A760" w14:textId="77777777" w:rsidR="00182709" w:rsidRDefault="0044097C">
            <w:pPr>
              <w:jc w:val="center"/>
            </w:pPr>
            <w:r>
              <w:t>7.3</w:t>
            </w:r>
          </w:p>
        </w:tc>
        <w:tc>
          <w:tcPr>
            <w:tcW w:w="865" w:type="dxa"/>
          </w:tcPr>
          <w:p w14:paraId="4626CF5D" w14:textId="103F292C" w:rsidR="00182709" w:rsidRDefault="00967CE0">
            <w:r>
              <w:t>71</w:t>
            </w:r>
            <w:r w:rsidR="0044097C">
              <w:t xml:space="preserve"> </w:t>
            </w:r>
            <w:r w:rsidR="00790C22">
              <w:t>803</w:t>
            </w:r>
          </w:p>
        </w:tc>
        <w:tc>
          <w:tcPr>
            <w:tcW w:w="865" w:type="dxa"/>
          </w:tcPr>
          <w:p w14:paraId="59EDF32F" w14:textId="47F6B259" w:rsidR="00182709" w:rsidRDefault="0044097C">
            <w:r>
              <w:t>6</w:t>
            </w:r>
            <w:r w:rsidR="00790C22">
              <w:t>6</w:t>
            </w:r>
            <w:r>
              <w:t xml:space="preserve"> </w:t>
            </w:r>
            <w:r w:rsidR="00790C22">
              <w:t>443</w:t>
            </w:r>
          </w:p>
        </w:tc>
      </w:tr>
      <w:tr w:rsidR="00182709" w14:paraId="30528A5E" w14:textId="77777777" w:rsidTr="007D5C79">
        <w:tc>
          <w:tcPr>
            <w:tcW w:w="1349" w:type="dxa"/>
          </w:tcPr>
          <w:p w14:paraId="79E9E846" w14:textId="33347FD1" w:rsidR="00182709" w:rsidRDefault="0044097C">
            <w:pPr>
              <w:jc w:val="left"/>
            </w:pPr>
            <w:r>
              <w:rPr>
                <w:color w:val="4472C4"/>
                <w:sz w:val="13"/>
              </w:rPr>
              <w:t>AASB 101.54 (h)</w:t>
            </w:r>
          </w:p>
        </w:tc>
        <w:tc>
          <w:tcPr>
            <w:tcW w:w="6016" w:type="dxa"/>
          </w:tcPr>
          <w:p w14:paraId="1D80B12E" w14:textId="001835D2" w:rsidR="00182709" w:rsidRDefault="0044097C">
            <w:pPr>
              <w:jc w:val="left"/>
            </w:pPr>
            <w:r>
              <w:t>Receivables</w:t>
            </w:r>
          </w:p>
        </w:tc>
        <w:tc>
          <w:tcPr>
            <w:tcW w:w="544" w:type="dxa"/>
          </w:tcPr>
          <w:p w14:paraId="6D19ECFA" w14:textId="77777777" w:rsidR="00182709" w:rsidRDefault="0044097C">
            <w:pPr>
              <w:jc w:val="center"/>
            </w:pPr>
            <w:r>
              <w:t>6.1</w:t>
            </w:r>
          </w:p>
        </w:tc>
        <w:tc>
          <w:tcPr>
            <w:tcW w:w="865" w:type="dxa"/>
          </w:tcPr>
          <w:p w14:paraId="16A526AA" w14:textId="3BD568F2" w:rsidR="00182709" w:rsidRDefault="0044097C">
            <w:r>
              <w:t>36 045</w:t>
            </w:r>
          </w:p>
        </w:tc>
        <w:tc>
          <w:tcPr>
            <w:tcW w:w="865" w:type="dxa"/>
          </w:tcPr>
          <w:p w14:paraId="58C8F457" w14:textId="0527D37A" w:rsidR="00182709" w:rsidRDefault="0044097C">
            <w:r>
              <w:t>20 52</w:t>
            </w:r>
            <w:r w:rsidR="391D99C5">
              <w:t>5</w:t>
            </w:r>
          </w:p>
        </w:tc>
      </w:tr>
      <w:tr w:rsidR="00182709" w14:paraId="68522866" w14:textId="77777777" w:rsidTr="007D5C79">
        <w:tc>
          <w:tcPr>
            <w:tcW w:w="1349" w:type="dxa"/>
          </w:tcPr>
          <w:p w14:paraId="69930D0A" w14:textId="46510246" w:rsidR="00182709" w:rsidRDefault="0044097C">
            <w:pPr>
              <w:jc w:val="left"/>
            </w:pPr>
            <w:r>
              <w:rPr>
                <w:color w:val="4472C4"/>
                <w:sz w:val="13"/>
              </w:rPr>
              <w:t>AASB 15.105</w:t>
            </w:r>
          </w:p>
        </w:tc>
        <w:tc>
          <w:tcPr>
            <w:tcW w:w="6016" w:type="dxa"/>
          </w:tcPr>
          <w:p w14:paraId="4968311E" w14:textId="6B11DB6D" w:rsidR="00182709" w:rsidRDefault="0044097C">
            <w:pPr>
              <w:jc w:val="left"/>
            </w:pPr>
            <w:r>
              <w:t>Contract assets</w:t>
            </w:r>
          </w:p>
        </w:tc>
        <w:tc>
          <w:tcPr>
            <w:tcW w:w="544" w:type="dxa"/>
          </w:tcPr>
          <w:p w14:paraId="3D3128BC" w14:textId="7281B119" w:rsidR="00182709" w:rsidRDefault="0044097C">
            <w:pPr>
              <w:jc w:val="center"/>
            </w:pPr>
            <w:r>
              <w:t>6.1</w:t>
            </w:r>
          </w:p>
        </w:tc>
        <w:tc>
          <w:tcPr>
            <w:tcW w:w="865" w:type="dxa"/>
          </w:tcPr>
          <w:p w14:paraId="21F49029" w14:textId="223087E5" w:rsidR="00182709" w:rsidRDefault="0044097C">
            <w:r>
              <w:t>20</w:t>
            </w:r>
          </w:p>
        </w:tc>
        <w:tc>
          <w:tcPr>
            <w:tcW w:w="865" w:type="dxa"/>
          </w:tcPr>
          <w:p w14:paraId="3E4B42E5" w14:textId="5ADCE1B0" w:rsidR="00182709" w:rsidRDefault="0044097C">
            <w:r>
              <w:t>20</w:t>
            </w:r>
          </w:p>
        </w:tc>
      </w:tr>
      <w:tr w:rsidR="00182709" w14:paraId="59BCECFA" w14:textId="77777777" w:rsidTr="007D5C79">
        <w:tc>
          <w:tcPr>
            <w:tcW w:w="1349" w:type="dxa"/>
          </w:tcPr>
          <w:p w14:paraId="32E4CFC2" w14:textId="5FB8D251" w:rsidR="00182709" w:rsidRDefault="0044097C">
            <w:pPr>
              <w:jc w:val="left"/>
            </w:pPr>
            <w:r>
              <w:rPr>
                <w:color w:val="4472C4"/>
                <w:sz w:val="13"/>
              </w:rPr>
              <w:t>AASB 101.54 (</w:t>
            </w:r>
            <w:r w:rsidR="00483339">
              <w:rPr>
                <w:color w:val="4472C4"/>
                <w:sz w:val="13"/>
              </w:rPr>
              <w:t>g</w:t>
            </w:r>
            <w:r>
              <w:rPr>
                <w:color w:val="4472C4"/>
                <w:sz w:val="13"/>
              </w:rPr>
              <w:t>)</w:t>
            </w:r>
          </w:p>
        </w:tc>
        <w:tc>
          <w:tcPr>
            <w:tcW w:w="6016" w:type="dxa"/>
          </w:tcPr>
          <w:p w14:paraId="0F03253D" w14:textId="4EC65022" w:rsidR="00182709" w:rsidRDefault="0044097C">
            <w:pPr>
              <w:jc w:val="left"/>
            </w:pPr>
            <w:r>
              <w:t>Financial assets classified as held for sale including disposal group assets</w:t>
            </w:r>
          </w:p>
        </w:tc>
        <w:tc>
          <w:tcPr>
            <w:tcW w:w="544" w:type="dxa"/>
          </w:tcPr>
          <w:p w14:paraId="06B84DE2" w14:textId="402304A9" w:rsidR="00182709" w:rsidRDefault="0044097C">
            <w:pPr>
              <w:jc w:val="center"/>
            </w:pPr>
            <w:r>
              <w:t>9.3.5</w:t>
            </w:r>
          </w:p>
        </w:tc>
        <w:tc>
          <w:tcPr>
            <w:tcW w:w="865" w:type="dxa"/>
          </w:tcPr>
          <w:p w14:paraId="67909DD5" w14:textId="77777777" w:rsidR="00182709" w:rsidRDefault="0044097C">
            <w:r>
              <w:t>8 572</w:t>
            </w:r>
          </w:p>
        </w:tc>
        <w:tc>
          <w:tcPr>
            <w:tcW w:w="865" w:type="dxa"/>
          </w:tcPr>
          <w:p w14:paraId="3203E034" w14:textId="77777777" w:rsidR="00182709" w:rsidRDefault="0044097C">
            <w:r>
              <w:t>11 756</w:t>
            </w:r>
          </w:p>
        </w:tc>
      </w:tr>
      <w:tr w:rsidR="00182709" w14:paraId="01DBE770" w14:textId="77777777" w:rsidTr="007D5C79">
        <w:tc>
          <w:tcPr>
            <w:tcW w:w="1349" w:type="dxa"/>
          </w:tcPr>
          <w:p w14:paraId="3FDC149A" w14:textId="77777777" w:rsidR="00182709" w:rsidRDefault="0044097C">
            <w:pPr>
              <w:jc w:val="left"/>
            </w:pPr>
            <w:r>
              <w:rPr>
                <w:color w:val="4472C4"/>
                <w:sz w:val="13"/>
              </w:rPr>
              <w:t>AASB 101.54 (d)</w:t>
            </w:r>
          </w:p>
        </w:tc>
        <w:tc>
          <w:tcPr>
            <w:tcW w:w="6016" w:type="dxa"/>
          </w:tcPr>
          <w:p w14:paraId="790F335B" w14:textId="77777777" w:rsidR="00182709" w:rsidRDefault="0044097C">
            <w:pPr>
              <w:jc w:val="left"/>
            </w:pPr>
            <w:r>
              <w:t>Investments and other financial assets</w:t>
            </w:r>
          </w:p>
        </w:tc>
        <w:tc>
          <w:tcPr>
            <w:tcW w:w="544" w:type="dxa"/>
          </w:tcPr>
          <w:p w14:paraId="57321AF9" w14:textId="77777777" w:rsidR="00182709" w:rsidRDefault="0044097C">
            <w:pPr>
              <w:jc w:val="center"/>
            </w:pPr>
            <w:r>
              <w:t>5.6</w:t>
            </w:r>
          </w:p>
        </w:tc>
        <w:tc>
          <w:tcPr>
            <w:tcW w:w="865" w:type="dxa"/>
          </w:tcPr>
          <w:p w14:paraId="3841B878" w14:textId="77777777" w:rsidR="00182709" w:rsidRDefault="0044097C">
            <w:r>
              <w:t>14 076</w:t>
            </w:r>
          </w:p>
        </w:tc>
        <w:tc>
          <w:tcPr>
            <w:tcW w:w="865" w:type="dxa"/>
          </w:tcPr>
          <w:p w14:paraId="4C4EB0A7" w14:textId="77777777" w:rsidR="00182709" w:rsidRDefault="0044097C">
            <w:r>
              <w:t>16 731</w:t>
            </w:r>
          </w:p>
        </w:tc>
      </w:tr>
      <w:tr w:rsidR="00182709" w14:paraId="60D92C37" w14:textId="77777777" w:rsidTr="007D5C79">
        <w:tc>
          <w:tcPr>
            <w:tcW w:w="1349" w:type="dxa"/>
          </w:tcPr>
          <w:p w14:paraId="6C4A7553" w14:textId="77777777" w:rsidR="00182709" w:rsidRDefault="0044097C">
            <w:pPr>
              <w:jc w:val="left"/>
            </w:pPr>
            <w:r>
              <w:rPr>
                <w:color w:val="4472C4"/>
                <w:sz w:val="13"/>
              </w:rPr>
              <w:t>AASB 101.54 (e)</w:t>
            </w:r>
          </w:p>
        </w:tc>
        <w:tc>
          <w:tcPr>
            <w:tcW w:w="6016" w:type="dxa"/>
            <w:tcBorders>
              <w:bottom w:val="single" w:sz="12" w:space="0" w:color="auto"/>
            </w:tcBorders>
          </w:tcPr>
          <w:p w14:paraId="7F83CF7C" w14:textId="77777777" w:rsidR="00182709" w:rsidRDefault="0044097C">
            <w:pPr>
              <w:jc w:val="left"/>
            </w:pPr>
            <w:r>
              <w:t>Investments accounted for using the equity method</w:t>
            </w:r>
          </w:p>
        </w:tc>
        <w:tc>
          <w:tcPr>
            <w:tcW w:w="544" w:type="dxa"/>
            <w:tcBorders>
              <w:bottom w:val="single" w:sz="12" w:space="0" w:color="auto"/>
            </w:tcBorders>
          </w:tcPr>
          <w:p w14:paraId="7EBBD32F" w14:textId="77777777" w:rsidR="00182709" w:rsidRDefault="0044097C">
            <w:pPr>
              <w:jc w:val="center"/>
            </w:pPr>
            <w:r>
              <w:t>5.5</w:t>
            </w:r>
          </w:p>
        </w:tc>
        <w:tc>
          <w:tcPr>
            <w:tcW w:w="865" w:type="dxa"/>
            <w:tcBorders>
              <w:bottom w:val="single" w:sz="12" w:space="0" w:color="auto"/>
            </w:tcBorders>
          </w:tcPr>
          <w:p w14:paraId="06A1BE1E" w14:textId="77777777" w:rsidR="00182709" w:rsidRDefault="0044097C">
            <w:r>
              <w:t>5 187</w:t>
            </w:r>
          </w:p>
        </w:tc>
        <w:tc>
          <w:tcPr>
            <w:tcW w:w="865" w:type="dxa"/>
            <w:tcBorders>
              <w:bottom w:val="single" w:sz="12" w:space="0" w:color="auto"/>
            </w:tcBorders>
          </w:tcPr>
          <w:p w14:paraId="06074B1C" w14:textId="77777777" w:rsidR="00182709" w:rsidRDefault="0044097C">
            <w:r>
              <w:t>6 112</w:t>
            </w:r>
          </w:p>
        </w:tc>
      </w:tr>
      <w:tr w:rsidR="00671D55" w14:paraId="1D465CD3" w14:textId="77777777" w:rsidTr="007D5C79">
        <w:tc>
          <w:tcPr>
            <w:tcW w:w="1349" w:type="dxa"/>
          </w:tcPr>
          <w:p w14:paraId="068218EB" w14:textId="77777777" w:rsidR="00182709" w:rsidRDefault="00182709">
            <w:pPr>
              <w:jc w:val="left"/>
            </w:pPr>
          </w:p>
        </w:tc>
        <w:tc>
          <w:tcPr>
            <w:tcW w:w="6016" w:type="dxa"/>
          </w:tcPr>
          <w:p w14:paraId="4802A82B" w14:textId="77777777" w:rsidR="00182709" w:rsidRDefault="0044097C">
            <w:pPr>
              <w:jc w:val="left"/>
            </w:pPr>
            <w:r>
              <w:rPr>
                <w:b/>
              </w:rPr>
              <w:t>Total financial assets</w:t>
            </w:r>
          </w:p>
        </w:tc>
        <w:tc>
          <w:tcPr>
            <w:tcW w:w="544" w:type="dxa"/>
          </w:tcPr>
          <w:p w14:paraId="28FA4753" w14:textId="77777777" w:rsidR="00182709" w:rsidRDefault="00182709">
            <w:pPr>
              <w:jc w:val="center"/>
            </w:pPr>
          </w:p>
        </w:tc>
        <w:tc>
          <w:tcPr>
            <w:tcW w:w="865" w:type="dxa"/>
          </w:tcPr>
          <w:p w14:paraId="248EFC7E" w14:textId="49A6FB11" w:rsidR="00182709" w:rsidRDefault="0044097C">
            <w:r>
              <w:rPr>
                <w:b/>
              </w:rPr>
              <w:t>13</w:t>
            </w:r>
            <w:r w:rsidR="00790C22">
              <w:rPr>
                <w:b/>
              </w:rPr>
              <w:t>5</w:t>
            </w:r>
            <w:r>
              <w:rPr>
                <w:b/>
              </w:rPr>
              <w:t xml:space="preserve"> </w:t>
            </w:r>
            <w:r w:rsidR="00790C22">
              <w:rPr>
                <w:b/>
              </w:rPr>
              <w:t>703</w:t>
            </w:r>
          </w:p>
        </w:tc>
        <w:tc>
          <w:tcPr>
            <w:tcW w:w="865" w:type="dxa"/>
          </w:tcPr>
          <w:p w14:paraId="1C79303D" w14:textId="18BAD18F" w:rsidR="00182709" w:rsidRDefault="0044097C">
            <w:r>
              <w:rPr>
                <w:b/>
              </w:rPr>
              <w:t>12</w:t>
            </w:r>
            <w:r w:rsidR="00790C22">
              <w:rPr>
                <w:b/>
              </w:rPr>
              <w:t>1</w:t>
            </w:r>
            <w:r>
              <w:rPr>
                <w:b/>
              </w:rPr>
              <w:t xml:space="preserve"> </w:t>
            </w:r>
            <w:r w:rsidR="00790C22">
              <w:rPr>
                <w:b/>
              </w:rPr>
              <w:t>5</w:t>
            </w:r>
            <w:r>
              <w:rPr>
                <w:b/>
              </w:rPr>
              <w:t>87</w:t>
            </w:r>
          </w:p>
        </w:tc>
      </w:tr>
      <w:tr w:rsidR="00671D55" w14:paraId="20CF662C" w14:textId="77777777" w:rsidTr="007D5C79">
        <w:tc>
          <w:tcPr>
            <w:tcW w:w="1349" w:type="dxa"/>
          </w:tcPr>
          <w:p w14:paraId="543EA241" w14:textId="77777777" w:rsidR="00182709" w:rsidRDefault="0044097C">
            <w:pPr>
              <w:jc w:val="left"/>
            </w:pPr>
            <w:r>
              <w:rPr>
                <w:color w:val="4472C4"/>
                <w:sz w:val="13"/>
              </w:rPr>
              <w:t>AASB 101.58 (a)</w:t>
            </w:r>
          </w:p>
        </w:tc>
        <w:tc>
          <w:tcPr>
            <w:tcW w:w="6016" w:type="dxa"/>
          </w:tcPr>
          <w:p w14:paraId="01E38A7C" w14:textId="77777777" w:rsidR="00182709" w:rsidRDefault="0044097C">
            <w:pPr>
              <w:jc w:val="left"/>
            </w:pPr>
            <w:r>
              <w:rPr>
                <w:b/>
              </w:rPr>
              <w:t>Non‑financial assets</w:t>
            </w:r>
          </w:p>
        </w:tc>
        <w:tc>
          <w:tcPr>
            <w:tcW w:w="544" w:type="dxa"/>
          </w:tcPr>
          <w:p w14:paraId="1144559F" w14:textId="77777777" w:rsidR="00182709" w:rsidRDefault="00182709">
            <w:pPr>
              <w:jc w:val="center"/>
            </w:pPr>
          </w:p>
        </w:tc>
        <w:tc>
          <w:tcPr>
            <w:tcW w:w="865" w:type="dxa"/>
          </w:tcPr>
          <w:p w14:paraId="05956C71" w14:textId="77777777" w:rsidR="00182709" w:rsidRDefault="00182709"/>
        </w:tc>
        <w:tc>
          <w:tcPr>
            <w:tcW w:w="865" w:type="dxa"/>
          </w:tcPr>
          <w:p w14:paraId="506DCD98" w14:textId="77777777" w:rsidR="00182709" w:rsidRDefault="00182709"/>
        </w:tc>
      </w:tr>
      <w:tr w:rsidR="00182709" w14:paraId="79486EDB" w14:textId="77777777" w:rsidTr="007D5C79">
        <w:tc>
          <w:tcPr>
            <w:tcW w:w="1349" w:type="dxa"/>
          </w:tcPr>
          <w:p w14:paraId="68F17494" w14:textId="77777777" w:rsidR="00182709" w:rsidRDefault="0044097C">
            <w:pPr>
              <w:jc w:val="left"/>
            </w:pPr>
            <w:r>
              <w:rPr>
                <w:color w:val="4472C4"/>
                <w:sz w:val="13"/>
              </w:rPr>
              <w:t>AASB 101.54 (g)</w:t>
            </w:r>
          </w:p>
        </w:tc>
        <w:tc>
          <w:tcPr>
            <w:tcW w:w="6016" w:type="dxa"/>
          </w:tcPr>
          <w:p w14:paraId="12123E6A" w14:textId="77777777" w:rsidR="00182709" w:rsidRDefault="0044097C">
            <w:pPr>
              <w:jc w:val="left"/>
            </w:pPr>
            <w:r>
              <w:t>Inventories</w:t>
            </w:r>
          </w:p>
        </w:tc>
        <w:tc>
          <w:tcPr>
            <w:tcW w:w="544" w:type="dxa"/>
          </w:tcPr>
          <w:p w14:paraId="60F12A85" w14:textId="77777777" w:rsidR="00182709" w:rsidRDefault="0044097C">
            <w:pPr>
              <w:jc w:val="center"/>
            </w:pPr>
            <w:r>
              <w:t>6.3</w:t>
            </w:r>
          </w:p>
        </w:tc>
        <w:tc>
          <w:tcPr>
            <w:tcW w:w="865" w:type="dxa"/>
          </w:tcPr>
          <w:p w14:paraId="1EF90B22" w14:textId="77777777" w:rsidR="00182709" w:rsidRDefault="0044097C">
            <w:r>
              <w:t>12 055</w:t>
            </w:r>
          </w:p>
        </w:tc>
        <w:tc>
          <w:tcPr>
            <w:tcW w:w="865" w:type="dxa"/>
          </w:tcPr>
          <w:p w14:paraId="532CD085" w14:textId="77777777" w:rsidR="00182709" w:rsidRDefault="0044097C">
            <w:r>
              <w:t>19 732</w:t>
            </w:r>
          </w:p>
        </w:tc>
      </w:tr>
      <w:tr w:rsidR="00182709" w14:paraId="2FC8BA87" w14:textId="77777777" w:rsidTr="007D5C79">
        <w:tc>
          <w:tcPr>
            <w:tcW w:w="1349" w:type="dxa"/>
          </w:tcPr>
          <w:p w14:paraId="6AD1C104" w14:textId="77777777" w:rsidR="00182709" w:rsidRDefault="0044097C">
            <w:pPr>
              <w:jc w:val="left"/>
            </w:pPr>
            <w:r>
              <w:rPr>
                <w:color w:val="4472C4"/>
                <w:sz w:val="13"/>
              </w:rPr>
              <w:t>AASB 101.54 (j)</w:t>
            </w:r>
          </w:p>
        </w:tc>
        <w:tc>
          <w:tcPr>
            <w:tcW w:w="6016" w:type="dxa"/>
          </w:tcPr>
          <w:p w14:paraId="0BE6A13B" w14:textId="77777777" w:rsidR="00182709" w:rsidRDefault="0044097C">
            <w:pPr>
              <w:jc w:val="left"/>
            </w:pPr>
            <w:r>
              <w:t>Non‑financial physical assets classified as held for sale including disposal group assets</w:t>
            </w:r>
          </w:p>
        </w:tc>
        <w:tc>
          <w:tcPr>
            <w:tcW w:w="544" w:type="dxa"/>
          </w:tcPr>
          <w:p w14:paraId="29C401C4" w14:textId="77777777" w:rsidR="00182709" w:rsidRDefault="0044097C">
            <w:pPr>
              <w:jc w:val="center"/>
            </w:pPr>
            <w:r>
              <w:t>9.3.6</w:t>
            </w:r>
          </w:p>
        </w:tc>
        <w:tc>
          <w:tcPr>
            <w:tcW w:w="865" w:type="dxa"/>
          </w:tcPr>
          <w:p w14:paraId="5F8491EB" w14:textId="77777777" w:rsidR="00182709" w:rsidRDefault="0044097C">
            <w:r>
              <w:t>6 781</w:t>
            </w:r>
          </w:p>
        </w:tc>
        <w:tc>
          <w:tcPr>
            <w:tcW w:w="865" w:type="dxa"/>
          </w:tcPr>
          <w:p w14:paraId="7BDEDCC7" w14:textId="77777777" w:rsidR="00182709" w:rsidRDefault="0044097C">
            <w:r>
              <w:t>14 600</w:t>
            </w:r>
          </w:p>
        </w:tc>
      </w:tr>
      <w:tr w:rsidR="00182709" w14:paraId="32B09047" w14:textId="77777777" w:rsidTr="007D5C79">
        <w:tc>
          <w:tcPr>
            <w:tcW w:w="1349" w:type="dxa"/>
          </w:tcPr>
          <w:p w14:paraId="42A886D0" w14:textId="77777777" w:rsidR="00182709" w:rsidRDefault="0044097C">
            <w:pPr>
              <w:jc w:val="left"/>
            </w:pPr>
            <w:r>
              <w:rPr>
                <w:color w:val="4472C4"/>
                <w:sz w:val="13"/>
              </w:rPr>
              <w:t>AASB 101.54 (a)</w:t>
            </w:r>
          </w:p>
        </w:tc>
        <w:tc>
          <w:tcPr>
            <w:tcW w:w="6016" w:type="dxa"/>
          </w:tcPr>
          <w:p w14:paraId="5648B520" w14:textId="77777777" w:rsidR="00182709" w:rsidRDefault="0044097C">
            <w:pPr>
              <w:jc w:val="left"/>
            </w:pPr>
            <w:r>
              <w:t>Property, plant and equipment</w:t>
            </w:r>
          </w:p>
        </w:tc>
        <w:tc>
          <w:tcPr>
            <w:tcW w:w="544" w:type="dxa"/>
          </w:tcPr>
          <w:p w14:paraId="3E59651E" w14:textId="77777777" w:rsidR="00182709" w:rsidRDefault="0044097C">
            <w:pPr>
              <w:jc w:val="center"/>
            </w:pPr>
            <w:r>
              <w:t>5.1</w:t>
            </w:r>
          </w:p>
        </w:tc>
        <w:tc>
          <w:tcPr>
            <w:tcW w:w="865" w:type="dxa"/>
          </w:tcPr>
          <w:p w14:paraId="0688F73C" w14:textId="77777777" w:rsidR="00182709" w:rsidRDefault="0044097C">
            <w:r>
              <w:t>144 314</w:t>
            </w:r>
          </w:p>
        </w:tc>
        <w:tc>
          <w:tcPr>
            <w:tcW w:w="865" w:type="dxa"/>
          </w:tcPr>
          <w:p w14:paraId="4F816946" w14:textId="77777777" w:rsidR="00182709" w:rsidRDefault="0044097C">
            <w:r>
              <w:t>135 607</w:t>
            </w:r>
          </w:p>
        </w:tc>
      </w:tr>
      <w:tr w:rsidR="00182709" w14:paraId="71F71C85" w14:textId="77777777" w:rsidTr="007D5C79">
        <w:tc>
          <w:tcPr>
            <w:tcW w:w="1349" w:type="dxa"/>
          </w:tcPr>
          <w:p w14:paraId="3A9BB235" w14:textId="77777777" w:rsidR="00182709" w:rsidRDefault="0044097C">
            <w:pPr>
              <w:jc w:val="left"/>
            </w:pPr>
            <w:r>
              <w:rPr>
                <w:color w:val="4472C4"/>
                <w:sz w:val="13"/>
              </w:rPr>
              <w:t>AASB 101.54 (f)</w:t>
            </w:r>
          </w:p>
        </w:tc>
        <w:tc>
          <w:tcPr>
            <w:tcW w:w="6016" w:type="dxa"/>
          </w:tcPr>
          <w:p w14:paraId="021080DC" w14:textId="77777777" w:rsidR="00182709" w:rsidRDefault="0044097C">
            <w:pPr>
              <w:jc w:val="left"/>
            </w:pPr>
            <w:r>
              <w:t>Biological assets</w:t>
            </w:r>
          </w:p>
        </w:tc>
        <w:tc>
          <w:tcPr>
            <w:tcW w:w="544" w:type="dxa"/>
          </w:tcPr>
          <w:p w14:paraId="4E2C3716" w14:textId="77777777" w:rsidR="00182709" w:rsidRDefault="0044097C">
            <w:pPr>
              <w:jc w:val="center"/>
            </w:pPr>
            <w:r>
              <w:t>5.3</w:t>
            </w:r>
          </w:p>
        </w:tc>
        <w:tc>
          <w:tcPr>
            <w:tcW w:w="865" w:type="dxa"/>
          </w:tcPr>
          <w:p w14:paraId="114A258F" w14:textId="77777777" w:rsidR="00182709" w:rsidRDefault="0044097C">
            <w:r>
              <w:t>4 034</w:t>
            </w:r>
          </w:p>
        </w:tc>
        <w:tc>
          <w:tcPr>
            <w:tcW w:w="865" w:type="dxa"/>
          </w:tcPr>
          <w:p w14:paraId="648F8BE7" w14:textId="77777777" w:rsidR="00182709" w:rsidRDefault="0044097C">
            <w:r>
              <w:t>..</w:t>
            </w:r>
          </w:p>
        </w:tc>
      </w:tr>
      <w:tr w:rsidR="00182709" w14:paraId="1E579DA6" w14:textId="77777777" w:rsidTr="007D5C79">
        <w:tc>
          <w:tcPr>
            <w:tcW w:w="1349" w:type="dxa"/>
          </w:tcPr>
          <w:p w14:paraId="300E00F8" w14:textId="77777777" w:rsidR="00182709" w:rsidRDefault="0044097C">
            <w:pPr>
              <w:jc w:val="left"/>
            </w:pPr>
            <w:r>
              <w:rPr>
                <w:color w:val="4472C4"/>
                <w:sz w:val="13"/>
              </w:rPr>
              <w:t>AASB 101.54 (b)</w:t>
            </w:r>
          </w:p>
        </w:tc>
        <w:tc>
          <w:tcPr>
            <w:tcW w:w="6016" w:type="dxa"/>
          </w:tcPr>
          <w:p w14:paraId="2447FE3E" w14:textId="77777777" w:rsidR="00182709" w:rsidRDefault="0044097C">
            <w:pPr>
              <w:jc w:val="left"/>
            </w:pPr>
            <w:r>
              <w:t>Investment properties</w:t>
            </w:r>
          </w:p>
        </w:tc>
        <w:tc>
          <w:tcPr>
            <w:tcW w:w="544" w:type="dxa"/>
          </w:tcPr>
          <w:p w14:paraId="78F14352" w14:textId="77777777" w:rsidR="00182709" w:rsidRDefault="0044097C">
            <w:pPr>
              <w:jc w:val="center"/>
            </w:pPr>
            <w:r>
              <w:t>5.2</w:t>
            </w:r>
          </w:p>
        </w:tc>
        <w:tc>
          <w:tcPr>
            <w:tcW w:w="865" w:type="dxa"/>
          </w:tcPr>
          <w:p w14:paraId="5AB0A6D6" w14:textId="77777777" w:rsidR="00182709" w:rsidRDefault="0044097C">
            <w:r>
              <w:t>2 354</w:t>
            </w:r>
          </w:p>
        </w:tc>
        <w:tc>
          <w:tcPr>
            <w:tcW w:w="865" w:type="dxa"/>
          </w:tcPr>
          <w:p w14:paraId="45FD37EF" w14:textId="77777777" w:rsidR="00182709" w:rsidRDefault="0044097C">
            <w:r>
              <w:t>5 029</w:t>
            </w:r>
          </w:p>
        </w:tc>
      </w:tr>
      <w:tr w:rsidR="00182709" w14:paraId="70A20551" w14:textId="77777777" w:rsidTr="007D5C79">
        <w:tc>
          <w:tcPr>
            <w:tcW w:w="1349" w:type="dxa"/>
          </w:tcPr>
          <w:p w14:paraId="2247AA45" w14:textId="77777777" w:rsidR="00182709" w:rsidRDefault="0044097C">
            <w:pPr>
              <w:jc w:val="left"/>
            </w:pPr>
            <w:r>
              <w:rPr>
                <w:color w:val="4472C4"/>
                <w:sz w:val="13"/>
              </w:rPr>
              <w:t>AASB 101.54 (c)</w:t>
            </w:r>
          </w:p>
        </w:tc>
        <w:tc>
          <w:tcPr>
            <w:tcW w:w="6016" w:type="dxa"/>
          </w:tcPr>
          <w:p w14:paraId="325BDF0D" w14:textId="77777777" w:rsidR="00182709" w:rsidRDefault="0044097C">
            <w:pPr>
              <w:jc w:val="left"/>
            </w:pPr>
            <w:r>
              <w:t>Intangible assets</w:t>
            </w:r>
          </w:p>
        </w:tc>
        <w:tc>
          <w:tcPr>
            <w:tcW w:w="544" w:type="dxa"/>
          </w:tcPr>
          <w:p w14:paraId="0988C23A" w14:textId="77777777" w:rsidR="00182709" w:rsidRDefault="0044097C">
            <w:pPr>
              <w:jc w:val="center"/>
            </w:pPr>
            <w:r>
              <w:t>5.4</w:t>
            </w:r>
          </w:p>
        </w:tc>
        <w:tc>
          <w:tcPr>
            <w:tcW w:w="865" w:type="dxa"/>
          </w:tcPr>
          <w:p w14:paraId="5E8FF001" w14:textId="77777777" w:rsidR="00182709" w:rsidRDefault="0044097C">
            <w:r>
              <w:t>7 974</w:t>
            </w:r>
          </w:p>
        </w:tc>
        <w:tc>
          <w:tcPr>
            <w:tcW w:w="865" w:type="dxa"/>
          </w:tcPr>
          <w:p w14:paraId="52F73466" w14:textId="77777777" w:rsidR="00182709" w:rsidRDefault="0044097C">
            <w:r>
              <w:t>9 447</w:t>
            </w:r>
          </w:p>
        </w:tc>
      </w:tr>
      <w:tr w:rsidR="00182709" w14:paraId="5025D8E2" w14:textId="77777777" w:rsidTr="007D5C79">
        <w:tc>
          <w:tcPr>
            <w:tcW w:w="1349" w:type="dxa"/>
          </w:tcPr>
          <w:p w14:paraId="12B2F395" w14:textId="77777777" w:rsidR="00182709" w:rsidRDefault="00182709">
            <w:pPr>
              <w:jc w:val="left"/>
            </w:pPr>
          </w:p>
        </w:tc>
        <w:tc>
          <w:tcPr>
            <w:tcW w:w="6016" w:type="dxa"/>
            <w:tcBorders>
              <w:bottom w:val="single" w:sz="12" w:space="0" w:color="auto"/>
            </w:tcBorders>
          </w:tcPr>
          <w:p w14:paraId="7637580B" w14:textId="77777777" w:rsidR="00182709" w:rsidRDefault="0044097C">
            <w:pPr>
              <w:jc w:val="left"/>
            </w:pPr>
            <w:r>
              <w:t>Other non‑financial assets</w:t>
            </w:r>
          </w:p>
        </w:tc>
        <w:tc>
          <w:tcPr>
            <w:tcW w:w="544" w:type="dxa"/>
            <w:tcBorders>
              <w:bottom w:val="single" w:sz="12" w:space="0" w:color="auto"/>
            </w:tcBorders>
          </w:tcPr>
          <w:p w14:paraId="443991AF" w14:textId="77777777" w:rsidR="00182709" w:rsidRDefault="0044097C">
            <w:pPr>
              <w:jc w:val="center"/>
            </w:pPr>
            <w:r>
              <w:t>6.4</w:t>
            </w:r>
          </w:p>
        </w:tc>
        <w:tc>
          <w:tcPr>
            <w:tcW w:w="865" w:type="dxa"/>
            <w:tcBorders>
              <w:bottom w:val="single" w:sz="12" w:space="0" w:color="auto"/>
            </w:tcBorders>
          </w:tcPr>
          <w:p w14:paraId="6F96D1CB" w14:textId="77777777" w:rsidR="00182709" w:rsidRDefault="0044097C">
            <w:r>
              <w:t>1 483</w:t>
            </w:r>
          </w:p>
        </w:tc>
        <w:tc>
          <w:tcPr>
            <w:tcW w:w="865" w:type="dxa"/>
            <w:tcBorders>
              <w:bottom w:val="single" w:sz="12" w:space="0" w:color="auto"/>
            </w:tcBorders>
          </w:tcPr>
          <w:p w14:paraId="07FB562E" w14:textId="77777777" w:rsidR="00182709" w:rsidRDefault="0044097C">
            <w:r>
              <w:t>380</w:t>
            </w:r>
          </w:p>
        </w:tc>
      </w:tr>
      <w:tr w:rsidR="00671D55" w14:paraId="49E92FB8" w14:textId="77777777" w:rsidTr="007D5C79">
        <w:tc>
          <w:tcPr>
            <w:tcW w:w="1349" w:type="dxa"/>
          </w:tcPr>
          <w:p w14:paraId="56FE3C74" w14:textId="77777777" w:rsidR="00182709" w:rsidRDefault="00182709">
            <w:pPr>
              <w:jc w:val="left"/>
            </w:pPr>
          </w:p>
        </w:tc>
        <w:tc>
          <w:tcPr>
            <w:tcW w:w="6016" w:type="dxa"/>
          </w:tcPr>
          <w:p w14:paraId="72620C9F" w14:textId="77777777" w:rsidR="00182709" w:rsidRDefault="0044097C">
            <w:pPr>
              <w:jc w:val="left"/>
            </w:pPr>
            <w:r>
              <w:rPr>
                <w:b/>
              </w:rPr>
              <w:t>Total non‑financial assets</w:t>
            </w:r>
          </w:p>
        </w:tc>
        <w:tc>
          <w:tcPr>
            <w:tcW w:w="544" w:type="dxa"/>
          </w:tcPr>
          <w:p w14:paraId="368B31D7" w14:textId="77777777" w:rsidR="00182709" w:rsidRDefault="00182709">
            <w:pPr>
              <w:jc w:val="center"/>
            </w:pPr>
          </w:p>
        </w:tc>
        <w:tc>
          <w:tcPr>
            <w:tcW w:w="865" w:type="dxa"/>
          </w:tcPr>
          <w:p w14:paraId="1503C52C" w14:textId="77777777" w:rsidR="00182709" w:rsidRDefault="0044097C">
            <w:r>
              <w:rPr>
                <w:b/>
              </w:rPr>
              <w:t>178 995</w:t>
            </w:r>
          </w:p>
        </w:tc>
        <w:tc>
          <w:tcPr>
            <w:tcW w:w="865" w:type="dxa"/>
          </w:tcPr>
          <w:p w14:paraId="4CAFE813" w14:textId="77777777" w:rsidR="00182709" w:rsidRDefault="0044097C">
            <w:r>
              <w:rPr>
                <w:b/>
              </w:rPr>
              <w:t>184 795</w:t>
            </w:r>
          </w:p>
        </w:tc>
      </w:tr>
      <w:tr w:rsidR="00671D55" w14:paraId="3A8A4408" w14:textId="77777777" w:rsidTr="007D5C79">
        <w:tc>
          <w:tcPr>
            <w:tcW w:w="1349" w:type="dxa"/>
          </w:tcPr>
          <w:p w14:paraId="7057E093" w14:textId="77777777" w:rsidR="00182709" w:rsidRDefault="00182709">
            <w:pPr>
              <w:jc w:val="left"/>
            </w:pPr>
          </w:p>
        </w:tc>
        <w:tc>
          <w:tcPr>
            <w:tcW w:w="6016" w:type="dxa"/>
          </w:tcPr>
          <w:p w14:paraId="764F4955" w14:textId="77777777" w:rsidR="00182709" w:rsidRDefault="0044097C">
            <w:pPr>
              <w:jc w:val="left"/>
            </w:pPr>
            <w:r>
              <w:rPr>
                <w:b/>
              </w:rPr>
              <w:t>Total assets</w:t>
            </w:r>
          </w:p>
        </w:tc>
        <w:tc>
          <w:tcPr>
            <w:tcW w:w="544" w:type="dxa"/>
          </w:tcPr>
          <w:p w14:paraId="5ABD2B4D" w14:textId="77777777" w:rsidR="00182709" w:rsidRDefault="00182709">
            <w:pPr>
              <w:jc w:val="center"/>
            </w:pPr>
          </w:p>
        </w:tc>
        <w:tc>
          <w:tcPr>
            <w:tcW w:w="865" w:type="dxa"/>
          </w:tcPr>
          <w:p w14:paraId="263318B1" w14:textId="50441C29" w:rsidR="00182709" w:rsidRDefault="0044097C">
            <w:r>
              <w:rPr>
                <w:b/>
              </w:rPr>
              <w:t>31</w:t>
            </w:r>
            <w:r w:rsidR="00790C22">
              <w:rPr>
                <w:b/>
              </w:rPr>
              <w:t>4</w:t>
            </w:r>
            <w:r>
              <w:rPr>
                <w:b/>
              </w:rPr>
              <w:t xml:space="preserve"> </w:t>
            </w:r>
            <w:r w:rsidR="00790C22">
              <w:rPr>
                <w:b/>
              </w:rPr>
              <w:t>69</w:t>
            </w:r>
            <w:r w:rsidR="00967CE0">
              <w:rPr>
                <w:b/>
              </w:rPr>
              <w:t>8</w:t>
            </w:r>
          </w:p>
        </w:tc>
        <w:tc>
          <w:tcPr>
            <w:tcW w:w="865" w:type="dxa"/>
          </w:tcPr>
          <w:p w14:paraId="11471179" w14:textId="77B7DFA2" w:rsidR="00182709" w:rsidRDefault="0044097C">
            <w:r>
              <w:rPr>
                <w:b/>
              </w:rPr>
              <w:t>30</w:t>
            </w:r>
            <w:r w:rsidR="00790C22">
              <w:rPr>
                <w:b/>
              </w:rPr>
              <w:t>6</w:t>
            </w:r>
            <w:r>
              <w:rPr>
                <w:b/>
              </w:rPr>
              <w:t xml:space="preserve"> </w:t>
            </w:r>
            <w:r w:rsidR="00790C22">
              <w:rPr>
                <w:b/>
              </w:rPr>
              <w:t>382</w:t>
            </w:r>
          </w:p>
        </w:tc>
      </w:tr>
      <w:tr w:rsidR="00671D55" w14:paraId="48F23209" w14:textId="77777777" w:rsidTr="007D5C79">
        <w:tc>
          <w:tcPr>
            <w:tcW w:w="1349" w:type="dxa"/>
          </w:tcPr>
          <w:p w14:paraId="43DA44DF" w14:textId="74A54B0B" w:rsidR="00182709" w:rsidRDefault="0044097C">
            <w:pPr>
              <w:jc w:val="left"/>
            </w:pPr>
            <w:r>
              <w:rPr>
                <w:color w:val="4472C4"/>
                <w:sz w:val="13"/>
              </w:rPr>
              <w:t>AASB 101.58 (</w:t>
            </w:r>
            <w:r w:rsidR="002E245E">
              <w:rPr>
                <w:color w:val="4472C4"/>
                <w:sz w:val="13"/>
              </w:rPr>
              <w:t>c</w:t>
            </w:r>
            <w:r>
              <w:rPr>
                <w:color w:val="4472C4"/>
                <w:sz w:val="13"/>
              </w:rPr>
              <w:t>)</w:t>
            </w:r>
          </w:p>
        </w:tc>
        <w:tc>
          <w:tcPr>
            <w:tcW w:w="6016" w:type="dxa"/>
          </w:tcPr>
          <w:p w14:paraId="2790F242" w14:textId="77777777" w:rsidR="00182709" w:rsidRDefault="0044097C">
            <w:pPr>
              <w:jc w:val="left"/>
            </w:pPr>
            <w:r>
              <w:rPr>
                <w:b/>
              </w:rPr>
              <w:t>Liabilities</w:t>
            </w:r>
          </w:p>
        </w:tc>
        <w:tc>
          <w:tcPr>
            <w:tcW w:w="544" w:type="dxa"/>
          </w:tcPr>
          <w:p w14:paraId="7EAAA03F" w14:textId="77777777" w:rsidR="00182709" w:rsidRDefault="00182709">
            <w:pPr>
              <w:jc w:val="center"/>
            </w:pPr>
          </w:p>
        </w:tc>
        <w:tc>
          <w:tcPr>
            <w:tcW w:w="865" w:type="dxa"/>
          </w:tcPr>
          <w:p w14:paraId="72D27BA8" w14:textId="77777777" w:rsidR="00182709" w:rsidRDefault="00182709"/>
        </w:tc>
        <w:tc>
          <w:tcPr>
            <w:tcW w:w="865" w:type="dxa"/>
          </w:tcPr>
          <w:p w14:paraId="0FDED618" w14:textId="77777777" w:rsidR="00182709" w:rsidRDefault="00182709"/>
        </w:tc>
      </w:tr>
      <w:tr w:rsidR="00182709" w14:paraId="08D0D909" w14:textId="77777777" w:rsidTr="007D5C79">
        <w:tc>
          <w:tcPr>
            <w:tcW w:w="1349" w:type="dxa"/>
          </w:tcPr>
          <w:p w14:paraId="7EA0B8D1" w14:textId="77777777" w:rsidR="00182709" w:rsidRDefault="0044097C">
            <w:pPr>
              <w:jc w:val="left"/>
            </w:pPr>
            <w:r>
              <w:rPr>
                <w:color w:val="4472C4"/>
                <w:sz w:val="13"/>
              </w:rPr>
              <w:t>AASB 101.54 (k)</w:t>
            </w:r>
          </w:p>
        </w:tc>
        <w:tc>
          <w:tcPr>
            <w:tcW w:w="6016" w:type="dxa"/>
          </w:tcPr>
          <w:p w14:paraId="76DF2208" w14:textId="52B42C94" w:rsidR="00182709" w:rsidRDefault="0044097C">
            <w:pPr>
              <w:jc w:val="left"/>
            </w:pPr>
            <w:r>
              <w:t>Payables</w:t>
            </w:r>
            <w:r w:rsidR="001965C7">
              <w:t xml:space="preserve"> </w:t>
            </w:r>
            <w:r w:rsidR="001965C7">
              <w:rPr>
                <w:vertAlign w:val="superscript"/>
              </w:rPr>
              <w:t>(b)</w:t>
            </w:r>
          </w:p>
        </w:tc>
        <w:tc>
          <w:tcPr>
            <w:tcW w:w="544" w:type="dxa"/>
          </w:tcPr>
          <w:p w14:paraId="692993B3" w14:textId="77777777" w:rsidR="00182709" w:rsidRDefault="0044097C">
            <w:pPr>
              <w:jc w:val="center"/>
            </w:pPr>
            <w:r>
              <w:t>6.2</w:t>
            </w:r>
          </w:p>
        </w:tc>
        <w:tc>
          <w:tcPr>
            <w:tcW w:w="865" w:type="dxa"/>
          </w:tcPr>
          <w:p w14:paraId="7B143189" w14:textId="4C092700" w:rsidR="00182709" w:rsidRDefault="0024328F">
            <w:r>
              <w:t>17</w:t>
            </w:r>
            <w:r w:rsidR="0044097C">
              <w:t xml:space="preserve"> </w:t>
            </w:r>
            <w:r>
              <w:t>659</w:t>
            </w:r>
          </w:p>
        </w:tc>
        <w:tc>
          <w:tcPr>
            <w:tcW w:w="865" w:type="dxa"/>
          </w:tcPr>
          <w:p w14:paraId="50BD4A1B" w14:textId="5C24DDED" w:rsidR="00182709" w:rsidRDefault="0024328F">
            <w:r>
              <w:t>16</w:t>
            </w:r>
            <w:r w:rsidR="0044097C">
              <w:t xml:space="preserve"> </w:t>
            </w:r>
            <w:r>
              <w:t>674</w:t>
            </w:r>
          </w:p>
        </w:tc>
      </w:tr>
      <w:tr w:rsidR="00182709" w14:paraId="367C6B2A" w14:textId="77777777" w:rsidTr="007D5C79">
        <w:tc>
          <w:tcPr>
            <w:tcW w:w="1349" w:type="dxa"/>
          </w:tcPr>
          <w:p w14:paraId="4F22DEF9" w14:textId="4511730D" w:rsidR="00182709" w:rsidRDefault="0044097C">
            <w:pPr>
              <w:jc w:val="left"/>
            </w:pPr>
            <w:r>
              <w:rPr>
                <w:color w:val="4472C4"/>
                <w:sz w:val="13"/>
              </w:rPr>
              <w:t>AASB 15.105</w:t>
            </w:r>
          </w:p>
        </w:tc>
        <w:tc>
          <w:tcPr>
            <w:tcW w:w="6016" w:type="dxa"/>
          </w:tcPr>
          <w:p w14:paraId="07D0D2D9" w14:textId="08AD2C49" w:rsidR="00182709" w:rsidRDefault="0044097C">
            <w:pPr>
              <w:jc w:val="left"/>
            </w:pPr>
            <w:r>
              <w:t>Contract liabilities</w:t>
            </w:r>
          </w:p>
        </w:tc>
        <w:tc>
          <w:tcPr>
            <w:tcW w:w="544" w:type="dxa"/>
          </w:tcPr>
          <w:p w14:paraId="713580E2" w14:textId="7257CC57" w:rsidR="00182709" w:rsidRDefault="0044097C">
            <w:pPr>
              <w:jc w:val="center"/>
            </w:pPr>
            <w:r>
              <w:t>6.2</w:t>
            </w:r>
          </w:p>
        </w:tc>
        <w:tc>
          <w:tcPr>
            <w:tcW w:w="865" w:type="dxa"/>
          </w:tcPr>
          <w:p w14:paraId="2C9E44D4" w14:textId="1CA7D1C7" w:rsidR="00182709" w:rsidRDefault="0044097C">
            <w:r>
              <w:t>85</w:t>
            </w:r>
          </w:p>
        </w:tc>
        <w:tc>
          <w:tcPr>
            <w:tcW w:w="865" w:type="dxa"/>
          </w:tcPr>
          <w:p w14:paraId="4EC3540E" w14:textId="1F564B20" w:rsidR="00182709" w:rsidRDefault="0044097C">
            <w:r>
              <w:t>85</w:t>
            </w:r>
          </w:p>
        </w:tc>
      </w:tr>
      <w:tr w:rsidR="00182709" w14:paraId="48025D24" w14:textId="77777777" w:rsidTr="007D5C79">
        <w:tc>
          <w:tcPr>
            <w:tcW w:w="1349" w:type="dxa"/>
          </w:tcPr>
          <w:p w14:paraId="5E27E812" w14:textId="77777777" w:rsidR="00182709" w:rsidRDefault="0044097C">
            <w:pPr>
              <w:jc w:val="left"/>
            </w:pPr>
            <w:r>
              <w:rPr>
                <w:color w:val="4472C4"/>
                <w:sz w:val="13"/>
              </w:rPr>
              <w:t>AASB 101.54 (m)</w:t>
            </w:r>
          </w:p>
        </w:tc>
        <w:tc>
          <w:tcPr>
            <w:tcW w:w="6016" w:type="dxa"/>
          </w:tcPr>
          <w:p w14:paraId="3BFEF51F" w14:textId="77777777" w:rsidR="00182709" w:rsidRDefault="0044097C">
            <w:pPr>
              <w:jc w:val="left"/>
            </w:pPr>
            <w:r>
              <w:t>Borrowings</w:t>
            </w:r>
          </w:p>
        </w:tc>
        <w:tc>
          <w:tcPr>
            <w:tcW w:w="544" w:type="dxa"/>
          </w:tcPr>
          <w:p w14:paraId="3F0E8665" w14:textId="77777777" w:rsidR="00182709" w:rsidRDefault="0044097C">
            <w:pPr>
              <w:jc w:val="center"/>
            </w:pPr>
            <w:r>
              <w:t>7.1</w:t>
            </w:r>
          </w:p>
        </w:tc>
        <w:tc>
          <w:tcPr>
            <w:tcW w:w="865" w:type="dxa"/>
          </w:tcPr>
          <w:p w14:paraId="2B46AC41" w14:textId="77777777" w:rsidR="00182709" w:rsidRDefault="0044097C">
            <w:r>
              <w:t>125 665</w:t>
            </w:r>
          </w:p>
        </w:tc>
        <w:tc>
          <w:tcPr>
            <w:tcW w:w="865" w:type="dxa"/>
          </w:tcPr>
          <w:p w14:paraId="514B121A" w14:textId="77777777" w:rsidR="00182709" w:rsidRDefault="0044097C">
            <w:r>
              <w:t>125 248</w:t>
            </w:r>
          </w:p>
        </w:tc>
      </w:tr>
      <w:tr w:rsidR="00182709" w14:paraId="36FF694E" w14:textId="77777777" w:rsidTr="007D5C79">
        <w:tc>
          <w:tcPr>
            <w:tcW w:w="1349" w:type="dxa"/>
          </w:tcPr>
          <w:p w14:paraId="1DBC04EC" w14:textId="77777777" w:rsidR="00182709" w:rsidRDefault="00182709">
            <w:pPr>
              <w:jc w:val="left"/>
            </w:pPr>
          </w:p>
        </w:tc>
        <w:tc>
          <w:tcPr>
            <w:tcW w:w="6016" w:type="dxa"/>
          </w:tcPr>
          <w:p w14:paraId="51159937" w14:textId="77777777" w:rsidR="00182709" w:rsidRDefault="0044097C">
            <w:pPr>
              <w:jc w:val="left"/>
            </w:pPr>
            <w:r>
              <w:t>Employee related provisions</w:t>
            </w:r>
          </w:p>
        </w:tc>
        <w:tc>
          <w:tcPr>
            <w:tcW w:w="544" w:type="dxa"/>
          </w:tcPr>
          <w:p w14:paraId="44A3B7C2" w14:textId="77777777" w:rsidR="00182709" w:rsidRDefault="0044097C">
            <w:pPr>
              <w:jc w:val="center"/>
            </w:pPr>
            <w:r>
              <w:t>3.1.2</w:t>
            </w:r>
          </w:p>
        </w:tc>
        <w:tc>
          <w:tcPr>
            <w:tcW w:w="865" w:type="dxa"/>
          </w:tcPr>
          <w:p w14:paraId="57CD7314" w14:textId="77777777" w:rsidR="00182709" w:rsidRDefault="0044097C">
            <w:r>
              <w:t>10 754</w:t>
            </w:r>
          </w:p>
        </w:tc>
        <w:tc>
          <w:tcPr>
            <w:tcW w:w="865" w:type="dxa"/>
          </w:tcPr>
          <w:p w14:paraId="7FC4ABCA" w14:textId="77777777" w:rsidR="00182709" w:rsidRDefault="0044097C">
            <w:r>
              <w:t>17 073</w:t>
            </w:r>
          </w:p>
        </w:tc>
      </w:tr>
      <w:tr w:rsidR="00182709" w14:paraId="37EC2AD8" w14:textId="77777777" w:rsidTr="007D5C79">
        <w:tc>
          <w:tcPr>
            <w:tcW w:w="1349" w:type="dxa"/>
          </w:tcPr>
          <w:p w14:paraId="7F77B82A" w14:textId="77777777" w:rsidR="00182709" w:rsidRDefault="0044097C">
            <w:pPr>
              <w:jc w:val="left"/>
            </w:pPr>
            <w:r>
              <w:rPr>
                <w:color w:val="4472C4"/>
                <w:sz w:val="13"/>
              </w:rPr>
              <w:t>AASB 101.54 (l)</w:t>
            </w:r>
          </w:p>
        </w:tc>
        <w:tc>
          <w:tcPr>
            <w:tcW w:w="6016" w:type="dxa"/>
          </w:tcPr>
          <w:p w14:paraId="2EE11380" w14:textId="77777777" w:rsidR="00182709" w:rsidRDefault="0044097C">
            <w:pPr>
              <w:jc w:val="left"/>
            </w:pPr>
            <w:r>
              <w:t>Other provisions</w:t>
            </w:r>
          </w:p>
        </w:tc>
        <w:tc>
          <w:tcPr>
            <w:tcW w:w="544" w:type="dxa"/>
          </w:tcPr>
          <w:p w14:paraId="0BB5F33D" w14:textId="77777777" w:rsidR="00182709" w:rsidRDefault="0044097C">
            <w:pPr>
              <w:jc w:val="center"/>
            </w:pPr>
            <w:r>
              <w:t>6.5</w:t>
            </w:r>
          </w:p>
        </w:tc>
        <w:tc>
          <w:tcPr>
            <w:tcW w:w="865" w:type="dxa"/>
          </w:tcPr>
          <w:p w14:paraId="5E41278D" w14:textId="77777777" w:rsidR="00182709" w:rsidRDefault="0044097C">
            <w:r>
              <w:t>2 152</w:t>
            </w:r>
          </w:p>
        </w:tc>
        <w:tc>
          <w:tcPr>
            <w:tcW w:w="865" w:type="dxa"/>
          </w:tcPr>
          <w:p w14:paraId="04973580" w14:textId="77777777" w:rsidR="00182709" w:rsidRDefault="0044097C">
            <w:r>
              <w:t>3 938</w:t>
            </w:r>
          </w:p>
        </w:tc>
      </w:tr>
      <w:tr w:rsidR="00182709" w14:paraId="644B0348" w14:textId="77777777" w:rsidTr="007D5C79">
        <w:tc>
          <w:tcPr>
            <w:tcW w:w="1349" w:type="dxa"/>
          </w:tcPr>
          <w:p w14:paraId="7A3474E9" w14:textId="7A6B99B5" w:rsidR="00182709" w:rsidRDefault="0015012B">
            <w:pPr>
              <w:jc w:val="left"/>
            </w:pPr>
            <w:r>
              <w:rPr>
                <w:color w:val="4472C4"/>
                <w:sz w:val="13"/>
              </w:rPr>
              <w:t>AASB 15.105</w:t>
            </w:r>
          </w:p>
        </w:tc>
        <w:tc>
          <w:tcPr>
            <w:tcW w:w="6016" w:type="dxa"/>
          </w:tcPr>
          <w:p w14:paraId="497603AF" w14:textId="4DD2189A" w:rsidR="00182709" w:rsidRPr="007D5C79" w:rsidRDefault="0044097C">
            <w:pPr>
              <w:jc w:val="left"/>
              <w:rPr>
                <w:vertAlign w:val="superscript"/>
              </w:rPr>
            </w:pPr>
            <w:r>
              <w:t>Other liabilities</w:t>
            </w:r>
            <w:r w:rsidR="00FD7E00">
              <w:t xml:space="preserve"> </w:t>
            </w:r>
            <w:r w:rsidR="00FD7E00">
              <w:rPr>
                <w:vertAlign w:val="superscript"/>
              </w:rPr>
              <w:t>(b)</w:t>
            </w:r>
            <w:r w:rsidR="0073168A">
              <w:rPr>
                <w:vertAlign w:val="superscript"/>
              </w:rPr>
              <w:t xml:space="preserve"> </w:t>
            </w:r>
          </w:p>
        </w:tc>
        <w:tc>
          <w:tcPr>
            <w:tcW w:w="544" w:type="dxa"/>
          </w:tcPr>
          <w:p w14:paraId="4F781FEC" w14:textId="4AC4DD3C" w:rsidR="00182709" w:rsidRDefault="00105432">
            <w:pPr>
              <w:jc w:val="center"/>
            </w:pPr>
            <w:r>
              <w:t>6.2</w:t>
            </w:r>
          </w:p>
        </w:tc>
        <w:tc>
          <w:tcPr>
            <w:tcW w:w="865" w:type="dxa"/>
          </w:tcPr>
          <w:p w14:paraId="4E6D8849" w14:textId="1E320546" w:rsidR="00182709" w:rsidRDefault="006D5C9B">
            <w:r>
              <w:t xml:space="preserve">18 </w:t>
            </w:r>
            <w:r w:rsidR="7796270B">
              <w:t>826</w:t>
            </w:r>
          </w:p>
        </w:tc>
        <w:tc>
          <w:tcPr>
            <w:tcW w:w="865" w:type="dxa"/>
          </w:tcPr>
          <w:p w14:paraId="5B123368" w14:textId="43E099DD" w:rsidR="00182709" w:rsidRDefault="006D5C9B">
            <w:r>
              <w:t xml:space="preserve">19 </w:t>
            </w:r>
            <w:r w:rsidR="176AE411">
              <w:t>818</w:t>
            </w:r>
          </w:p>
        </w:tc>
      </w:tr>
      <w:tr w:rsidR="00182709" w14:paraId="74D427E0" w14:textId="77777777" w:rsidTr="007D5C79">
        <w:tc>
          <w:tcPr>
            <w:tcW w:w="1349" w:type="dxa"/>
          </w:tcPr>
          <w:p w14:paraId="2CC9CD94" w14:textId="77777777" w:rsidR="00182709" w:rsidRDefault="0044097C">
            <w:pPr>
              <w:jc w:val="left"/>
            </w:pPr>
            <w:r>
              <w:rPr>
                <w:color w:val="4472C4"/>
                <w:sz w:val="13"/>
              </w:rPr>
              <w:t>AASB 101.54 (p)</w:t>
            </w:r>
          </w:p>
        </w:tc>
        <w:tc>
          <w:tcPr>
            <w:tcW w:w="6016" w:type="dxa"/>
            <w:tcBorders>
              <w:bottom w:val="single" w:sz="12" w:space="0" w:color="auto"/>
            </w:tcBorders>
          </w:tcPr>
          <w:p w14:paraId="54E07A3C" w14:textId="77777777" w:rsidR="00182709" w:rsidRDefault="0044097C">
            <w:pPr>
              <w:jc w:val="left"/>
            </w:pPr>
            <w:r>
              <w:t>Liabilities directly associated with assets classified as held for sale including disposal groups</w:t>
            </w:r>
          </w:p>
        </w:tc>
        <w:tc>
          <w:tcPr>
            <w:tcW w:w="544" w:type="dxa"/>
            <w:tcBorders>
              <w:bottom w:val="single" w:sz="12" w:space="0" w:color="auto"/>
            </w:tcBorders>
          </w:tcPr>
          <w:p w14:paraId="42BE36F9" w14:textId="77777777" w:rsidR="00182709" w:rsidRDefault="0044097C">
            <w:pPr>
              <w:jc w:val="center"/>
            </w:pPr>
            <w:r>
              <w:t>9.3.5</w:t>
            </w:r>
          </w:p>
        </w:tc>
        <w:tc>
          <w:tcPr>
            <w:tcW w:w="865" w:type="dxa"/>
            <w:tcBorders>
              <w:bottom w:val="single" w:sz="12" w:space="0" w:color="auto"/>
            </w:tcBorders>
          </w:tcPr>
          <w:p w14:paraId="164FCCDF" w14:textId="77777777" w:rsidR="00182709" w:rsidRDefault="0044097C">
            <w:r>
              <w:t>4 438</w:t>
            </w:r>
          </w:p>
        </w:tc>
        <w:tc>
          <w:tcPr>
            <w:tcW w:w="865" w:type="dxa"/>
            <w:tcBorders>
              <w:bottom w:val="single" w:sz="12" w:space="0" w:color="auto"/>
            </w:tcBorders>
          </w:tcPr>
          <w:p w14:paraId="0E733565" w14:textId="77777777" w:rsidR="00182709" w:rsidRDefault="0044097C">
            <w:r>
              <w:t>8 980</w:t>
            </w:r>
          </w:p>
        </w:tc>
      </w:tr>
      <w:tr w:rsidR="00671D55" w14:paraId="700F539F" w14:textId="77777777" w:rsidTr="007D5C79">
        <w:tc>
          <w:tcPr>
            <w:tcW w:w="1349" w:type="dxa"/>
          </w:tcPr>
          <w:p w14:paraId="0A0AA175" w14:textId="77777777" w:rsidR="00182709" w:rsidRDefault="00182709">
            <w:pPr>
              <w:jc w:val="left"/>
            </w:pPr>
          </w:p>
        </w:tc>
        <w:tc>
          <w:tcPr>
            <w:tcW w:w="6016" w:type="dxa"/>
          </w:tcPr>
          <w:p w14:paraId="54E0BA54" w14:textId="77777777" w:rsidR="00182709" w:rsidRDefault="0044097C">
            <w:pPr>
              <w:jc w:val="left"/>
            </w:pPr>
            <w:r>
              <w:rPr>
                <w:b/>
              </w:rPr>
              <w:t>Total liabilities</w:t>
            </w:r>
          </w:p>
        </w:tc>
        <w:tc>
          <w:tcPr>
            <w:tcW w:w="544" w:type="dxa"/>
          </w:tcPr>
          <w:p w14:paraId="4C590487" w14:textId="77777777" w:rsidR="00182709" w:rsidRDefault="00182709">
            <w:pPr>
              <w:jc w:val="center"/>
            </w:pPr>
          </w:p>
        </w:tc>
        <w:tc>
          <w:tcPr>
            <w:tcW w:w="865" w:type="dxa"/>
          </w:tcPr>
          <w:p w14:paraId="0E0F8AFC" w14:textId="77777777" w:rsidR="00182709" w:rsidRDefault="0044097C">
            <w:r>
              <w:rPr>
                <w:b/>
              </w:rPr>
              <w:t>179 494</w:t>
            </w:r>
          </w:p>
        </w:tc>
        <w:tc>
          <w:tcPr>
            <w:tcW w:w="865" w:type="dxa"/>
          </w:tcPr>
          <w:p w14:paraId="05539428" w14:textId="77777777" w:rsidR="00182709" w:rsidRDefault="0044097C">
            <w:r>
              <w:rPr>
                <w:b/>
              </w:rPr>
              <w:t>191 731</w:t>
            </w:r>
          </w:p>
        </w:tc>
      </w:tr>
      <w:tr w:rsidR="00671D55" w14:paraId="287004B0" w14:textId="77777777" w:rsidTr="007D5C79">
        <w:tc>
          <w:tcPr>
            <w:tcW w:w="1349" w:type="dxa"/>
          </w:tcPr>
          <w:p w14:paraId="060A3DB2" w14:textId="77777777" w:rsidR="00182709" w:rsidRDefault="00182709">
            <w:pPr>
              <w:jc w:val="left"/>
            </w:pPr>
          </w:p>
        </w:tc>
        <w:tc>
          <w:tcPr>
            <w:tcW w:w="6016" w:type="dxa"/>
          </w:tcPr>
          <w:p w14:paraId="51ED8B89" w14:textId="77777777" w:rsidR="00182709" w:rsidRDefault="0044097C">
            <w:pPr>
              <w:jc w:val="left"/>
            </w:pPr>
            <w:r>
              <w:rPr>
                <w:b/>
              </w:rPr>
              <w:t>Net assets</w:t>
            </w:r>
          </w:p>
        </w:tc>
        <w:tc>
          <w:tcPr>
            <w:tcW w:w="544" w:type="dxa"/>
          </w:tcPr>
          <w:p w14:paraId="210EF79D" w14:textId="77777777" w:rsidR="00182709" w:rsidRDefault="00182709">
            <w:pPr>
              <w:jc w:val="center"/>
            </w:pPr>
          </w:p>
        </w:tc>
        <w:tc>
          <w:tcPr>
            <w:tcW w:w="865" w:type="dxa"/>
          </w:tcPr>
          <w:p w14:paraId="563E0AA4" w14:textId="20E8440A" w:rsidR="00182709" w:rsidRDefault="0044097C">
            <w:r>
              <w:rPr>
                <w:b/>
              </w:rPr>
              <w:t>13</w:t>
            </w:r>
            <w:r w:rsidR="00341DA9">
              <w:rPr>
                <w:b/>
              </w:rPr>
              <w:t>5</w:t>
            </w:r>
            <w:r>
              <w:rPr>
                <w:b/>
              </w:rPr>
              <w:t xml:space="preserve"> </w:t>
            </w:r>
            <w:r w:rsidR="00341DA9">
              <w:rPr>
                <w:b/>
              </w:rPr>
              <w:t>204</w:t>
            </w:r>
          </w:p>
        </w:tc>
        <w:tc>
          <w:tcPr>
            <w:tcW w:w="865" w:type="dxa"/>
          </w:tcPr>
          <w:p w14:paraId="252B0FCB" w14:textId="1C56558E" w:rsidR="00182709" w:rsidRDefault="0044097C">
            <w:r>
              <w:rPr>
                <w:b/>
              </w:rPr>
              <w:t>11</w:t>
            </w:r>
            <w:r w:rsidR="00341DA9">
              <w:rPr>
                <w:b/>
              </w:rPr>
              <w:t>4</w:t>
            </w:r>
            <w:r>
              <w:rPr>
                <w:b/>
              </w:rPr>
              <w:t xml:space="preserve"> </w:t>
            </w:r>
            <w:r w:rsidR="00341DA9">
              <w:rPr>
                <w:b/>
              </w:rPr>
              <w:t>65</w:t>
            </w:r>
            <w:r>
              <w:rPr>
                <w:b/>
              </w:rPr>
              <w:t>1</w:t>
            </w:r>
          </w:p>
        </w:tc>
      </w:tr>
      <w:tr w:rsidR="00671D55" w14:paraId="383DAEAF" w14:textId="77777777" w:rsidTr="007D5C79">
        <w:tc>
          <w:tcPr>
            <w:tcW w:w="1349" w:type="dxa"/>
          </w:tcPr>
          <w:p w14:paraId="0E3AB858" w14:textId="77777777" w:rsidR="00182709" w:rsidRDefault="00182709">
            <w:pPr>
              <w:jc w:val="left"/>
            </w:pPr>
          </w:p>
        </w:tc>
        <w:tc>
          <w:tcPr>
            <w:tcW w:w="6016" w:type="dxa"/>
          </w:tcPr>
          <w:p w14:paraId="7DBEB1B4" w14:textId="77777777" w:rsidR="00182709" w:rsidRDefault="0044097C">
            <w:pPr>
              <w:jc w:val="left"/>
            </w:pPr>
            <w:r>
              <w:rPr>
                <w:b/>
              </w:rPr>
              <w:t>Equity</w:t>
            </w:r>
          </w:p>
        </w:tc>
        <w:tc>
          <w:tcPr>
            <w:tcW w:w="544" w:type="dxa"/>
          </w:tcPr>
          <w:p w14:paraId="17B4348F" w14:textId="77777777" w:rsidR="00182709" w:rsidRDefault="00182709">
            <w:pPr>
              <w:jc w:val="center"/>
            </w:pPr>
          </w:p>
        </w:tc>
        <w:tc>
          <w:tcPr>
            <w:tcW w:w="865" w:type="dxa"/>
          </w:tcPr>
          <w:p w14:paraId="7750FE14" w14:textId="77777777" w:rsidR="00182709" w:rsidRDefault="00182709"/>
        </w:tc>
        <w:tc>
          <w:tcPr>
            <w:tcW w:w="865" w:type="dxa"/>
          </w:tcPr>
          <w:p w14:paraId="793044F1" w14:textId="77777777" w:rsidR="00182709" w:rsidRDefault="00182709"/>
        </w:tc>
      </w:tr>
      <w:tr w:rsidR="00182709" w14:paraId="5F4E70B1" w14:textId="77777777" w:rsidTr="007D5C79">
        <w:tc>
          <w:tcPr>
            <w:tcW w:w="1349" w:type="dxa"/>
          </w:tcPr>
          <w:p w14:paraId="489FCAEF" w14:textId="77777777" w:rsidR="00182709" w:rsidRDefault="00182709">
            <w:pPr>
              <w:jc w:val="left"/>
            </w:pPr>
          </w:p>
        </w:tc>
        <w:tc>
          <w:tcPr>
            <w:tcW w:w="6016" w:type="dxa"/>
          </w:tcPr>
          <w:p w14:paraId="35390565" w14:textId="77777777" w:rsidR="00182709" w:rsidRDefault="0044097C">
            <w:pPr>
              <w:jc w:val="left"/>
            </w:pPr>
            <w:r>
              <w:t>Accumulated surplus/(deficit)</w:t>
            </w:r>
          </w:p>
        </w:tc>
        <w:tc>
          <w:tcPr>
            <w:tcW w:w="544" w:type="dxa"/>
          </w:tcPr>
          <w:p w14:paraId="6790D3F9" w14:textId="77777777" w:rsidR="00182709" w:rsidRDefault="00182709">
            <w:pPr>
              <w:jc w:val="center"/>
            </w:pPr>
          </w:p>
        </w:tc>
        <w:tc>
          <w:tcPr>
            <w:tcW w:w="865" w:type="dxa"/>
          </w:tcPr>
          <w:p w14:paraId="3A20E0F5" w14:textId="6B8068F8" w:rsidR="00182709" w:rsidRDefault="00535B5A">
            <w:r>
              <w:t xml:space="preserve">66 </w:t>
            </w:r>
            <w:r w:rsidR="00341DA9">
              <w:t>82</w:t>
            </w:r>
            <w:r>
              <w:t>3</w:t>
            </w:r>
          </w:p>
        </w:tc>
        <w:tc>
          <w:tcPr>
            <w:tcW w:w="865" w:type="dxa"/>
          </w:tcPr>
          <w:p w14:paraId="1A62E741" w14:textId="3847F106" w:rsidR="00182709" w:rsidRDefault="0044097C">
            <w:r>
              <w:t xml:space="preserve">68 </w:t>
            </w:r>
            <w:r w:rsidR="00341DA9">
              <w:t>82</w:t>
            </w:r>
            <w:r>
              <w:t>4</w:t>
            </w:r>
          </w:p>
        </w:tc>
      </w:tr>
      <w:tr w:rsidR="00182709" w14:paraId="088FE0B6" w14:textId="77777777" w:rsidTr="007D5C79">
        <w:tc>
          <w:tcPr>
            <w:tcW w:w="1349" w:type="dxa"/>
          </w:tcPr>
          <w:p w14:paraId="5F462C76" w14:textId="77777777" w:rsidR="00182709" w:rsidRDefault="0044097C">
            <w:pPr>
              <w:jc w:val="left"/>
            </w:pPr>
            <w:r>
              <w:rPr>
                <w:color w:val="4472C4"/>
                <w:sz w:val="13"/>
              </w:rPr>
              <w:t>AASB 101.54 (r)</w:t>
            </w:r>
          </w:p>
        </w:tc>
        <w:tc>
          <w:tcPr>
            <w:tcW w:w="6016" w:type="dxa"/>
          </w:tcPr>
          <w:p w14:paraId="222495DE" w14:textId="77777777" w:rsidR="00182709" w:rsidRDefault="0044097C">
            <w:pPr>
              <w:jc w:val="left"/>
            </w:pPr>
            <w:r>
              <w:t>Physical asset revaluation surplus</w:t>
            </w:r>
          </w:p>
        </w:tc>
        <w:tc>
          <w:tcPr>
            <w:tcW w:w="544" w:type="dxa"/>
          </w:tcPr>
          <w:p w14:paraId="709627CF" w14:textId="77777777" w:rsidR="00182709" w:rsidRDefault="0044097C">
            <w:pPr>
              <w:jc w:val="center"/>
            </w:pPr>
            <w:r>
              <w:t>9.4</w:t>
            </w:r>
          </w:p>
        </w:tc>
        <w:tc>
          <w:tcPr>
            <w:tcW w:w="865" w:type="dxa"/>
          </w:tcPr>
          <w:p w14:paraId="4B8218F3" w14:textId="77777777" w:rsidR="00182709" w:rsidRDefault="0044097C">
            <w:r>
              <w:t>9 339</w:t>
            </w:r>
          </w:p>
        </w:tc>
        <w:tc>
          <w:tcPr>
            <w:tcW w:w="865" w:type="dxa"/>
          </w:tcPr>
          <w:p w14:paraId="5903F9B8" w14:textId="77777777" w:rsidR="00182709" w:rsidRDefault="0044097C">
            <w:r>
              <w:t>5 759</w:t>
            </w:r>
          </w:p>
        </w:tc>
      </w:tr>
      <w:tr w:rsidR="00182709" w14:paraId="4B64CA17" w14:textId="77777777" w:rsidTr="007D5C79">
        <w:tc>
          <w:tcPr>
            <w:tcW w:w="1349" w:type="dxa"/>
          </w:tcPr>
          <w:p w14:paraId="12AC69EE" w14:textId="77777777" w:rsidR="00182709" w:rsidRDefault="0044097C">
            <w:pPr>
              <w:jc w:val="left"/>
            </w:pPr>
            <w:r>
              <w:rPr>
                <w:color w:val="4472C4"/>
                <w:sz w:val="13"/>
              </w:rPr>
              <w:t>AASB 9.B5.7.1</w:t>
            </w:r>
          </w:p>
        </w:tc>
        <w:tc>
          <w:tcPr>
            <w:tcW w:w="6016" w:type="dxa"/>
          </w:tcPr>
          <w:p w14:paraId="7B6891B2" w14:textId="33194005" w:rsidR="00182709" w:rsidRDefault="0044097C">
            <w:pPr>
              <w:jc w:val="left"/>
            </w:pPr>
            <w:r>
              <w:t xml:space="preserve">Financial assets at fair value through </w:t>
            </w:r>
            <w:r w:rsidR="00611051">
              <w:t>o</w:t>
            </w:r>
            <w:r w:rsidR="00F9520E">
              <w:t xml:space="preserve">ther </w:t>
            </w:r>
            <w:r w:rsidR="00611051">
              <w:t>c</w:t>
            </w:r>
            <w:r w:rsidR="00F9520E">
              <w:t xml:space="preserve">omprehensive </w:t>
            </w:r>
            <w:r w:rsidR="00611051">
              <w:t>i</w:t>
            </w:r>
            <w:r w:rsidR="00F9520E">
              <w:t>ncome</w:t>
            </w:r>
            <w:r>
              <w:t xml:space="preserve"> reserve</w:t>
            </w:r>
          </w:p>
        </w:tc>
        <w:tc>
          <w:tcPr>
            <w:tcW w:w="544" w:type="dxa"/>
          </w:tcPr>
          <w:p w14:paraId="75AA4961" w14:textId="77777777" w:rsidR="00182709" w:rsidRDefault="0044097C">
            <w:pPr>
              <w:jc w:val="center"/>
            </w:pPr>
            <w:r>
              <w:t>9.4</w:t>
            </w:r>
          </w:p>
        </w:tc>
        <w:tc>
          <w:tcPr>
            <w:tcW w:w="865" w:type="dxa"/>
          </w:tcPr>
          <w:p w14:paraId="20CE07D9" w14:textId="77777777" w:rsidR="00182709" w:rsidRDefault="0044097C">
            <w:r>
              <w:t>1 550</w:t>
            </w:r>
          </w:p>
        </w:tc>
        <w:tc>
          <w:tcPr>
            <w:tcW w:w="865" w:type="dxa"/>
          </w:tcPr>
          <w:p w14:paraId="1B0FE22E" w14:textId="77777777" w:rsidR="00182709" w:rsidRDefault="0044097C">
            <w:r>
              <w:t>1 723</w:t>
            </w:r>
          </w:p>
        </w:tc>
      </w:tr>
      <w:tr w:rsidR="00182709" w14:paraId="0B3AE035" w14:textId="77777777" w:rsidTr="007D5C79">
        <w:tc>
          <w:tcPr>
            <w:tcW w:w="1349" w:type="dxa"/>
          </w:tcPr>
          <w:p w14:paraId="74A9A3DA" w14:textId="77777777" w:rsidR="00182709" w:rsidRDefault="0044097C">
            <w:pPr>
              <w:jc w:val="left"/>
            </w:pPr>
            <w:r>
              <w:rPr>
                <w:color w:val="4472C4"/>
                <w:sz w:val="13"/>
              </w:rPr>
              <w:t>AASB 9.B5.7.1</w:t>
            </w:r>
          </w:p>
        </w:tc>
        <w:tc>
          <w:tcPr>
            <w:tcW w:w="6016" w:type="dxa"/>
          </w:tcPr>
          <w:p w14:paraId="2AFFD7AF" w14:textId="77777777" w:rsidR="00182709" w:rsidRDefault="0044097C">
            <w:pPr>
              <w:jc w:val="left"/>
            </w:pPr>
            <w:r>
              <w:t>Own credit loss revaluation reserve for financial liability designated at fair value through profit or loss</w:t>
            </w:r>
          </w:p>
        </w:tc>
        <w:tc>
          <w:tcPr>
            <w:tcW w:w="544" w:type="dxa"/>
          </w:tcPr>
          <w:p w14:paraId="34022739" w14:textId="77777777" w:rsidR="00182709" w:rsidRDefault="0044097C">
            <w:pPr>
              <w:jc w:val="center"/>
            </w:pPr>
            <w:r>
              <w:t>9.4</w:t>
            </w:r>
          </w:p>
        </w:tc>
        <w:tc>
          <w:tcPr>
            <w:tcW w:w="865" w:type="dxa"/>
          </w:tcPr>
          <w:p w14:paraId="51A77698" w14:textId="77777777" w:rsidR="00182709" w:rsidRDefault="0044097C">
            <w:r>
              <w:t>30</w:t>
            </w:r>
          </w:p>
        </w:tc>
        <w:tc>
          <w:tcPr>
            <w:tcW w:w="865" w:type="dxa"/>
          </w:tcPr>
          <w:p w14:paraId="207D8A99" w14:textId="77777777" w:rsidR="00182709" w:rsidRDefault="0044097C">
            <w:r>
              <w:t>..</w:t>
            </w:r>
          </w:p>
        </w:tc>
      </w:tr>
      <w:tr w:rsidR="00182709" w14:paraId="49412AF6" w14:textId="77777777" w:rsidTr="007D5C79">
        <w:tc>
          <w:tcPr>
            <w:tcW w:w="1349" w:type="dxa"/>
          </w:tcPr>
          <w:p w14:paraId="6CB815D0" w14:textId="77777777" w:rsidR="00182709" w:rsidRDefault="0044097C">
            <w:pPr>
              <w:jc w:val="left"/>
            </w:pPr>
            <w:r>
              <w:rPr>
                <w:color w:val="4472C4"/>
                <w:sz w:val="13"/>
              </w:rPr>
              <w:t>AASB 101.54 (r)</w:t>
            </w:r>
          </w:p>
        </w:tc>
        <w:tc>
          <w:tcPr>
            <w:tcW w:w="6016" w:type="dxa"/>
            <w:tcBorders>
              <w:bottom w:val="single" w:sz="12" w:space="0" w:color="auto"/>
            </w:tcBorders>
          </w:tcPr>
          <w:p w14:paraId="6D29AE1E" w14:textId="77777777" w:rsidR="00182709" w:rsidRDefault="0044097C">
            <w:pPr>
              <w:jc w:val="left"/>
            </w:pPr>
            <w:r>
              <w:t>Contributed capital</w:t>
            </w:r>
          </w:p>
        </w:tc>
        <w:tc>
          <w:tcPr>
            <w:tcW w:w="544" w:type="dxa"/>
            <w:tcBorders>
              <w:bottom w:val="single" w:sz="12" w:space="0" w:color="auto"/>
            </w:tcBorders>
          </w:tcPr>
          <w:p w14:paraId="7309A1EB" w14:textId="77777777" w:rsidR="00182709" w:rsidRDefault="00182709">
            <w:pPr>
              <w:jc w:val="center"/>
            </w:pPr>
          </w:p>
        </w:tc>
        <w:tc>
          <w:tcPr>
            <w:tcW w:w="865" w:type="dxa"/>
            <w:tcBorders>
              <w:bottom w:val="single" w:sz="12" w:space="0" w:color="auto"/>
            </w:tcBorders>
          </w:tcPr>
          <w:p w14:paraId="5395994C" w14:textId="77777777" w:rsidR="00182709" w:rsidRDefault="0044097C">
            <w:r>
              <w:t>57 462</w:t>
            </w:r>
          </w:p>
        </w:tc>
        <w:tc>
          <w:tcPr>
            <w:tcW w:w="865" w:type="dxa"/>
            <w:tcBorders>
              <w:bottom w:val="single" w:sz="12" w:space="0" w:color="auto"/>
            </w:tcBorders>
          </w:tcPr>
          <w:p w14:paraId="2D26EC3A" w14:textId="77777777" w:rsidR="00182709" w:rsidRDefault="0044097C">
            <w:r>
              <w:t>38 345</w:t>
            </w:r>
          </w:p>
        </w:tc>
      </w:tr>
      <w:tr w:rsidR="00671D55" w14:paraId="47550C94" w14:textId="77777777" w:rsidTr="007D5C79">
        <w:tc>
          <w:tcPr>
            <w:tcW w:w="1349" w:type="dxa"/>
            <w:tcBorders>
              <w:bottom w:val="nil"/>
            </w:tcBorders>
          </w:tcPr>
          <w:p w14:paraId="6419FA8E" w14:textId="77777777" w:rsidR="00182709" w:rsidRDefault="00182709">
            <w:pPr>
              <w:jc w:val="left"/>
            </w:pPr>
          </w:p>
        </w:tc>
        <w:tc>
          <w:tcPr>
            <w:tcW w:w="6016" w:type="dxa"/>
          </w:tcPr>
          <w:p w14:paraId="53ADF599" w14:textId="77777777" w:rsidR="00182709" w:rsidRDefault="0044097C">
            <w:pPr>
              <w:jc w:val="left"/>
            </w:pPr>
            <w:r>
              <w:rPr>
                <w:b/>
              </w:rPr>
              <w:t>Net worth</w:t>
            </w:r>
          </w:p>
        </w:tc>
        <w:tc>
          <w:tcPr>
            <w:tcW w:w="544" w:type="dxa"/>
          </w:tcPr>
          <w:p w14:paraId="53B3CA85" w14:textId="77777777" w:rsidR="00182709" w:rsidRDefault="00182709">
            <w:pPr>
              <w:jc w:val="center"/>
            </w:pPr>
          </w:p>
        </w:tc>
        <w:tc>
          <w:tcPr>
            <w:tcW w:w="865" w:type="dxa"/>
          </w:tcPr>
          <w:p w14:paraId="336D2549" w14:textId="14409E26" w:rsidR="00182709" w:rsidRDefault="0044097C">
            <w:r>
              <w:rPr>
                <w:b/>
              </w:rPr>
              <w:t>13</w:t>
            </w:r>
            <w:r w:rsidR="00341DA9">
              <w:rPr>
                <w:b/>
              </w:rPr>
              <w:t>5</w:t>
            </w:r>
            <w:r>
              <w:rPr>
                <w:b/>
              </w:rPr>
              <w:t xml:space="preserve"> </w:t>
            </w:r>
            <w:r w:rsidR="00341DA9">
              <w:rPr>
                <w:b/>
              </w:rPr>
              <w:t>20</w:t>
            </w:r>
            <w:r w:rsidR="00967CE0">
              <w:rPr>
                <w:b/>
              </w:rPr>
              <w:t>4</w:t>
            </w:r>
          </w:p>
        </w:tc>
        <w:tc>
          <w:tcPr>
            <w:tcW w:w="865" w:type="dxa"/>
          </w:tcPr>
          <w:p w14:paraId="7D3C3A9B" w14:textId="2AF805E1" w:rsidR="00182709" w:rsidRDefault="00341DA9">
            <w:r>
              <w:rPr>
                <w:b/>
              </w:rPr>
              <w:t>114 651</w:t>
            </w:r>
          </w:p>
        </w:tc>
      </w:tr>
    </w:tbl>
    <w:p w14:paraId="4EB8F492" w14:textId="77777777" w:rsidR="003719CD" w:rsidRDefault="003719CD" w:rsidP="000F5E0B">
      <w:pPr>
        <w:pStyle w:val="Note"/>
      </w:pPr>
      <w:r>
        <w:t>The accompanying notes form part of these financial statements.</w:t>
      </w:r>
    </w:p>
    <w:p w14:paraId="288B513E" w14:textId="77777777" w:rsidR="003719CD" w:rsidRDefault="003719CD" w:rsidP="000F5E0B">
      <w:pPr>
        <w:pStyle w:val="Note"/>
      </w:pPr>
      <w:r>
        <w:t>Note:</w:t>
      </w:r>
    </w:p>
    <w:p w14:paraId="536D1AD2" w14:textId="54CA0222" w:rsidR="00FD7E00" w:rsidRDefault="00FD7E00" w:rsidP="00FD7E00">
      <w:pPr>
        <w:pStyle w:val="Note"/>
      </w:pPr>
      <w:r w:rsidRPr="007D5C79">
        <w:rPr>
          <w:i w:val="0"/>
        </w:rPr>
        <w:t>(a</w:t>
      </w:r>
      <w:r>
        <w:t>)</w:t>
      </w:r>
      <w:r>
        <w:tab/>
      </w:r>
      <w:r w:rsidR="003719CD">
        <w:t xml:space="preserve">This format is aligned to AASB 1049 </w:t>
      </w:r>
      <w:r w:rsidR="003719CD" w:rsidRPr="00436E90">
        <w:rPr>
          <w:i w:val="0"/>
          <w:iCs/>
        </w:rPr>
        <w:t>Whole of Government and General Government Sector Financial Reporting</w:t>
      </w:r>
      <w:r w:rsidR="004D35D8" w:rsidRPr="00040B1D">
        <w:t>.</w:t>
      </w:r>
    </w:p>
    <w:p w14:paraId="037CC012" w14:textId="504CF3CF" w:rsidR="0073168A" w:rsidRPr="00FD7E00" w:rsidRDefault="00FD7E00" w:rsidP="00063DCC">
      <w:pPr>
        <w:pStyle w:val="Note"/>
      </w:pPr>
      <w:r w:rsidRPr="00A21D80">
        <w:t>(b)</w:t>
      </w:r>
      <w:r w:rsidR="003719CD" w:rsidRPr="00221699">
        <w:t xml:space="preserve"> </w:t>
      </w:r>
      <w:r w:rsidRPr="007D5C79">
        <w:t xml:space="preserve">     </w:t>
      </w:r>
      <w:r w:rsidR="001965C7" w:rsidRPr="007D5C79">
        <w:t xml:space="preserve">The grant of a right to the operator liability </w:t>
      </w:r>
      <w:r w:rsidR="00CE697B" w:rsidRPr="007D5C79">
        <w:t>previously disclosed within payables has now been disclosed within the other liabilities line item to more a</w:t>
      </w:r>
      <w:r w:rsidR="004839A6">
        <w:t xml:space="preserve">ppropriately </w:t>
      </w:r>
      <w:r w:rsidR="00CE697B" w:rsidRPr="007D5C79">
        <w:t>reflect the nature of these items.</w:t>
      </w:r>
      <w:r w:rsidR="00063DCC">
        <w:t xml:space="preserve"> </w:t>
      </w:r>
      <w:r w:rsidR="00063DCC" w:rsidRPr="00063DCC">
        <w:t>This relates to the IP and registry functions commercialisation recognised applying AASB 1059 and is progressively reduced over the period of the arrangement. Further information is included in Notes 2.4.5 Other Income and 7.5.3 Service Concession Arrangements: Grantors</w:t>
      </w:r>
      <w:r w:rsidR="00063DCC">
        <w:t>.</w:t>
      </w:r>
    </w:p>
    <w:p w14:paraId="56F92816"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591DE06F" w14:textId="408D5307" w:rsidR="003719CD" w:rsidRDefault="003719CD" w:rsidP="000F5E0B">
      <w:pPr>
        <w:pStyle w:val="GuidanceBlockHeading"/>
      </w:pPr>
      <w:r>
        <w:lastRenderedPageBreak/>
        <w:t>Guidance – Balance sheet</w:t>
      </w:r>
      <w:r w:rsidR="00A52DC2">
        <w:t xml:space="preserve"> </w:t>
      </w:r>
      <w:r w:rsidR="002E4A9E" w:rsidRPr="00BA36DD">
        <w:rPr>
          <w:shd w:val="clear" w:color="auto" w:fill="7030A0"/>
        </w:rPr>
        <w:t>[REVISED]</w:t>
      </w:r>
    </w:p>
    <w:p w14:paraId="6A37D917" w14:textId="77777777" w:rsidR="003719CD" w:rsidRDefault="003719CD" w:rsidP="000F5E0B">
      <w:pPr>
        <w:pStyle w:val="GuidanceHeading"/>
      </w:pPr>
      <w:r>
        <w:t xml:space="preserve">Presentation of the balance sheet </w:t>
      </w:r>
    </w:p>
    <w:p w14:paraId="7B902E3B" w14:textId="77777777" w:rsidR="003719CD" w:rsidRPr="000F5E0B" w:rsidRDefault="003719CD" w:rsidP="000F5E0B">
      <w:pPr>
        <w:rPr>
          <w:rStyle w:val="Guidance"/>
        </w:rPr>
      </w:pPr>
      <w:r w:rsidRPr="000F5E0B">
        <w:rPr>
          <w:rStyle w:val="Guidance"/>
        </w:rPr>
        <w:t>The balance sheet (face) presents:</w:t>
      </w:r>
    </w:p>
    <w:p w14:paraId="654A7655" w14:textId="77CB7AB7" w:rsidR="003719CD" w:rsidRPr="000F5E0B" w:rsidRDefault="003719CD" w:rsidP="00310F12">
      <w:pPr>
        <w:pStyle w:val="ListBullet"/>
        <w:rPr>
          <w:rStyle w:val="Guidance"/>
        </w:rPr>
      </w:pPr>
      <w:r w:rsidRPr="000F5E0B">
        <w:rPr>
          <w:rStyle w:val="Guidance"/>
        </w:rPr>
        <w:t>line items in liquidity order</w:t>
      </w:r>
    </w:p>
    <w:p w14:paraId="74AA801B" w14:textId="77777777" w:rsidR="003719CD" w:rsidRPr="000F5E0B" w:rsidRDefault="003719CD" w:rsidP="00310F12">
      <w:pPr>
        <w:pStyle w:val="ListBullet"/>
        <w:rPr>
          <w:rStyle w:val="Guidance"/>
        </w:rPr>
      </w:pPr>
      <w:r w:rsidRPr="000F5E0B">
        <w:rPr>
          <w:rStyle w:val="Guidance"/>
        </w:rPr>
        <w:t>assets split into financial and non-financial assets.</w:t>
      </w:r>
    </w:p>
    <w:p w14:paraId="4C0174DC" w14:textId="77777777" w:rsidR="003719CD" w:rsidRPr="000F5E0B" w:rsidRDefault="003719CD" w:rsidP="000F5E0B">
      <w:pPr>
        <w:rPr>
          <w:rStyle w:val="Guidance"/>
        </w:rPr>
      </w:pPr>
      <w:r w:rsidRPr="000F5E0B">
        <w:rPr>
          <w:rStyle w:val="Guidance"/>
        </w:rPr>
        <w:t xml:space="preserve">Assets and liabilities are presented based on the order of liquidity in the balance sheet. The presentation of ‘current’ and ‘non-current’ assets and liabilities are in the notes. </w:t>
      </w:r>
      <w:r w:rsidRPr="000F5E0B">
        <w:rPr>
          <w:rStyle w:val="Reference"/>
        </w:rPr>
        <w:t>[AASB 101.60, 61 and AASB 1049]</w:t>
      </w:r>
    </w:p>
    <w:p w14:paraId="6EECE8DF" w14:textId="77777777" w:rsidR="003719CD" w:rsidRPr="000F5E0B" w:rsidRDefault="003719CD" w:rsidP="000F5E0B">
      <w:pPr>
        <w:rPr>
          <w:rStyle w:val="Guidance"/>
        </w:rPr>
      </w:pPr>
      <w:r w:rsidRPr="000F5E0B">
        <w:rPr>
          <w:rStyle w:val="Guidance"/>
          <w:b/>
          <w:bCs/>
        </w:rPr>
        <w:t>Sub-classification of line item</w:t>
      </w:r>
      <w:r w:rsidRPr="00F01CD5">
        <w:rPr>
          <w:rStyle w:val="Guidance"/>
          <w:b/>
          <w:bCs/>
        </w:rPr>
        <w:t>s</w:t>
      </w:r>
      <w:r w:rsidRPr="00660D0F">
        <w:rPr>
          <w:rStyle w:val="Guidance"/>
        </w:rPr>
        <w:t>:</w:t>
      </w:r>
      <w:r w:rsidRPr="000F5E0B">
        <w:rPr>
          <w:rStyle w:val="Guidance"/>
        </w:rPr>
        <w:t xml:space="preserve"> Depending on the size, nature and function of the amounts involved and requirements of AAS, the balance sheet line items must be sub-classified in a manner appropriate to the entity’s operations (either in the balance sheet or in the related notes). </w:t>
      </w:r>
      <w:r w:rsidRPr="000F5E0B">
        <w:rPr>
          <w:rStyle w:val="Reference"/>
        </w:rPr>
        <w:t>[AASB 101.77 and 101.78]</w:t>
      </w:r>
    </w:p>
    <w:p w14:paraId="11AEA1C2" w14:textId="4F55FEAF" w:rsidR="003719CD" w:rsidRPr="000F5E0B" w:rsidRDefault="003719CD" w:rsidP="000F5E0B">
      <w:pPr>
        <w:rPr>
          <w:rStyle w:val="Guidance"/>
        </w:rPr>
      </w:pPr>
      <w:r w:rsidRPr="000F5E0B">
        <w:rPr>
          <w:rStyle w:val="Guidance"/>
          <w:b/>
          <w:bCs/>
        </w:rPr>
        <w:t>Refinancing liabilities – Classification</w:t>
      </w:r>
      <w:r w:rsidR="00B12926" w:rsidRPr="00912314">
        <w:rPr>
          <w:rStyle w:val="Guidance"/>
        </w:rPr>
        <w:t>:</w:t>
      </w:r>
      <w:r w:rsidR="00E1128E">
        <w:rPr>
          <w:rStyle w:val="Guidance"/>
          <w:b/>
          <w:bCs/>
        </w:rPr>
        <w:t xml:space="preserve"> </w:t>
      </w:r>
      <w:r w:rsidRPr="000F5E0B">
        <w:rPr>
          <w:rStyle w:val="Guidance"/>
        </w:rPr>
        <w:t>Financial liabilities shall be categorised as current (notes) when they are due to be settled within 12 months of reporting period, even if:</w:t>
      </w:r>
    </w:p>
    <w:p w14:paraId="738054EF" w14:textId="1A7B92D3" w:rsidR="003719CD" w:rsidRPr="000F5E0B" w:rsidRDefault="003719CD" w:rsidP="00310F12">
      <w:pPr>
        <w:pStyle w:val="ListBullet"/>
        <w:rPr>
          <w:rStyle w:val="Guidance"/>
        </w:rPr>
      </w:pPr>
      <w:r w:rsidRPr="000F5E0B">
        <w:rPr>
          <w:rStyle w:val="Guidance"/>
        </w:rPr>
        <w:t>the original term was for a period longer than 12 months</w:t>
      </w:r>
    </w:p>
    <w:p w14:paraId="1D473D47" w14:textId="080652B2" w:rsidR="003719CD" w:rsidRPr="000F5E0B" w:rsidRDefault="003719CD" w:rsidP="00310F12">
      <w:pPr>
        <w:pStyle w:val="ListBullet"/>
        <w:rPr>
          <w:rStyle w:val="Guidance"/>
        </w:rPr>
      </w:pPr>
      <w:r w:rsidRPr="000F5E0B">
        <w:rPr>
          <w:rStyle w:val="Guidance"/>
        </w:rPr>
        <w:t>an agreement to refinance, or to reschedule payments, beyond 12 months, is completed after the reporting period but before the financial statements are authorised for issue.</w:t>
      </w:r>
      <w:r w:rsidR="006B78BF" w:rsidRPr="006B78BF">
        <w:rPr>
          <w:rStyle w:val="Reference"/>
        </w:rPr>
        <w:t xml:space="preserve"> </w:t>
      </w:r>
      <w:r w:rsidR="006B78BF" w:rsidRPr="000F5E0B">
        <w:rPr>
          <w:rStyle w:val="Reference"/>
        </w:rPr>
        <w:t>[AASB 101.72</w:t>
      </w:r>
      <w:r w:rsidR="006B78BF">
        <w:rPr>
          <w:rStyle w:val="Reference"/>
        </w:rPr>
        <w:t>]</w:t>
      </w:r>
      <w:r w:rsidR="006B78BF" w:rsidRPr="000F5E0B">
        <w:rPr>
          <w:rStyle w:val="Reference"/>
        </w:rPr>
        <w:t xml:space="preserve"> </w:t>
      </w:r>
    </w:p>
    <w:p w14:paraId="64F7B4D8" w14:textId="1668A339" w:rsidR="006B78BF" w:rsidRDefault="006B78BF" w:rsidP="000F5E0B">
      <w:pPr>
        <w:rPr>
          <w:rStyle w:val="Guidance"/>
        </w:rPr>
      </w:pPr>
      <w:r w:rsidRPr="006B78BF">
        <w:rPr>
          <w:rStyle w:val="Guidance"/>
        </w:rPr>
        <w:t>An entity’s right to defer settlement of a liability for at least twelve months after the reporting period mus</w:t>
      </w:r>
      <w:r>
        <w:rPr>
          <w:rStyle w:val="Guidance"/>
        </w:rPr>
        <w:t>t h</w:t>
      </w:r>
      <w:r w:rsidRPr="006B78BF">
        <w:rPr>
          <w:rStyle w:val="Guidance"/>
        </w:rPr>
        <w:t>ave substance and</w:t>
      </w:r>
      <w:r>
        <w:rPr>
          <w:rStyle w:val="Guidance"/>
        </w:rPr>
        <w:t xml:space="preserve"> </w:t>
      </w:r>
      <w:r w:rsidRPr="006B78BF">
        <w:rPr>
          <w:rStyle w:val="Guidance"/>
        </w:rPr>
        <w:t>must exist at the end of the reporting period</w:t>
      </w:r>
      <w:r>
        <w:rPr>
          <w:rStyle w:val="Guidance"/>
        </w:rPr>
        <w:t xml:space="preserve">. </w:t>
      </w:r>
      <w:r w:rsidRPr="000F5E0B">
        <w:rPr>
          <w:rStyle w:val="Reference"/>
        </w:rPr>
        <w:t>[AASB 101.72</w:t>
      </w:r>
      <w:r>
        <w:rPr>
          <w:rStyle w:val="Reference"/>
        </w:rPr>
        <w:t>A</w:t>
      </w:r>
      <w:r w:rsidR="00991B77">
        <w:rPr>
          <w:rStyle w:val="Reference"/>
        </w:rPr>
        <w:t xml:space="preserve"> Revised</w:t>
      </w:r>
      <w:r>
        <w:rPr>
          <w:rStyle w:val="Reference"/>
        </w:rPr>
        <w:t>]</w:t>
      </w:r>
    </w:p>
    <w:p w14:paraId="5106885C" w14:textId="20EDEEEE" w:rsidR="003719CD" w:rsidRPr="000F5E0B" w:rsidRDefault="000F2A82" w:rsidP="000F5E0B">
      <w:pPr>
        <w:rPr>
          <w:rStyle w:val="Guidance"/>
        </w:rPr>
      </w:pPr>
      <w:r w:rsidRPr="00994C66">
        <w:rPr>
          <w:rStyle w:val="Guidance"/>
        </w:rPr>
        <w:t>If an entity has a right at balance date to roll over an obligation for at least twelve months after the reporting period, it classifies the obligation as non-current</w:t>
      </w:r>
      <w:r w:rsidR="006B78BF">
        <w:rPr>
          <w:rStyle w:val="Guidance"/>
        </w:rPr>
        <w:t>, even if it would be otherwise due within a shorter period</w:t>
      </w:r>
      <w:r w:rsidRPr="00994C66">
        <w:rPr>
          <w:rStyle w:val="Guidance"/>
        </w:rPr>
        <w:t>. If the entity has no such right to defer, the potential to refinance is not considered and the liability is classified as current</w:t>
      </w:r>
      <w:r w:rsidR="00B12926">
        <w:rPr>
          <w:rStyle w:val="Guidance"/>
        </w:rPr>
        <w:t xml:space="preserve"> </w:t>
      </w:r>
      <w:r w:rsidR="003719CD" w:rsidRPr="000F5E0B">
        <w:rPr>
          <w:rStyle w:val="Reference"/>
        </w:rPr>
        <w:t>[AASB 101.7</w:t>
      </w:r>
      <w:r w:rsidR="006B78BF">
        <w:rPr>
          <w:rStyle w:val="Reference"/>
        </w:rPr>
        <w:t>3].</w:t>
      </w:r>
    </w:p>
    <w:p w14:paraId="02AA1AC6" w14:textId="509CC993" w:rsidR="003719CD" w:rsidRPr="00912314" w:rsidRDefault="003719CD" w:rsidP="000F5E0B">
      <w:pPr>
        <w:rPr>
          <w:rStyle w:val="Guidance"/>
          <w:b/>
          <w:bCs/>
        </w:rPr>
      </w:pPr>
      <w:r w:rsidRPr="000F5E0B">
        <w:rPr>
          <w:rStyle w:val="Guidance"/>
          <w:b/>
          <w:bCs/>
        </w:rPr>
        <w:t>Breach of loan covenants – Classification</w:t>
      </w:r>
      <w:r w:rsidRPr="00912314">
        <w:rPr>
          <w:rStyle w:val="Guidance"/>
          <w:b/>
          <w:bCs/>
        </w:rPr>
        <w:t xml:space="preserve">: </w:t>
      </w:r>
    </w:p>
    <w:p w14:paraId="09A48377" w14:textId="7B0589AA" w:rsidR="00E74109" w:rsidRPr="000F5E0B" w:rsidRDefault="00E74109" w:rsidP="000F5E0B">
      <w:pPr>
        <w:rPr>
          <w:rStyle w:val="Guidance"/>
        </w:rPr>
      </w:pPr>
      <w:r w:rsidRPr="00E74109">
        <w:rPr>
          <w:rStyle w:val="Guidance"/>
        </w:rPr>
        <w:t>If an entity breaches a covenant from a loan arrangement at or before balance date and the loan becomes payable on demand, the liability will be classified as current. This current liability classification will be used even if the lender has agreed</w:t>
      </w:r>
      <w:r w:rsidR="00D70108">
        <w:rPr>
          <w:rStyle w:val="Guidance"/>
        </w:rPr>
        <w:t>,</w:t>
      </w:r>
      <w:r w:rsidRPr="00E74109">
        <w:rPr>
          <w:rStyle w:val="Guidance"/>
        </w:rPr>
        <w:t xml:space="preserve"> </w:t>
      </w:r>
      <w:r w:rsidR="00D70108">
        <w:rPr>
          <w:rStyle w:val="Guidance"/>
        </w:rPr>
        <w:t xml:space="preserve">after the balance date and before the authorisation of the financial statements for issue, </w:t>
      </w:r>
      <w:r w:rsidRPr="00E74109">
        <w:rPr>
          <w:rStyle w:val="Guidance"/>
        </w:rPr>
        <w:t xml:space="preserve">not to demand payment </w:t>
      </w:r>
      <w:r w:rsidR="00D70108">
        <w:rPr>
          <w:rStyle w:val="Guidance"/>
        </w:rPr>
        <w:t>as a consequence</w:t>
      </w:r>
      <w:r w:rsidRPr="00E74109">
        <w:rPr>
          <w:rStyle w:val="Guidance"/>
        </w:rPr>
        <w:t xml:space="preserve"> of the breach.</w:t>
      </w:r>
    </w:p>
    <w:p w14:paraId="52D1E03E" w14:textId="7CE06B24" w:rsidR="003719CD" w:rsidRPr="000F5E0B" w:rsidRDefault="003719CD" w:rsidP="000F5E0B">
      <w:pPr>
        <w:rPr>
          <w:rStyle w:val="Guidance"/>
        </w:rPr>
      </w:pPr>
      <w:r w:rsidRPr="000F5E0B">
        <w:rPr>
          <w:rStyle w:val="Guidance"/>
        </w:rPr>
        <w:t>Conversely, the obligation is classified as non-current if the lender agreed by the end of the reporting period to provide a period of grace ending at least 12 months after the reporting period, in which the breach could be rectified and during which the lender cannot demand immediate repayment</w:t>
      </w:r>
      <w:r w:rsidR="00B12926">
        <w:rPr>
          <w:rStyle w:val="Guidance"/>
        </w:rPr>
        <w:t xml:space="preserve"> </w:t>
      </w:r>
      <w:r w:rsidRPr="000F5E0B">
        <w:rPr>
          <w:rStyle w:val="Reference"/>
        </w:rPr>
        <w:t xml:space="preserve">[AASB 101.74 </w:t>
      </w:r>
      <w:r w:rsidR="002E4A9E">
        <w:rPr>
          <w:rStyle w:val="Reference"/>
        </w:rPr>
        <w:t xml:space="preserve">Revised </w:t>
      </w:r>
      <w:r w:rsidRPr="000F5E0B">
        <w:rPr>
          <w:rStyle w:val="Reference"/>
        </w:rPr>
        <w:t>and 101.75]</w:t>
      </w:r>
      <w:r w:rsidR="00B12926">
        <w:rPr>
          <w:rStyle w:val="Reference"/>
        </w:rPr>
        <w:t>.</w:t>
      </w:r>
    </w:p>
    <w:p w14:paraId="58947AD9" w14:textId="77777777" w:rsidR="003719CD" w:rsidRPr="000F5E0B" w:rsidRDefault="003719CD" w:rsidP="000F5E0B">
      <w:pPr>
        <w:rPr>
          <w:rStyle w:val="Guidance"/>
        </w:rPr>
      </w:pPr>
      <w:r w:rsidRPr="000F5E0B">
        <w:rPr>
          <w:rStyle w:val="Guidance"/>
          <w:b/>
          <w:bCs/>
        </w:rPr>
        <w:t>Revaluation Surplu</w:t>
      </w:r>
      <w:r w:rsidRPr="00F01CD5">
        <w:rPr>
          <w:rStyle w:val="Guidance"/>
          <w:b/>
          <w:bCs/>
        </w:rPr>
        <w:t>s</w:t>
      </w:r>
      <w:r w:rsidRPr="00AA7FA2">
        <w:rPr>
          <w:rStyle w:val="Guidance"/>
        </w:rPr>
        <w:t>:</w:t>
      </w:r>
      <w:r w:rsidRPr="000F5E0B">
        <w:rPr>
          <w:rStyle w:val="Guidance"/>
        </w:rPr>
        <w:t xml:space="preserve">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Note 9.4 Reserves. </w:t>
      </w:r>
    </w:p>
    <w:p w14:paraId="5339BCE2" w14:textId="77777777" w:rsidR="003719CD" w:rsidRPr="000F5E0B" w:rsidRDefault="003719CD" w:rsidP="000F5E0B">
      <w:pPr>
        <w:rPr>
          <w:rStyle w:val="Guidance"/>
        </w:rPr>
      </w:pPr>
      <w:r w:rsidRPr="000F5E0B">
        <w:rPr>
          <w:rStyle w:val="Guidance"/>
        </w:rPr>
        <w:t>If, since its last annual reporting date, an entity has reclassified financial assets out of the fair value through other comprehensive income category so that they are measured at amortised cost or out of the fair value through profit or loss category so that they are measured at fair value through other comprehensive income it shall disclose:</w:t>
      </w:r>
    </w:p>
    <w:p w14:paraId="69101313" w14:textId="3321263F" w:rsidR="003719CD" w:rsidRPr="000F5E0B" w:rsidRDefault="003719CD" w:rsidP="00310F12">
      <w:pPr>
        <w:pStyle w:val="ListBullet"/>
        <w:rPr>
          <w:rStyle w:val="Guidance"/>
        </w:rPr>
      </w:pPr>
      <w:r w:rsidRPr="000F5E0B">
        <w:rPr>
          <w:rStyle w:val="Guidance"/>
        </w:rPr>
        <w:t xml:space="preserve">the fair value of the financial assets at the end of the reporting period </w:t>
      </w:r>
    </w:p>
    <w:p w14:paraId="28B8AC1A" w14:textId="77777777" w:rsidR="003719CD" w:rsidRPr="000F5E0B" w:rsidRDefault="003719CD" w:rsidP="00310F12">
      <w:pPr>
        <w:pStyle w:val="ListBullet"/>
        <w:rPr>
          <w:rStyle w:val="Guidance"/>
        </w:rPr>
      </w:pPr>
      <w:r w:rsidRPr="000F5E0B">
        <w:rPr>
          <w:rStyle w:val="Guidance"/>
        </w:rPr>
        <w:t xml:space="preserve">the fair value gain or loss that would have been recognised in profit or loss or other comprehensive income during the reporting period if the financial assets had not been reclassified. </w:t>
      </w:r>
      <w:r w:rsidRPr="000F5E0B">
        <w:rPr>
          <w:rStyle w:val="Reference"/>
        </w:rPr>
        <w:t>[AASB 7.12D]</w:t>
      </w:r>
    </w:p>
    <w:p w14:paraId="4FAF2003" w14:textId="3D8BF2CF" w:rsidR="003719CD" w:rsidRPr="000F5E0B" w:rsidRDefault="003719CD" w:rsidP="000F5E0B">
      <w:pPr>
        <w:pStyle w:val="GuidanceHeading"/>
        <w:rPr>
          <w:rStyle w:val="Guidance"/>
        </w:rPr>
      </w:pPr>
      <w:r w:rsidRPr="000F5E0B">
        <w:rPr>
          <w:rStyle w:val="Guidance"/>
        </w:rPr>
        <w:lastRenderedPageBreak/>
        <w:t xml:space="preserve">Minimum information to be presented </w:t>
      </w:r>
      <w:r w:rsidRPr="000F5E0B">
        <w:rPr>
          <w:rStyle w:val="Reference"/>
        </w:rPr>
        <w:t>[AASB 101.54, 55]</w:t>
      </w:r>
    </w:p>
    <w:tbl>
      <w:tblPr>
        <w:tblW w:w="0" w:type="auto"/>
        <w:tblLook w:val="04A0" w:firstRow="1" w:lastRow="0" w:firstColumn="1" w:lastColumn="0" w:noHBand="0" w:noVBand="1"/>
      </w:tblPr>
      <w:tblGrid>
        <w:gridCol w:w="5245"/>
        <w:gridCol w:w="4377"/>
      </w:tblGrid>
      <w:tr w:rsidR="003719CD" w:rsidRPr="000F5E0B" w14:paraId="63936238" w14:textId="77777777" w:rsidTr="007D536F">
        <w:tc>
          <w:tcPr>
            <w:tcW w:w="5245" w:type="dxa"/>
          </w:tcPr>
          <w:p w14:paraId="0C6BE045" w14:textId="77777777" w:rsidR="003719CD" w:rsidRPr="000F5E0B" w:rsidRDefault="003719CD" w:rsidP="000F5E0B">
            <w:pPr>
              <w:keepNext/>
              <w:rPr>
                <w:rStyle w:val="Guidance"/>
                <w:b/>
                <w:bCs/>
              </w:rPr>
            </w:pPr>
            <w:r w:rsidRPr="000F5E0B">
              <w:rPr>
                <w:rStyle w:val="Guidance"/>
                <w:b/>
                <w:bCs/>
              </w:rPr>
              <w:t>Assets</w:t>
            </w:r>
          </w:p>
        </w:tc>
        <w:tc>
          <w:tcPr>
            <w:tcW w:w="4377" w:type="dxa"/>
          </w:tcPr>
          <w:p w14:paraId="21876DFE" w14:textId="77777777" w:rsidR="003719CD" w:rsidRPr="000F5E0B" w:rsidRDefault="003719CD" w:rsidP="000F5E0B">
            <w:pPr>
              <w:keepNext/>
              <w:rPr>
                <w:rStyle w:val="Guidance"/>
                <w:b/>
                <w:bCs/>
              </w:rPr>
            </w:pPr>
            <w:r w:rsidRPr="000F5E0B">
              <w:rPr>
                <w:rStyle w:val="Guidance"/>
                <w:b/>
                <w:bCs/>
              </w:rPr>
              <w:t>Liabilities</w:t>
            </w:r>
          </w:p>
        </w:tc>
      </w:tr>
      <w:tr w:rsidR="003719CD" w:rsidRPr="00EB4044" w14:paraId="77DD7526" w14:textId="77777777" w:rsidTr="007D536F">
        <w:trPr>
          <w:cantSplit/>
        </w:trPr>
        <w:tc>
          <w:tcPr>
            <w:tcW w:w="5245" w:type="dxa"/>
          </w:tcPr>
          <w:p w14:paraId="282BD9FC" w14:textId="19C50ED6" w:rsidR="003719CD" w:rsidRPr="00EB4044" w:rsidRDefault="003719CD" w:rsidP="00310F12">
            <w:pPr>
              <w:pStyle w:val="ListBullet"/>
              <w:rPr>
                <w:rStyle w:val="Guidance"/>
              </w:rPr>
            </w:pPr>
            <w:r w:rsidRPr="00EB4044">
              <w:rPr>
                <w:rStyle w:val="Guidance"/>
              </w:rPr>
              <w:t>cash and cash equivalents</w:t>
            </w:r>
          </w:p>
          <w:p w14:paraId="355651A5" w14:textId="37D6FA50" w:rsidR="003719CD" w:rsidRPr="00EB4044" w:rsidRDefault="003719CD" w:rsidP="00310F12">
            <w:pPr>
              <w:pStyle w:val="ListBullet"/>
              <w:rPr>
                <w:rStyle w:val="Guidance"/>
              </w:rPr>
            </w:pPr>
            <w:r w:rsidRPr="00EB4044">
              <w:rPr>
                <w:rStyle w:val="Guidance"/>
              </w:rPr>
              <w:t>trade and other receivables</w:t>
            </w:r>
          </w:p>
          <w:p w14:paraId="4B86EA27" w14:textId="46BD5C74" w:rsidR="003719CD" w:rsidRPr="008401A5" w:rsidRDefault="003719CD" w:rsidP="00310F12">
            <w:pPr>
              <w:pStyle w:val="ListBullet"/>
              <w:rPr>
                <w:rStyle w:val="Guidance"/>
              </w:rPr>
            </w:pPr>
            <w:r w:rsidRPr="008401A5">
              <w:rPr>
                <w:rStyle w:val="Guidance"/>
              </w:rPr>
              <w:t>contract assets</w:t>
            </w:r>
          </w:p>
          <w:p w14:paraId="11D1B163" w14:textId="4D4DAF58" w:rsidR="003719CD" w:rsidRPr="00EB4044" w:rsidRDefault="003719CD" w:rsidP="00310F12">
            <w:pPr>
              <w:pStyle w:val="ListBullet"/>
              <w:rPr>
                <w:rStyle w:val="Guidance"/>
              </w:rPr>
            </w:pPr>
            <w:r w:rsidRPr="00EB4044">
              <w:rPr>
                <w:rStyle w:val="Guidance"/>
              </w:rPr>
              <w:t>inventories</w:t>
            </w:r>
          </w:p>
          <w:p w14:paraId="348EE6ED" w14:textId="384CAC78" w:rsidR="003719CD" w:rsidRPr="00EB4044" w:rsidRDefault="003719CD" w:rsidP="00310F12">
            <w:pPr>
              <w:pStyle w:val="ListBullet"/>
              <w:rPr>
                <w:rStyle w:val="Guidance"/>
              </w:rPr>
            </w:pPr>
            <w:r w:rsidRPr="00EB4044">
              <w:rPr>
                <w:rStyle w:val="Guidance"/>
              </w:rPr>
              <w:t>assets held for sale</w:t>
            </w:r>
          </w:p>
          <w:p w14:paraId="693DE245" w14:textId="708147D7" w:rsidR="003719CD" w:rsidRPr="00EB4044" w:rsidRDefault="003719CD" w:rsidP="00310F12">
            <w:pPr>
              <w:pStyle w:val="ListBullet"/>
              <w:rPr>
                <w:rStyle w:val="Guidance"/>
              </w:rPr>
            </w:pPr>
            <w:r w:rsidRPr="00EB4044">
              <w:rPr>
                <w:rStyle w:val="Guidance"/>
              </w:rPr>
              <w:t>investment property</w:t>
            </w:r>
          </w:p>
          <w:p w14:paraId="061E588C" w14:textId="2AADF18D" w:rsidR="003719CD" w:rsidRPr="00EB4044" w:rsidRDefault="003719CD" w:rsidP="00310F12">
            <w:pPr>
              <w:pStyle w:val="ListBullet"/>
              <w:rPr>
                <w:rStyle w:val="Guidance"/>
              </w:rPr>
            </w:pPr>
            <w:r w:rsidRPr="00EB4044">
              <w:rPr>
                <w:rStyle w:val="Guidance"/>
              </w:rPr>
              <w:t>biological assets</w:t>
            </w:r>
          </w:p>
          <w:p w14:paraId="5537A06A" w14:textId="6E187E2B" w:rsidR="003719CD" w:rsidRPr="00EB4044" w:rsidRDefault="003719CD" w:rsidP="00310F12">
            <w:pPr>
              <w:pStyle w:val="ListBullet"/>
              <w:rPr>
                <w:rStyle w:val="Guidance"/>
              </w:rPr>
            </w:pPr>
            <w:r w:rsidRPr="00EB4044">
              <w:rPr>
                <w:rStyle w:val="Guidance"/>
              </w:rPr>
              <w:t>current tax assets</w:t>
            </w:r>
          </w:p>
          <w:p w14:paraId="5211ED21" w14:textId="3CAD308E" w:rsidR="003719CD" w:rsidRPr="00EB4044" w:rsidRDefault="003719CD" w:rsidP="00310F12">
            <w:pPr>
              <w:pStyle w:val="ListBullet"/>
              <w:rPr>
                <w:rStyle w:val="Guidance"/>
              </w:rPr>
            </w:pPr>
            <w:r w:rsidRPr="00EB4044">
              <w:rPr>
                <w:rStyle w:val="Guidance"/>
              </w:rPr>
              <w:t>deferred tax assets</w:t>
            </w:r>
          </w:p>
          <w:p w14:paraId="14C2F70A" w14:textId="5B2C9804" w:rsidR="003719CD" w:rsidRPr="00EB4044" w:rsidRDefault="003719CD" w:rsidP="00310F12">
            <w:pPr>
              <w:pStyle w:val="ListBullet"/>
              <w:rPr>
                <w:rStyle w:val="Guidance"/>
              </w:rPr>
            </w:pPr>
            <w:r w:rsidRPr="00EB4044">
              <w:rPr>
                <w:rStyle w:val="Guidance"/>
              </w:rPr>
              <w:t>investments accounted for using the equity method</w:t>
            </w:r>
          </w:p>
          <w:p w14:paraId="168BEB44" w14:textId="58D0C8E3" w:rsidR="003719CD" w:rsidRPr="00EB4044" w:rsidRDefault="003719CD" w:rsidP="00310F12">
            <w:pPr>
              <w:pStyle w:val="ListBullet"/>
              <w:rPr>
                <w:rStyle w:val="Guidance"/>
              </w:rPr>
            </w:pPr>
            <w:r w:rsidRPr="00EB4044">
              <w:rPr>
                <w:rStyle w:val="Guidance"/>
              </w:rPr>
              <w:t>financial assets (not elsewhere presented)</w:t>
            </w:r>
          </w:p>
          <w:p w14:paraId="10CD3EC3" w14:textId="5CB79AD5" w:rsidR="003719CD" w:rsidRPr="00EB4044" w:rsidRDefault="003719CD" w:rsidP="00310F12">
            <w:pPr>
              <w:pStyle w:val="ListBullet"/>
              <w:rPr>
                <w:rStyle w:val="Guidance"/>
              </w:rPr>
            </w:pPr>
            <w:r w:rsidRPr="00EB4044">
              <w:rPr>
                <w:rStyle w:val="Guidance"/>
              </w:rPr>
              <w:t>the total assets classified as held for sale and assets included in disposal groups classified as held for sale</w:t>
            </w:r>
          </w:p>
          <w:p w14:paraId="2CED7504" w14:textId="0ABBCC93" w:rsidR="003719CD" w:rsidRPr="00EB4044" w:rsidRDefault="003719CD" w:rsidP="00310F12">
            <w:pPr>
              <w:pStyle w:val="ListBullet"/>
              <w:rPr>
                <w:rStyle w:val="Guidance"/>
              </w:rPr>
            </w:pPr>
            <w:r w:rsidRPr="00EB4044">
              <w:rPr>
                <w:rStyle w:val="Guidance"/>
              </w:rPr>
              <w:t>property, plant and equipment</w:t>
            </w:r>
          </w:p>
          <w:p w14:paraId="2CAEDA72" w14:textId="0CA78FDD" w:rsidR="003719CD" w:rsidRPr="00EB4044" w:rsidRDefault="003719CD" w:rsidP="00310F12">
            <w:pPr>
              <w:pStyle w:val="ListBullet"/>
              <w:rPr>
                <w:rStyle w:val="Guidance"/>
              </w:rPr>
            </w:pPr>
            <w:r w:rsidRPr="00EB4044">
              <w:rPr>
                <w:rStyle w:val="Guidance"/>
              </w:rPr>
              <w:t>intangible assets</w:t>
            </w:r>
          </w:p>
        </w:tc>
        <w:tc>
          <w:tcPr>
            <w:tcW w:w="4377" w:type="dxa"/>
          </w:tcPr>
          <w:p w14:paraId="4AFEFF89" w14:textId="61A3EC28" w:rsidR="003719CD" w:rsidRPr="00EB4044" w:rsidRDefault="003719CD" w:rsidP="00310F12">
            <w:pPr>
              <w:pStyle w:val="ListBullet"/>
              <w:rPr>
                <w:rStyle w:val="Guidance"/>
              </w:rPr>
            </w:pPr>
            <w:r w:rsidRPr="00EB4044">
              <w:rPr>
                <w:rStyle w:val="Guidance"/>
              </w:rPr>
              <w:t xml:space="preserve">trade and other payables </w:t>
            </w:r>
          </w:p>
          <w:p w14:paraId="339E067C" w14:textId="1ECEB676" w:rsidR="003719CD" w:rsidRPr="008401A5" w:rsidRDefault="003719CD" w:rsidP="00310F12">
            <w:pPr>
              <w:pStyle w:val="ListBullet"/>
              <w:rPr>
                <w:rStyle w:val="Guidance"/>
              </w:rPr>
            </w:pPr>
            <w:r w:rsidRPr="008401A5">
              <w:rPr>
                <w:rStyle w:val="Guidance"/>
              </w:rPr>
              <w:t>contract liabilities</w:t>
            </w:r>
          </w:p>
          <w:p w14:paraId="506B831C" w14:textId="68A7A2AE" w:rsidR="003719CD" w:rsidRPr="00EB4044" w:rsidRDefault="003719CD" w:rsidP="00310F12">
            <w:pPr>
              <w:pStyle w:val="ListBullet"/>
              <w:rPr>
                <w:rStyle w:val="Guidance"/>
              </w:rPr>
            </w:pPr>
            <w:r w:rsidRPr="00EB4044">
              <w:rPr>
                <w:rStyle w:val="Guidance"/>
              </w:rPr>
              <w:t>liabilities held for sale</w:t>
            </w:r>
          </w:p>
          <w:p w14:paraId="4791AEA0" w14:textId="0218D97D" w:rsidR="003719CD" w:rsidRPr="00EB4044" w:rsidRDefault="003719CD" w:rsidP="00310F12">
            <w:pPr>
              <w:pStyle w:val="ListBullet"/>
              <w:rPr>
                <w:rStyle w:val="Guidance"/>
              </w:rPr>
            </w:pPr>
            <w:r w:rsidRPr="00EB4044">
              <w:rPr>
                <w:rStyle w:val="Guidance"/>
              </w:rPr>
              <w:t>current tax liabilities</w:t>
            </w:r>
          </w:p>
          <w:p w14:paraId="3AE507B8" w14:textId="0E5C2F95" w:rsidR="003719CD" w:rsidRPr="00EB4044" w:rsidRDefault="003719CD" w:rsidP="00310F12">
            <w:pPr>
              <w:pStyle w:val="ListBullet"/>
              <w:rPr>
                <w:rStyle w:val="Guidance"/>
              </w:rPr>
            </w:pPr>
            <w:r w:rsidRPr="00EB4044">
              <w:rPr>
                <w:rStyle w:val="Guidance"/>
              </w:rPr>
              <w:t>deferred tax liabilities</w:t>
            </w:r>
          </w:p>
          <w:p w14:paraId="7F65DE47" w14:textId="019A3031" w:rsidR="003719CD" w:rsidRPr="00EB4044" w:rsidRDefault="003719CD" w:rsidP="00310F12">
            <w:pPr>
              <w:pStyle w:val="ListBullet"/>
              <w:rPr>
                <w:rStyle w:val="Guidance"/>
              </w:rPr>
            </w:pPr>
            <w:r w:rsidRPr="00EB4044">
              <w:rPr>
                <w:rStyle w:val="Guidance"/>
              </w:rPr>
              <w:t>liabilities included in disposal groups classified as held for sale</w:t>
            </w:r>
          </w:p>
          <w:p w14:paraId="020D5217" w14:textId="13376FBE" w:rsidR="003719CD" w:rsidRPr="00EB4044" w:rsidRDefault="003719CD" w:rsidP="00310F12">
            <w:pPr>
              <w:pStyle w:val="ListBullet"/>
              <w:rPr>
                <w:rStyle w:val="Guidance"/>
              </w:rPr>
            </w:pPr>
            <w:r w:rsidRPr="00EB4044">
              <w:rPr>
                <w:rStyle w:val="Guidance"/>
              </w:rPr>
              <w:t>borrowings</w:t>
            </w:r>
          </w:p>
          <w:p w14:paraId="5412FF6A" w14:textId="2D547F19" w:rsidR="003719CD" w:rsidRPr="00EB4044" w:rsidRDefault="003719CD" w:rsidP="00310F12">
            <w:pPr>
              <w:pStyle w:val="ListBullet"/>
              <w:rPr>
                <w:rStyle w:val="Guidance"/>
              </w:rPr>
            </w:pPr>
            <w:r w:rsidRPr="00EB4044">
              <w:rPr>
                <w:rStyle w:val="Guidance"/>
              </w:rPr>
              <w:t>provisions</w:t>
            </w:r>
          </w:p>
        </w:tc>
      </w:tr>
    </w:tbl>
    <w:p w14:paraId="05E43C60" w14:textId="77777777" w:rsidR="003719CD" w:rsidRDefault="003719CD" w:rsidP="000F5E0B">
      <w:pPr>
        <w:pStyle w:val="GuidanceEnd"/>
      </w:pPr>
    </w:p>
    <w:p w14:paraId="1FECF53C" w14:textId="77777777" w:rsidR="003719CD" w:rsidRDefault="003719CD" w:rsidP="00DC39DE">
      <w:r>
        <w:t xml:space="preserve"> </w:t>
      </w:r>
    </w:p>
    <w:p w14:paraId="6088C7C6" w14:textId="597BC449" w:rsidR="003719CD" w:rsidRDefault="003719CD" w:rsidP="000F5E0B">
      <w:pPr>
        <w:pStyle w:val="Heading2"/>
        <w:pageBreakBefore/>
      </w:pPr>
      <w:bookmarkStart w:id="6" w:name="CashFlowStatement"/>
      <w:r>
        <w:lastRenderedPageBreak/>
        <w:t xml:space="preserve">Cash flow statement </w:t>
      </w:r>
      <w:r w:rsidRPr="000F5E0B">
        <w:rPr>
          <w:vertAlign w:val="superscript"/>
        </w:rPr>
        <w:t>(a)</w:t>
      </w:r>
    </w:p>
    <w:bookmarkEnd w:id="6"/>
    <w:p w14:paraId="7A64F3FB" w14:textId="3636BD73" w:rsidR="003719CD" w:rsidRDefault="003719CD" w:rsidP="007D536F">
      <w:pPr>
        <w:pStyle w:val="Caption"/>
      </w:pPr>
      <w:r>
        <w:t xml:space="preserve">For the financial year ended 30 June </w:t>
      </w:r>
      <w:fldSimple w:instr="DOCPROPERTY  YearCurrent  \* MERGEFORMAT">
        <w:r w:rsidR="00A545BA">
          <w:t>20X2</w:t>
        </w:r>
      </w:fldSimple>
      <w:r>
        <w:tab/>
        <w:t>($ thousand)</w:t>
      </w:r>
    </w:p>
    <w:tbl>
      <w:tblPr>
        <w:tblStyle w:val="DTFTable"/>
        <w:tblW w:w="9639" w:type="dxa"/>
        <w:tblLayout w:type="fixed"/>
        <w:tblLook w:val="0620" w:firstRow="1" w:lastRow="0" w:firstColumn="0" w:lastColumn="0" w:noHBand="1" w:noVBand="1"/>
      </w:tblPr>
      <w:tblGrid>
        <w:gridCol w:w="1927"/>
        <w:gridCol w:w="5161"/>
        <w:gridCol w:w="567"/>
        <w:gridCol w:w="992"/>
        <w:gridCol w:w="992"/>
      </w:tblGrid>
      <w:tr w:rsidR="00F605A9" w14:paraId="1FDC189D" w14:textId="77777777" w:rsidTr="007F096A">
        <w:trPr>
          <w:cnfStyle w:val="100000000000" w:firstRow="1" w:lastRow="0" w:firstColumn="0" w:lastColumn="0" w:oddVBand="0" w:evenVBand="0" w:oddHBand="0" w:evenHBand="0" w:firstRowFirstColumn="0" w:firstRowLastColumn="0" w:lastRowFirstColumn="0" w:lastRowLastColumn="0"/>
          <w:tblHeader/>
        </w:trPr>
        <w:tc>
          <w:tcPr>
            <w:tcW w:w="1927" w:type="dxa"/>
            <w:tcBorders>
              <w:top w:val="nil"/>
              <w:bottom w:val="nil"/>
            </w:tcBorders>
            <w:shd w:val="clear" w:color="auto" w:fill="FFFFFF" w:themeFill="background1"/>
          </w:tcPr>
          <w:p w14:paraId="68D5F133" w14:textId="77777777" w:rsidR="00F605A9" w:rsidRDefault="00F605A9" w:rsidP="00F605A9">
            <w:pPr>
              <w:keepNext/>
              <w:jc w:val="left"/>
            </w:pPr>
            <w:r>
              <w:rPr>
                <w:color w:val="4472C4"/>
                <w:sz w:val="13"/>
              </w:rPr>
              <w:t>Source reference</w:t>
            </w:r>
          </w:p>
        </w:tc>
        <w:tc>
          <w:tcPr>
            <w:tcW w:w="5161" w:type="dxa"/>
          </w:tcPr>
          <w:p w14:paraId="7293225E" w14:textId="77777777" w:rsidR="00F605A9" w:rsidRDefault="00F605A9" w:rsidP="00F605A9">
            <w:pPr>
              <w:keepNext/>
              <w:jc w:val="left"/>
            </w:pPr>
            <w:r>
              <w:t>For illustrative purposes only</w:t>
            </w:r>
          </w:p>
        </w:tc>
        <w:tc>
          <w:tcPr>
            <w:tcW w:w="567" w:type="dxa"/>
          </w:tcPr>
          <w:p w14:paraId="119A5F1F" w14:textId="77777777" w:rsidR="00F605A9" w:rsidRDefault="00F605A9" w:rsidP="00F605A9">
            <w:pPr>
              <w:keepNext/>
              <w:jc w:val="center"/>
            </w:pPr>
            <w:r>
              <w:t>Notes</w:t>
            </w:r>
          </w:p>
        </w:tc>
        <w:tc>
          <w:tcPr>
            <w:tcW w:w="992" w:type="dxa"/>
          </w:tcPr>
          <w:p w14:paraId="6A3FDC2F" w14:textId="523F8F9D" w:rsidR="00F605A9" w:rsidRDefault="00F605A9" w:rsidP="00F605A9">
            <w:pPr>
              <w:keepNext/>
            </w:pPr>
            <w:fldSimple w:instr="DOCPROPERTY  YearCurrent \* MERGEFORMAT">
              <w:r>
                <w:t>20X2</w:t>
              </w:r>
            </w:fldSimple>
          </w:p>
        </w:tc>
        <w:tc>
          <w:tcPr>
            <w:tcW w:w="992" w:type="dxa"/>
          </w:tcPr>
          <w:p w14:paraId="2EEEF28F" w14:textId="0F8FA502" w:rsidR="00F605A9" w:rsidRDefault="00F605A9" w:rsidP="00F605A9">
            <w:pPr>
              <w:keepNext/>
            </w:pPr>
            <w:fldSimple w:instr="DOCPROPERTY  YearPrevious \* MERGEFORMAT">
              <w:r>
                <w:t>20X1</w:t>
              </w:r>
            </w:fldSimple>
          </w:p>
        </w:tc>
      </w:tr>
      <w:tr w:rsidR="00182709" w14:paraId="7B7DD112" w14:textId="77777777" w:rsidTr="007F096A">
        <w:tc>
          <w:tcPr>
            <w:tcW w:w="1927" w:type="dxa"/>
          </w:tcPr>
          <w:p w14:paraId="59A90F82" w14:textId="77777777" w:rsidR="00182709" w:rsidRDefault="0044097C">
            <w:pPr>
              <w:jc w:val="left"/>
            </w:pPr>
            <w:r>
              <w:rPr>
                <w:color w:val="4472C4"/>
                <w:sz w:val="13"/>
              </w:rPr>
              <w:t>AASB 107.10</w:t>
            </w:r>
          </w:p>
        </w:tc>
        <w:tc>
          <w:tcPr>
            <w:tcW w:w="5161" w:type="dxa"/>
          </w:tcPr>
          <w:p w14:paraId="45C4CB36" w14:textId="77777777" w:rsidR="00182709" w:rsidRDefault="0044097C">
            <w:pPr>
              <w:jc w:val="left"/>
            </w:pPr>
            <w:r>
              <w:rPr>
                <w:b/>
              </w:rPr>
              <w:t>Cash flows from operating activities</w:t>
            </w:r>
          </w:p>
        </w:tc>
        <w:tc>
          <w:tcPr>
            <w:tcW w:w="567" w:type="dxa"/>
          </w:tcPr>
          <w:p w14:paraId="29B4C06B" w14:textId="77777777" w:rsidR="00182709" w:rsidRDefault="00182709">
            <w:pPr>
              <w:jc w:val="center"/>
            </w:pPr>
          </w:p>
        </w:tc>
        <w:tc>
          <w:tcPr>
            <w:tcW w:w="992" w:type="dxa"/>
          </w:tcPr>
          <w:p w14:paraId="16468EA2" w14:textId="77777777" w:rsidR="00182709" w:rsidRDefault="00182709"/>
        </w:tc>
        <w:tc>
          <w:tcPr>
            <w:tcW w:w="992" w:type="dxa"/>
          </w:tcPr>
          <w:p w14:paraId="2BDA9473" w14:textId="77777777" w:rsidR="00182709" w:rsidRDefault="00182709"/>
        </w:tc>
      </w:tr>
      <w:tr w:rsidR="00182709" w14:paraId="23C61712" w14:textId="77777777" w:rsidTr="007F096A">
        <w:tc>
          <w:tcPr>
            <w:tcW w:w="1927" w:type="dxa"/>
          </w:tcPr>
          <w:p w14:paraId="24CAA2D1" w14:textId="77777777" w:rsidR="00182709" w:rsidRDefault="00182709">
            <w:pPr>
              <w:jc w:val="left"/>
            </w:pPr>
          </w:p>
        </w:tc>
        <w:tc>
          <w:tcPr>
            <w:tcW w:w="5161" w:type="dxa"/>
          </w:tcPr>
          <w:p w14:paraId="0CD4E865" w14:textId="77777777" w:rsidR="00182709" w:rsidRDefault="0044097C">
            <w:pPr>
              <w:jc w:val="left"/>
            </w:pPr>
            <w:r>
              <w:rPr>
                <w:b/>
              </w:rPr>
              <w:t>Receipts</w:t>
            </w:r>
          </w:p>
        </w:tc>
        <w:tc>
          <w:tcPr>
            <w:tcW w:w="567" w:type="dxa"/>
          </w:tcPr>
          <w:p w14:paraId="5EE43492" w14:textId="77777777" w:rsidR="00182709" w:rsidRDefault="00182709">
            <w:pPr>
              <w:jc w:val="center"/>
            </w:pPr>
          </w:p>
        </w:tc>
        <w:tc>
          <w:tcPr>
            <w:tcW w:w="992" w:type="dxa"/>
          </w:tcPr>
          <w:p w14:paraId="73C1A29F" w14:textId="77777777" w:rsidR="00182709" w:rsidRDefault="00182709"/>
        </w:tc>
        <w:tc>
          <w:tcPr>
            <w:tcW w:w="992" w:type="dxa"/>
          </w:tcPr>
          <w:p w14:paraId="6688A8F1" w14:textId="77777777" w:rsidR="00182709" w:rsidRDefault="00182709"/>
        </w:tc>
      </w:tr>
      <w:tr w:rsidR="00182709" w14:paraId="3E50B317" w14:textId="77777777" w:rsidTr="007F096A">
        <w:tc>
          <w:tcPr>
            <w:tcW w:w="1927" w:type="dxa"/>
          </w:tcPr>
          <w:p w14:paraId="016FC823" w14:textId="77777777" w:rsidR="00182709" w:rsidRDefault="00182709">
            <w:pPr>
              <w:jc w:val="left"/>
            </w:pPr>
          </w:p>
        </w:tc>
        <w:tc>
          <w:tcPr>
            <w:tcW w:w="5161" w:type="dxa"/>
          </w:tcPr>
          <w:p w14:paraId="385D9BD7" w14:textId="77777777" w:rsidR="00182709" w:rsidRDefault="0044097C">
            <w:pPr>
              <w:jc w:val="left"/>
            </w:pPr>
            <w:r>
              <w:t>Receipts from government</w:t>
            </w:r>
          </w:p>
        </w:tc>
        <w:tc>
          <w:tcPr>
            <w:tcW w:w="567" w:type="dxa"/>
          </w:tcPr>
          <w:p w14:paraId="7A3058A0" w14:textId="77777777" w:rsidR="00182709" w:rsidRDefault="00182709">
            <w:pPr>
              <w:jc w:val="center"/>
            </w:pPr>
          </w:p>
        </w:tc>
        <w:tc>
          <w:tcPr>
            <w:tcW w:w="992" w:type="dxa"/>
          </w:tcPr>
          <w:p w14:paraId="2BC4EF68" w14:textId="1E7F26C3" w:rsidR="00182709" w:rsidRDefault="00F5601A">
            <w:r>
              <w:t>7</w:t>
            </w:r>
            <w:r w:rsidR="00F16E27">
              <w:t>8</w:t>
            </w:r>
            <w:r>
              <w:t xml:space="preserve"> </w:t>
            </w:r>
            <w:r w:rsidR="00F16E27">
              <w:t>088</w:t>
            </w:r>
          </w:p>
        </w:tc>
        <w:tc>
          <w:tcPr>
            <w:tcW w:w="992" w:type="dxa"/>
          </w:tcPr>
          <w:p w14:paraId="3D21373B" w14:textId="5DEAFF56" w:rsidR="00182709" w:rsidRDefault="00F5601A">
            <w:r>
              <w:t>1</w:t>
            </w:r>
            <w:r w:rsidR="00F16E27">
              <w:t>06</w:t>
            </w:r>
            <w:r w:rsidR="0044097C">
              <w:t xml:space="preserve"> </w:t>
            </w:r>
            <w:r w:rsidR="00F16E27">
              <w:t>903</w:t>
            </w:r>
          </w:p>
        </w:tc>
      </w:tr>
      <w:tr w:rsidR="00182709" w14:paraId="44B17307" w14:textId="77777777" w:rsidTr="007F096A">
        <w:tc>
          <w:tcPr>
            <w:tcW w:w="1927" w:type="dxa"/>
          </w:tcPr>
          <w:p w14:paraId="38F35F55" w14:textId="77777777" w:rsidR="00182709" w:rsidRDefault="00182709">
            <w:pPr>
              <w:jc w:val="left"/>
            </w:pPr>
          </w:p>
        </w:tc>
        <w:tc>
          <w:tcPr>
            <w:tcW w:w="5161" w:type="dxa"/>
          </w:tcPr>
          <w:p w14:paraId="6B9D21E2" w14:textId="77777777" w:rsidR="00182709" w:rsidRDefault="0044097C">
            <w:pPr>
              <w:jc w:val="left"/>
            </w:pPr>
            <w:r>
              <w:t>Receipts from other entities</w:t>
            </w:r>
          </w:p>
        </w:tc>
        <w:tc>
          <w:tcPr>
            <w:tcW w:w="567" w:type="dxa"/>
          </w:tcPr>
          <w:p w14:paraId="0629CB6C" w14:textId="77777777" w:rsidR="00182709" w:rsidRDefault="00182709">
            <w:pPr>
              <w:jc w:val="center"/>
            </w:pPr>
          </w:p>
        </w:tc>
        <w:tc>
          <w:tcPr>
            <w:tcW w:w="992" w:type="dxa"/>
          </w:tcPr>
          <w:p w14:paraId="0C6DAC81" w14:textId="77777777" w:rsidR="00182709" w:rsidRDefault="0044097C">
            <w:r>
              <w:t>5 536</w:t>
            </w:r>
          </w:p>
        </w:tc>
        <w:tc>
          <w:tcPr>
            <w:tcW w:w="992" w:type="dxa"/>
          </w:tcPr>
          <w:p w14:paraId="667F822A" w14:textId="77777777" w:rsidR="00182709" w:rsidRDefault="0044097C">
            <w:r>
              <w:t>4 373</w:t>
            </w:r>
          </w:p>
        </w:tc>
      </w:tr>
      <w:tr w:rsidR="00182709" w14:paraId="35F64AC6" w14:textId="77777777" w:rsidTr="007F096A">
        <w:tc>
          <w:tcPr>
            <w:tcW w:w="1927" w:type="dxa"/>
          </w:tcPr>
          <w:p w14:paraId="6696B15A" w14:textId="77777777" w:rsidR="00182709" w:rsidRDefault="0044097C">
            <w:pPr>
              <w:jc w:val="left"/>
            </w:pPr>
            <w:r>
              <w:rPr>
                <w:color w:val="4472C4"/>
                <w:sz w:val="13"/>
              </w:rPr>
              <w:t>AASB 107.31</w:t>
            </w:r>
          </w:p>
        </w:tc>
        <w:tc>
          <w:tcPr>
            <w:tcW w:w="5161" w:type="dxa"/>
          </w:tcPr>
          <w:p w14:paraId="3E1EB36B" w14:textId="77777777" w:rsidR="00182709" w:rsidRDefault="0044097C">
            <w:pPr>
              <w:jc w:val="left"/>
            </w:pPr>
            <w:r>
              <w:t>Interest received</w:t>
            </w:r>
          </w:p>
        </w:tc>
        <w:tc>
          <w:tcPr>
            <w:tcW w:w="567" w:type="dxa"/>
          </w:tcPr>
          <w:p w14:paraId="3AD5F506" w14:textId="77777777" w:rsidR="00182709" w:rsidRDefault="00182709">
            <w:pPr>
              <w:jc w:val="center"/>
            </w:pPr>
          </w:p>
        </w:tc>
        <w:tc>
          <w:tcPr>
            <w:tcW w:w="992" w:type="dxa"/>
          </w:tcPr>
          <w:p w14:paraId="3D25C943" w14:textId="77777777" w:rsidR="00182709" w:rsidRDefault="0044097C">
            <w:r>
              <w:t>1 749</w:t>
            </w:r>
          </w:p>
        </w:tc>
        <w:tc>
          <w:tcPr>
            <w:tcW w:w="992" w:type="dxa"/>
          </w:tcPr>
          <w:p w14:paraId="6DA6E043" w14:textId="77777777" w:rsidR="00182709" w:rsidRDefault="0044097C">
            <w:r>
              <w:t>1 606</w:t>
            </w:r>
          </w:p>
        </w:tc>
      </w:tr>
      <w:tr w:rsidR="00182709" w14:paraId="33B36150" w14:textId="77777777" w:rsidTr="007F096A">
        <w:tc>
          <w:tcPr>
            <w:tcW w:w="1927" w:type="dxa"/>
          </w:tcPr>
          <w:p w14:paraId="449F5F14" w14:textId="77777777" w:rsidR="00182709" w:rsidRDefault="0044097C">
            <w:pPr>
              <w:jc w:val="left"/>
            </w:pPr>
            <w:r>
              <w:rPr>
                <w:color w:val="4472C4"/>
                <w:sz w:val="13"/>
              </w:rPr>
              <w:t>AASB 107.31</w:t>
            </w:r>
          </w:p>
        </w:tc>
        <w:tc>
          <w:tcPr>
            <w:tcW w:w="5161" w:type="dxa"/>
          </w:tcPr>
          <w:p w14:paraId="310F513E" w14:textId="77777777" w:rsidR="00182709" w:rsidRDefault="0044097C">
            <w:pPr>
              <w:jc w:val="left"/>
            </w:pPr>
            <w:r>
              <w:t xml:space="preserve">Dividends received </w:t>
            </w:r>
            <w:r>
              <w:rPr>
                <w:vertAlign w:val="superscript"/>
              </w:rPr>
              <w:t>(b)</w:t>
            </w:r>
          </w:p>
        </w:tc>
        <w:tc>
          <w:tcPr>
            <w:tcW w:w="567" w:type="dxa"/>
          </w:tcPr>
          <w:p w14:paraId="33AC7C3C" w14:textId="77777777" w:rsidR="00182709" w:rsidRDefault="00182709">
            <w:pPr>
              <w:jc w:val="center"/>
            </w:pPr>
          </w:p>
        </w:tc>
        <w:tc>
          <w:tcPr>
            <w:tcW w:w="992" w:type="dxa"/>
          </w:tcPr>
          <w:p w14:paraId="7B26D2EC" w14:textId="77777777" w:rsidR="00182709" w:rsidRDefault="0044097C">
            <w:r>
              <w:t>1 698</w:t>
            </w:r>
          </w:p>
        </w:tc>
        <w:tc>
          <w:tcPr>
            <w:tcW w:w="992" w:type="dxa"/>
          </w:tcPr>
          <w:p w14:paraId="1B76B2BB" w14:textId="77777777" w:rsidR="00182709" w:rsidRDefault="0044097C">
            <w:r>
              <w:t>1 611</w:t>
            </w:r>
          </w:p>
        </w:tc>
      </w:tr>
      <w:tr w:rsidR="00182709" w14:paraId="5467E90B" w14:textId="77777777" w:rsidTr="007F096A">
        <w:tc>
          <w:tcPr>
            <w:tcW w:w="1927" w:type="dxa"/>
          </w:tcPr>
          <w:p w14:paraId="03A90871" w14:textId="77777777" w:rsidR="00182709" w:rsidRDefault="00182709">
            <w:pPr>
              <w:jc w:val="left"/>
            </w:pPr>
          </w:p>
        </w:tc>
        <w:tc>
          <w:tcPr>
            <w:tcW w:w="5161" w:type="dxa"/>
            <w:tcBorders>
              <w:bottom w:val="single" w:sz="12" w:space="0" w:color="auto"/>
            </w:tcBorders>
          </w:tcPr>
          <w:p w14:paraId="06B58A61" w14:textId="77777777" w:rsidR="00182709" w:rsidRDefault="0044097C">
            <w:pPr>
              <w:jc w:val="left"/>
            </w:pPr>
            <w:r>
              <w:t>Other receipts</w:t>
            </w:r>
          </w:p>
        </w:tc>
        <w:tc>
          <w:tcPr>
            <w:tcW w:w="567" w:type="dxa"/>
            <w:tcBorders>
              <w:bottom w:val="single" w:sz="12" w:space="0" w:color="auto"/>
            </w:tcBorders>
          </w:tcPr>
          <w:p w14:paraId="7D8A6EF8" w14:textId="77777777" w:rsidR="00182709" w:rsidRDefault="00182709">
            <w:pPr>
              <w:jc w:val="center"/>
            </w:pPr>
          </w:p>
        </w:tc>
        <w:tc>
          <w:tcPr>
            <w:tcW w:w="992" w:type="dxa"/>
            <w:tcBorders>
              <w:bottom w:val="single" w:sz="12" w:space="0" w:color="auto"/>
            </w:tcBorders>
          </w:tcPr>
          <w:p w14:paraId="42D02817" w14:textId="77777777" w:rsidR="00182709" w:rsidRDefault="0044097C">
            <w:r>
              <w:t>516</w:t>
            </w:r>
          </w:p>
        </w:tc>
        <w:tc>
          <w:tcPr>
            <w:tcW w:w="992" w:type="dxa"/>
            <w:tcBorders>
              <w:bottom w:val="single" w:sz="12" w:space="0" w:color="auto"/>
            </w:tcBorders>
          </w:tcPr>
          <w:p w14:paraId="469EC7E8" w14:textId="77777777" w:rsidR="00182709" w:rsidRDefault="0044097C">
            <w:r>
              <w:t>262</w:t>
            </w:r>
          </w:p>
        </w:tc>
      </w:tr>
      <w:tr w:rsidR="00671D55" w14:paraId="6A1F7C41" w14:textId="77777777" w:rsidTr="007F096A">
        <w:tc>
          <w:tcPr>
            <w:tcW w:w="1927" w:type="dxa"/>
          </w:tcPr>
          <w:p w14:paraId="31643C10" w14:textId="77777777" w:rsidR="00182709" w:rsidRDefault="00182709">
            <w:pPr>
              <w:jc w:val="left"/>
            </w:pPr>
          </w:p>
        </w:tc>
        <w:tc>
          <w:tcPr>
            <w:tcW w:w="5161" w:type="dxa"/>
          </w:tcPr>
          <w:p w14:paraId="6D610F52" w14:textId="77777777" w:rsidR="00182709" w:rsidRDefault="0044097C">
            <w:pPr>
              <w:jc w:val="left"/>
            </w:pPr>
            <w:r>
              <w:rPr>
                <w:b/>
              </w:rPr>
              <w:t>Total receipts</w:t>
            </w:r>
          </w:p>
        </w:tc>
        <w:tc>
          <w:tcPr>
            <w:tcW w:w="567" w:type="dxa"/>
          </w:tcPr>
          <w:p w14:paraId="3F95B101" w14:textId="77777777" w:rsidR="00182709" w:rsidRDefault="00182709">
            <w:pPr>
              <w:jc w:val="center"/>
            </w:pPr>
          </w:p>
        </w:tc>
        <w:tc>
          <w:tcPr>
            <w:tcW w:w="992" w:type="dxa"/>
          </w:tcPr>
          <w:p w14:paraId="6CB442B6" w14:textId="455BF359" w:rsidR="00182709" w:rsidRDefault="0044097C">
            <w:r>
              <w:rPr>
                <w:b/>
              </w:rPr>
              <w:t>8</w:t>
            </w:r>
            <w:r w:rsidR="00F16E27">
              <w:rPr>
                <w:b/>
              </w:rPr>
              <w:t>7</w:t>
            </w:r>
            <w:r>
              <w:rPr>
                <w:b/>
              </w:rPr>
              <w:t xml:space="preserve"> </w:t>
            </w:r>
            <w:r w:rsidR="00F16E27">
              <w:rPr>
                <w:b/>
              </w:rPr>
              <w:t>587</w:t>
            </w:r>
          </w:p>
        </w:tc>
        <w:tc>
          <w:tcPr>
            <w:tcW w:w="992" w:type="dxa"/>
          </w:tcPr>
          <w:p w14:paraId="5A7027AB" w14:textId="7C079C60" w:rsidR="00182709" w:rsidRDefault="0044097C">
            <w:r>
              <w:rPr>
                <w:b/>
              </w:rPr>
              <w:t>11</w:t>
            </w:r>
            <w:r w:rsidR="00F16E27">
              <w:rPr>
                <w:b/>
              </w:rPr>
              <w:t>4</w:t>
            </w:r>
            <w:r>
              <w:rPr>
                <w:b/>
              </w:rPr>
              <w:t xml:space="preserve"> </w:t>
            </w:r>
            <w:r w:rsidR="00F16E27">
              <w:rPr>
                <w:b/>
              </w:rPr>
              <w:t>755</w:t>
            </w:r>
          </w:p>
        </w:tc>
      </w:tr>
      <w:tr w:rsidR="00182709" w14:paraId="330306BE" w14:textId="77777777" w:rsidTr="007F096A">
        <w:tc>
          <w:tcPr>
            <w:tcW w:w="1927" w:type="dxa"/>
          </w:tcPr>
          <w:p w14:paraId="162940F9" w14:textId="77777777" w:rsidR="00182709" w:rsidRDefault="00182709">
            <w:pPr>
              <w:jc w:val="left"/>
            </w:pPr>
          </w:p>
        </w:tc>
        <w:tc>
          <w:tcPr>
            <w:tcW w:w="5161" w:type="dxa"/>
          </w:tcPr>
          <w:p w14:paraId="47AE4E46" w14:textId="77777777" w:rsidR="00182709" w:rsidRDefault="0044097C">
            <w:pPr>
              <w:jc w:val="left"/>
            </w:pPr>
            <w:r>
              <w:rPr>
                <w:b/>
              </w:rPr>
              <w:t>Payments</w:t>
            </w:r>
          </w:p>
        </w:tc>
        <w:tc>
          <w:tcPr>
            <w:tcW w:w="567" w:type="dxa"/>
          </w:tcPr>
          <w:p w14:paraId="04FDA7A7" w14:textId="77777777" w:rsidR="00182709" w:rsidRDefault="00182709">
            <w:pPr>
              <w:jc w:val="center"/>
            </w:pPr>
          </w:p>
        </w:tc>
        <w:tc>
          <w:tcPr>
            <w:tcW w:w="992" w:type="dxa"/>
          </w:tcPr>
          <w:p w14:paraId="12156B71" w14:textId="77777777" w:rsidR="00182709" w:rsidRDefault="00182709"/>
        </w:tc>
        <w:tc>
          <w:tcPr>
            <w:tcW w:w="992" w:type="dxa"/>
          </w:tcPr>
          <w:p w14:paraId="5AC78340" w14:textId="77777777" w:rsidR="00182709" w:rsidRDefault="00182709"/>
        </w:tc>
      </w:tr>
      <w:tr w:rsidR="00182709" w14:paraId="7E2EFFB5" w14:textId="77777777" w:rsidTr="007F096A">
        <w:tc>
          <w:tcPr>
            <w:tcW w:w="1927" w:type="dxa"/>
          </w:tcPr>
          <w:p w14:paraId="16266E5C" w14:textId="77777777" w:rsidR="00182709" w:rsidRDefault="00182709">
            <w:pPr>
              <w:jc w:val="left"/>
            </w:pPr>
          </w:p>
        </w:tc>
        <w:tc>
          <w:tcPr>
            <w:tcW w:w="5161" w:type="dxa"/>
          </w:tcPr>
          <w:p w14:paraId="5B646FE6" w14:textId="77777777" w:rsidR="00182709" w:rsidRDefault="0044097C">
            <w:pPr>
              <w:jc w:val="left"/>
            </w:pPr>
            <w:r>
              <w:t>Payments of grant expenses</w:t>
            </w:r>
          </w:p>
        </w:tc>
        <w:tc>
          <w:tcPr>
            <w:tcW w:w="567" w:type="dxa"/>
          </w:tcPr>
          <w:p w14:paraId="3725B867" w14:textId="77777777" w:rsidR="00182709" w:rsidRDefault="00182709">
            <w:pPr>
              <w:jc w:val="center"/>
            </w:pPr>
          </w:p>
        </w:tc>
        <w:tc>
          <w:tcPr>
            <w:tcW w:w="992" w:type="dxa"/>
          </w:tcPr>
          <w:p w14:paraId="3D2005D5" w14:textId="77777777" w:rsidR="00182709" w:rsidRDefault="0044097C">
            <w:r>
              <w:t>(36 227)</w:t>
            </w:r>
          </w:p>
        </w:tc>
        <w:tc>
          <w:tcPr>
            <w:tcW w:w="992" w:type="dxa"/>
          </w:tcPr>
          <w:p w14:paraId="108CA1FC" w14:textId="77777777" w:rsidR="00182709" w:rsidRDefault="0044097C">
            <w:r>
              <w:t>(47 011)</w:t>
            </w:r>
          </w:p>
        </w:tc>
      </w:tr>
      <w:tr w:rsidR="00182709" w14:paraId="33453DC3" w14:textId="77777777" w:rsidTr="007F096A">
        <w:tc>
          <w:tcPr>
            <w:tcW w:w="1927" w:type="dxa"/>
          </w:tcPr>
          <w:p w14:paraId="6C14C7AD" w14:textId="77777777" w:rsidR="00182709" w:rsidRDefault="0044097C">
            <w:pPr>
              <w:jc w:val="left"/>
            </w:pPr>
            <w:r>
              <w:rPr>
                <w:color w:val="4472C4"/>
                <w:sz w:val="13"/>
              </w:rPr>
              <w:t>AASB 101.14 (c)(d)</w:t>
            </w:r>
          </w:p>
        </w:tc>
        <w:tc>
          <w:tcPr>
            <w:tcW w:w="5161" w:type="dxa"/>
          </w:tcPr>
          <w:p w14:paraId="743D1AAD" w14:textId="77777777" w:rsidR="00182709" w:rsidRDefault="0044097C">
            <w:pPr>
              <w:jc w:val="left"/>
            </w:pPr>
            <w:r>
              <w:t>Payments to suppliers and employees</w:t>
            </w:r>
          </w:p>
        </w:tc>
        <w:tc>
          <w:tcPr>
            <w:tcW w:w="567" w:type="dxa"/>
          </w:tcPr>
          <w:p w14:paraId="67354F2A" w14:textId="77777777" w:rsidR="00182709" w:rsidRDefault="00182709">
            <w:pPr>
              <w:jc w:val="center"/>
            </w:pPr>
          </w:p>
        </w:tc>
        <w:tc>
          <w:tcPr>
            <w:tcW w:w="992" w:type="dxa"/>
          </w:tcPr>
          <w:p w14:paraId="032AE2E4" w14:textId="77777777" w:rsidR="00182709" w:rsidRDefault="0044097C">
            <w:r>
              <w:t>(23 479)</w:t>
            </w:r>
          </w:p>
        </w:tc>
        <w:tc>
          <w:tcPr>
            <w:tcW w:w="992" w:type="dxa"/>
          </w:tcPr>
          <w:p w14:paraId="1F4EF622" w14:textId="77777777" w:rsidR="00182709" w:rsidRDefault="0044097C">
            <w:r>
              <w:t>(19 792)</w:t>
            </w:r>
          </w:p>
        </w:tc>
      </w:tr>
      <w:tr w:rsidR="00182709" w14:paraId="7F5A1F9D" w14:textId="77777777" w:rsidTr="007F096A">
        <w:tc>
          <w:tcPr>
            <w:tcW w:w="1927" w:type="dxa"/>
          </w:tcPr>
          <w:p w14:paraId="025F304B" w14:textId="79E6BA7B" w:rsidR="00182709" w:rsidRDefault="0044097C">
            <w:pPr>
              <w:jc w:val="left"/>
            </w:pPr>
            <w:r>
              <w:rPr>
                <w:color w:val="4472C4"/>
                <w:sz w:val="13"/>
              </w:rPr>
              <w:t>Interpretation 1031.11</w:t>
            </w:r>
          </w:p>
        </w:tc>
        <w:tc>
          <w:tcPr>
            <w:tcW w:w="5161" w:type="dxa"/>
          </w:tcPr>
          <w:p w14:paraId="18CC678B" w14:textId="77777777" w:rsidR="00182709" w:rsidRDefault="0044097C">
            <w:pPr>
              <w:jc w:val="left"/>
            </w:pPr>
            <w:r>
              <w:t xml:space="preserve">Goods and services tax paid to the ATO </w:t>
            </w:r>
            <w:r>
              <w:rPr>
                <w:vertAlign w:val="superscript"/>
              </w:rPr>
              <w:t>(c)</w:t>
            </w:r>
          </w:p>
        </w:tc>
        <w:tc>
          <w:tcPr>
            <w:tcW w:w="567" w:type="dxa"/>
          </w:tcPr>
          <w:p w14:paraId="74ACFF1C" w14:textId="77777777" w:rsidR="00182709" w:rsidRDefault="00182709">
            <w:pPr>
              <w:jc w:val="center"/>
            </w:pPr>
          </w:p>
        </w:tc>
        <w:tc>
          <w:tcPr>
            <w:tcW w:w="992" w:type="dxa"/>
          </w:tcPr>
          <w:p w14:paraId="2BC3CE2F" w14:textId="77777777" w:rsidR="00182709" w:rsidRDefault="0044097C">
            <w:r>
              <w:t>(3 055)</w:t>
            </w:r>
          </w:p>
        </w:tc>
        <w:tc>
          <w:tcPr>
            <w:tcW w:w="992" w:type="dxa"/>
          </w:tcPr>
          <w:p w14:paraId="11C9A20A" w14:textId="77777777" w:rsidR="00182709" w:rsidRDefault="0044097C">
            <w:r>
              <w:t>(3 497)</w:t>
            </w:r>
          </w:p>
        </w:tc>
      </w:tr>
      <w:tr w:rsidR="00182709" w14:paraId="677080C6" w14:textId="77777777" w:rsidTr="007F096A">
        <w:tc>
          <w:tcPr>
            <w:tcW w:w="1927" w:type="dxa"/>
          </w:tcPr>
          <w:p w14:paraId="432E4961" w14:textId="77777777" w:rsidR="00182709" w:rsidRDefault="0044097C">
            <w:pPr>
              <w:jc w:val="left"/>
            </w:pPr>
            <w:r>
              <w:rPr>
                <w:color w:val="4472C4"/>
                <w:sz w:val="13"/>
              </w:rPr>
              <w:t>AASB 107.31</w:t>
            </w:r>
          </w:p>
        </w:tc>
        <w:tc>
          <w:tcPr>
            <w:tcW w:w="5161" w:type="dxa"/>
          </w:tcPr>
          <w:p w14:paraId="61C1D558" w14:textId="77777777" w:rsidR="00182709" w:rsidRDefault="0044097C">
            <w:pPr>
              <w:jc w:val="left"/>
            </w:pPr>
            <w:r>
              <w:t>Interest and other costs of finance paid</w:t>
            </w:r>
          </w:p>
        </w:tc>
        <w:tc>
          <w:tcPr>
            <w:tcW w:w="567" w:type="dxa"/>
          </w:tcPr>
          <w:p w14:paraId="64227944" w14:textId="77777777" w:rsidR="00182709" w:rsidRDefault="00182709">
            <w:pPr>
              <w:jc w:val="center"/>
            </w:pPr>
          </w:p>
        </w:tc>
        <w:tc>
          <w:tcPr>
            <w:tcW w:w="992" w:type="dxa"/>
          </w:tcPr>
          <w:p w14:paraId="19931FEA" w14:textId="77777777" w:rsidR="00182709" w:rsidRDefault="0044097C">
            <w:r>
              <w:t>(6 609)</w:t>
            </w:r>
          </w:p>
        </w:tc>
        <w:tc>
          <w:tcPr>
            <w:tcW w:w="992" w:type="dxa"/>
          </w:tcPr>
          <w:p w14:paraId="3C3C114D" w14:textId="77777777" w:rsidR="00182709" w:rsidRDefault="0044097C">
            <w:r>
              <w:t>(4 507)</w:t>
            </w:r>
          </w:p>
        </w:tc>
      </w:tr>
      <w:tr w:rsidR="00182709" w14:paraId="54318B81" w14:textId="77777777" w:rsidTr="007F096A">
        <w:tc>
          <w:tcPr>
            <w:tcW w:w="1927" w:type="dxa"/>
          </w:tcPr>
          <w:p w14:paraId="620928E9" w14:textId="77777777" w:rsidR="00182709" w:rsidRDefault="00182709">
            <w:pPr>
              <w:jc w:val="left"/>
            </w:pPr>
          </w:p>
        </w:tc>
        <w:tc>
          <w:tcPr>
            <w:tcW w:w="5161" w:type="dxa"/>
            <w:tcBorders>
              <w:bottom w:val="single" w:sz="12" w:space="0" w:color="auto"/>
            </w:tcBorders>
          </w:tcPr>
          <w:p w14:paraId="14734B96" w14:textId="77777777" w:rsidR="00182709" w:rsidRDefault="0044097C">
            <w:pPr>
              <w:jc w:val="left"/>
            </w:pPr>
            <w:r>
              <w:t>Other payments</w:t>
            </w:r>
          </w:p>
        </w:tc>
        <w:tc>
          <w:tcPr>
            <w:tcW w:w="567" w:type="dxa"/>
            <w:tcBorders>
              <w:bottom w:val="single" w:sz="12" w:space="0" w:color="auto"/>
            </w:tcBorders>
          </w:tcPr>
          <w:p w14:paraId="26278446" w14:textId="77777777" w:rsidR="00182709" w:rsidRDefault="00182709">
            <w:pPr>
              <w:jc w:val="center"/>
            </w:pPr>
          </w:p>
        </w:tc>
        <w:tc>
          <w:tcPr>
            <w:tcW w:w="992" w:type="dxa"/>
            <w:tcBorders>
              <w:bottom w:val="single" w:sz="12" w:space="0" w:color="auto"/>
            </w:tcBorders>
          </w:tcPr>
          <w:p w14:paraId="550A2F8B" w14:textId="6986BC40" w:rsidR="00182709" w:rsidRDefault="0044097C">
            <w:r>
              <w:t>(</w:t>
            </w:r>
            <w:r w:rsidR="00967CE0">
              <w:t>6</w:t>
            </w:r>
            <w:r w:rsidR="006A3660">
              <w:t xml:space="preserve"> </w:t>
            </w:r>
            <w:r w:rsidR="00967CE0">
              <w:t>382</w:t>
            </w:r>
            <w:r>
              <w:t>)</w:t>
            </w:r>
          </w:p>
        </w:tc>
        <w:tc>
          <w:tcPr>
            <w:tcW w:w="992" w:type="dxa"/>
            <w:tcBorders>
              <w:bottom w:val="single" w:sz="12" w:space="0" w:color="auto"/>
            </w:tcBorders>
          </w:tcPr>
          <w:p w14:paraId="02CED798" w14:textId="70F0D8E2" w:rsidR="00182709" w:rsidRDefault="0044097C">
            <w:r>
              <w:t>(</w:t>
            </w:r>
            <w:r w:rsidR="00967CE0">
              <w:t>3 200</w:t>
            </w:r>
            <w:r>
              <w:t>)</w:t>
            </w:r>
          </w:p>
        </w:tc>
      </w:tr>
      <w:tr w:rsidR="00671D55" w14:paraId="6451902B" w14:textId="77777777" w:rsidTr="007F096A">
        <w:tc>
          <w:tcPr>
            <w:tcW w:w="1927" w:type="dxa"/>
          </w:tcPr>
          <w:p w14:paraId="0BC1B0EE" w14:textId="77777777" w:rsidR="00182709" w:rsidRDefault="00182709">
            <w:pPr>
              <w:jc w:val="left"/>
            </w:pPr>
          </w:p>
        </w:tc>
        <w:tc>
          <w:tcPr>
            <w:tcW w:w="5161" w:type="dxa"/>
          </w:tcPr>
          <w:p w14:paraId="20AD5582" w14:textId="77777777" w:rsidR="00182709" w:rsidRDefault="0044097C">
            <w:pPr>
              <w:jc w:val="left"/>
            </w:pPr>
            <w:r>
              <w:rPr>
                <w:b/>
              </w:rPr>
              <w:t>Total payments</w:t>
            </w:r>
          </w:p>
        </w:tc>
        <w:tc>
          <w:tcPr>
            <w:tcW w:w="567" w:type="dxa"/>
          </w:tcPr>
          <w:p w14:paraId="34B614CC" w14:textId="77777777" w:rsidR="00182709" w:rsidRDefault="00182709">
            <w:pPr>
              <w:jc w:val="center"/>
            </w:pPr>
          </w:p>
        </w:tc>
        <w:tc>
          <w:tcPr>
            <w:tcW w:w="992" w:type="dxa"/>
          </w:tcPr>
          <w:p w14:paraId="4848B545" w14:textId="15A77472" w:rsidR="00182709" w:rsidRDefault="0044097C">
            <w:r>
              <w:rPr>
                <w:b/>
              </w:rPr>
              <w:t>(</w:t>
            </w:r>
            <w:r w:rsidR="00967CE0">
              <w:rPr>
                <w:b/>
              </w:rPr>
              <w:t>75 752</w:t>
            </w:r>
            <w:r>
              <w:rPr>
                <w:b/>
              </w:rPr>
              <w:t>)</w:t>
            </w:r>
          </w:p>
        </w:tc>
        <w:tc>
          <w:tcPr>
            <w:tcW w:w="992" w:type="dxa"/>
          </w:tcPr>
          <w:p w14:paraId="285EE5C5" w14:textId="542B0025" w:rsidR="00182709" w:rsidRDefault="0044097C">
            <w:r>
              <w:rPr>
                <w:b/>
              </w:rPr>
              <w:t xml:space="preserve">(78 </w:t>
            </w:r>
            <w:r w:rsidR="00967CE0">
              <w:rPr>
                <w:b/>
              </w:rPr>
              <w:t>007</w:t>
            </w:r>
            <w:r>
              <w:rPr>
                <w:b/>
              </w:rPr>
              <w:t>)</w:t>
            </w:r>
          </w:p>
        </w:tc>
      </w:tr>
      <w:tr w:rsidR="00671D55" w14:paraId="3E8D96A3" w14:textId="77777777" w:rsidTr="007F096A">
        <w:tc>
          <w:tcPr>
            <w:tcW w:w="1927" w:type="dxa"/>
          </w:tcPr>
          <w:p w14:paraId="5C81C1BE" w14:textId="77777777" w:rsidR="00182709" w:rsidRDefault="00182709">
            <w:pPr>
              <w:jc w:val="left"/>
            </w:pPr>
          </w:p>
        </w:tc>
        <w:tc>
          <w:tcPr>
            <w:tcW w:w="5161" w:type="dxa"/>
          </w:tcPr>
          <w:p w14:paraId="78F27448" w14:textId="77777777" w:rsidR="00182709" w:rsidRDefault="0044097C">
            <w:pPr>
              <w:jc w:val="left"/>
            </w:pPr>
            <w:r>
              <w:rPr>
                <w:b/>
              </w:rPr>
              <w:t>Net cash flows from/(used in) operating activities</w:t>
            </w:r>
          </w:p>
        </w:tc>
        <w:tc>
          <w:tcPr>
            <w:tcW w:w="567" w:type="dxa"/>
          </w:tcPr>
          <w:p w14:paraId="0863DB55" w14:textId="77777777" w:rsidR="00182709" w:rsidRDefault="0044097C">
            <w:pPr>
              <w:jc w:val="center"/>
            </w:pPr>
            <w:r>
              <w:t>7.3.1</w:t>
            </w:r>
          </w:p>
        </w:tc>
        <w:tc>
          <w:tcPr>
            <w:tcW w:w="992" w:type="dxa"/>
          </w:tcPr>
          <w:p w14:paraId="79E1F204" w14:textId="1A38CA82" w:rsidR="00182709" w:rsidRDefault="00F16E27">
            <w:r>
              <w:rPr>
                <w:b/>
              </w:rPr>
              <w:t>11</w:t>
            </w:r>
            <w:r w:rsidR="00F5601A">
              <w:rPr>
                <w:b/>
              </w:rPr>
              <w:t xml:space="preserve"> </w:t>
            </w:r>
            <w:r>
              <w:rPr>
                <w:b/>
              </w:rPr>
              <w:t>835</w:t>
            </w:r>
          </w:p>
        </w:tc>
        <w:tc>
          <w:tcPr>
            <w:tcW w:w="992" w:type="dxa"/>
          </w:tcPr>
          <w:p w14:paraId="6C0E6EC0" w14:textId="71A9775B" w:rsidR="00182709" w:rsidRDefault="00F16E27">
            <w:r>
              <w:rPr>
                <w:b/>
              </w:rPr>
              <w:t>36</w:t>
            </w:r>
            <w:r w:rsidR="0044097C">
              <w:rPr>
                <w:b/>
              </w:rPr>
              <w:t xml:space="preserve"> </w:t>
            </w:r>
            <w:r>
              <w:rPr>
                <w:b/>
              </w:rPr>
              <w:t>748</w:t>
            </w:r>
          </w:p>
        </w:tc>
      </w:tr>
      <w:tr w:rsidR="00182709" w14:paraId="60B16E71" w14:textId="77777777" w:rsidTr="007F096A">
        <w:tc>
          <w:tcPr>
            <w:tcW w:w="1927" w:type="dxa"/>
          </w:tcPr>
          <w:p w14:paraId="38078C5C" w14:textId="77777777" w:rsidR="00182709" w:rsidRDefault="0044097C">
            <w:pPr>
              <w:jc w:val="left"/>
            </w:pPr>
            <w:r>
              <w:rPr>
                <w:color w:val="4472C4"/>
                <w:sz w:val="13"/>
              </w:rPr>
              <w:t>AASB 107.10</w:t>
            </w:r>
          </w:p>
        </w:tc>
        <w:tc>
          <w:tcPr>
            <w:tcW w:w="5161" w:type="dxa"/>
          </w:tcPr>
          <w:p w14:paraId="14A0852F" w14:textId="77777777" w:rsidR="00182709" w:rsidRDefault="0044097C">
            <w:pPr>
              <w:jc w:val="left"/>
            </w:pPr>
            <w:r>
              <w:rPr>
                <w:b/>
              </w:rPr>
              <w:t>Cash flows from investing activities</w:t>
            </w:r>
          </w:p>
        </w:tc>
        <w:tc>
          <w:tcPr>
            <w:tcW w:w="567" w:type="dxa"/>
          </w:tcPr>
          <w:p w14:paraId="6D222042" w14:textId="77777777" w:rsidR="00182709" w:rsidRDefault="00182709">
            <w:pPr>
              <w:jc w:val="center"/>
            </w:pPr>
          </w:p>
        </w:tc>
        <w:tc>
          <w:tcPr>
            <w:tcW w:w="992" w:type="dxa"/>
          </w:tcPr>
          <w:p w14:paraId="513C690E" w14:textId="77777777" w:rsidR="00182709" w:rsidRDefault="00182709"/>
        </w:tc>
        <w:tc>
          <w:tcPr>
            <w:tcW w:w="992" w:type="dxa"/>
          </w:tcPr>
          <w:p w14:paraId="15971947" w14:textId="77777777" w:rsidR="00182709" w:rsidRDefault="00182709"/>
        </w:tc>
      </w:tr>
      <w:tr w:rsidR="00182709" w14:paraId="72516F76" w14:textId="77777777" w:rsidTr="007F096A">
        <w:tc>
          <w:tcPr>
            <w:tcW w:w="1927" w:type="dxa"/>
          </w:tcPr>
          <w:p w14:paraId="11E6C0FE" w14:textId="77777777" w:rsidR="00182709" w:rsidRDefault="0044097C">
            <w:pPr>
              <w:jc w:val="left"/>
            </w:pPr>
            <w:r>
              <w:rPr>
                <w:color w:val="4472C4"/>
                <w:sz w:val="13"/>
              </w:rPr>
              <w:t>AASB 107.16 (c)</w:t>
            </w:r>
          </w:p>
        </w:tc>
        <w:tc>
          <w:tcPr>
            <w:tcW w:w="5161" w:type="dxa"/>
          </w:tcPr>
          <w:p w14:paraId="5C867EE1" w14:textId="77777777" w:rsidR="00182709" w:rsidRDefault="0044097C">
            <w:pPr>
              <w:jc w:val="left"/>
            </w:pPr>
            <w:r>
              <w:t xml:space="preserve">Payments for investments </w:t>
            </w:r>
            <w:r>
              <w:rPr>
                <w:vertAlign w:val="superscript"/>
              </w:rPr>
              <w:t>(d)</w:t>
            </w:r>
          </w:p>
        </w:tc>
        <w:tc>
          <w:tcPr>
            <w:tcW w:w="567" w:type="dxa"/>
          </w:tcPr>
          <w:p w14:paraId="2EBE56D4" w14:textId="77777777" w:rsidR="00182709" w:rsidRDefault="00182709">
            <w:pPr>
              <w:jc w:val="center"/>
            </w:pPr>
          </w:p>
        </w:tc>
        <w:tc>
          <w:tcPr>
            <w:tcW w:w="992" w:type="dxa"/>
          </w:tcPr>
          <w:p w14:paraId="5715DBBB" w14:textId="77777777" w:rsidR="00182709" w:rsidRDefault="0044097C">
            <w:r>
              <w:t>(6 364)</w:t>
            </w:r>
          </w:p>
        </w:tc>
        <w:tc>
          <w:tcPr>
            <w:tcW w:w="992" w:type="dxa"/>
          </w:tcPr>
          <w:p w14:paraId="7C9B712B" w14:textId="77777777" w:rsidR="00182709" w:rsidRDefault="0044097C">
            <w:r>
              <w:t>(13 386)</w:t>
            </w:r>
          </w:p>
        </w:tc>
      </w:tr>
      <w:tr w:rsidR="00182709" w14:paraId="1C42585F" w14:textId="77777777" w:rsidTr="007F096A">
        <w:tc>
          <w:tcPr>
            <w:tcW w:w="1927" w:type="dxa"/>
          </w:tcPr>
          <w:p w14:paraId="392DF0FD" w14:textId="77777777" w:rsidR="00182709" w:rsidRDefault="0044097C">
            <w:pPr>
              <w:jc w:val="left"/>
            </w:pPr>
            <w:r>
              <w:rPr>
                <w:color w:val="4472C4"/>
                <w:sz w:val="13"/>
              </w:rPr>
              <w:t>AASB 107.16 (d)</w:t>
            </w:r>
          </w:p>
        </w:tc>
        <w:tc>
          <w:tcPr>
            <w:tcW w:w="5161" w:type="dxa"/>
          </w:tcPr>
          <w:p w14:paraId="3282DBC6" w14:textId="77777777" w:rsidR="00182709" w:rsidRDefault="0044097C">
            <w:pPr>
              <w:jc w:val="left"/>
            </w:pPr>
            <w:r>
              <w:t xml:space="preserve">Proceeds from sale of investments </w:t>
            </w:r>
            <w:r>
              <w:rPr>
                <w:vertAlign w:val="superscript"/>
              </w:rPr>
              <w:t>(d)</w:t>
            </w:r>
          </w:p>
        </w:tc>
        <w:tc>
          <w:tcPr>
            <w:tcW w:w="567" w:type="dxa"/>
          </w:tcPr>
          <w:p w14:paraId="613607CE" w14:textId="77777777" w:rsidR="00182709" w:rsidRDefault="00182709">
            <w:pPr>
              <w:jc w:val="center"/>
            </w:pPr>
          </w:p>
        </w:tc>
        <w:tc>
          <w:tcPr>
            <w:tcW w:w="992" w:type="dxa"/>
          </w:tcPr>
          <w:p w14:paraId="70D6519C" w14:textId="77777777" w:rsidR="00182709" w:rsidRDefault="0044097C">
            <w:r>
              <w:t>7 857</w:t>
            </w:r>
          </w:p>
        </w:tc>
        <w:tc>
          <w:tcPr>
            <w:tcW w:w="992" w:type="dxa"/>
          </w:tcPr>
          <w:p w14:paraId="6905BD76" w14:textId="77777777" w:rsidR="00182709" w:rsidRDefault="0044097C">
            <w:r>
              <w:t>2 409</w:t>
            </w:r>
          </w:p>
        </w:tc>
      </w:tr>
      <w:tr w:rsidR="00182709" w14:paraId="5B89429F" w14:textId="77777777" w:rsidTr="007F096A">
        <w:tc>
          <w:tcPr>
            <w:tcW w:w="1927" w:type="dxa"/>
          </w:tcPr>
          <w:p w14:paraId="3844FBB2" w14:textId="77777777" w:rsidR="00182709" w:rsidRDefault="0044097C">
            <w:pPr>
              <w:jc w:val="left"/>
            </w:pPr>
            <w:r>
              <w:rPr>
                <w:color w:val="4472C4"/>
                <w:sz w:val="13"/>
              </w:rPr>
              <w:t>AASB 107.16 (a)</w:t>
            </w:r>
          </w:p>
        </w:tc>
        <w:tc>
          <w:tcPr>
            <w:tcW w:w="5161" w:type="dxa"/>
          </w:tcPr>
          <w:p w14:paraId="4978A492" w14:textId="77777777" w:rsidR="00182709" w:rsidRDefault="0044097C">
            <w:pPr>
              <w:jc w:val="left"/>
            </w:pPr>
            <w:r>
              <w:t>Purchases of non‑financial assets</w:t>
            </w:r>
          </w:p>
        </w:tc>
        <w:tc>
          <w:tcPr>
            <w:tcW w:w="567" w:type="dxa"/>
          </w:tcPr>
          <w:p w14:paraId="344E44C4" w14:textId="77777777" w:rsidR="00182709" w:rsidRDefault="00182709">
            <w:pPr>
              <w:jc w:val="center"/>
            </w:pPr>
          </w:p>
        </w:tc>
        <w:tc>
          <w:tcPr>
            <w:tcW w:w="992" w:type="dxa"/>
          </w:tcPr>
          <w:p w14:paraId="39B0D0DF" w14:textId="77777777" w:rsidR="00182709" w:rsidRDefault="0044097C">
            <w:r>
              <w:t>(23 828)</w:t>
            </w:r>
          </w:p>
        </w:tc>
        <w:tc>
          <w:tcPr>
            <w:tcW w:w="992" w:type="dxa"/>
          </w:tcPr>
          <w:p w14:paraId="4F49C14B" w14:textId="77777777" w:rsidR="00182709" w:rsidRDefault="0044097C">
            <w:r>
              <w:t>(19 438)</w:t>
            </w:r>
          </w:p>
        </w:tc>
      </w:tr>
      <w:tr w:rsidR="00182709" w14:paraId="73B29C5B" w14:textId="77777777" w:rsidTr="007F096A">
        <w:tc>
          <w:tcPr>
            <w:tcW w:w="1927" w:type="dxa"/>
          </w:tcPr>
          <w:p w14:paraId="3BCDA893" w14:textId="77777777" w:rsidR="00182709" w:rsidRDefault="0044097C">
            <w:pPr>
              <w:jc w:val="left"/>
            </w:pPr>
            <w:r>
              <w:rPr>
                <w:color w:val="4472C4"/>
                <w:sz w:val="13"/>
              </w:rPr>
              <w:t>AASB 107.16 (b)</w:t>
            </w:r>
          </w:p>
        </w:tc>
        <w:tc>
          <w:tcPr>
            <w:tcW w:w="5161" w:type="dxa"/>
          </w:tcPr>
          <w:p w14:paraId="5BC8EEEF" w14:textId="77777777" w:rsidR="00182709" w:rsidRDefault="0044097C">
            <w:pPr>
              <w:jc w:val="left"/>
            </w:pPr>
            <w:r>
              <w:t>Sales of non‑financial assets</w:t>
            </w:r>
          </w:p>
        </w:tc>
        <w:tc>
          <w:tcPr>
            <w:tcW w:w="567" w:type="dxa"/>
          </w:tcPr>
          <w:p w14:paraId="4683375E" w14:textId="77777777" w:rsidR="00182709" w:rsidRDefault="00182709">
            <w:pPr>
              <w:jc w:val="center"/>
            </w:pPr>
          </w:p>
        </w:tc>
        <w:tc>
          <w:tcPr>
            <w:tcW w:w="992" w:type="dxa"/>
          </w:tcPr>
          <w:p w14:paraId="32EFE43F" w14:textId="77777777" w:rsidR="00182709" w:rsidRDefault="0044097C">
            <w:r>
              <w:t>2 855</w:t>
            </w:r>
          </w:p>
        </w:tc>
        <w:tc>
          <w:tcPr>
            <w:tcW w:w="992" w:type="dxa"/>
          </w:tcPr>
          <w:p w14:paraId="38140939" w14:textId="77777777" w:rsidR="00182709" w:rsidRDefault="0044097C">
            <w:r>
              <w:t>7 428</w:t>
            </w:r>
          </w:p>
        </w:tc>
      </w:tr>
      <w:tr w:rsidR="00182709" w14:paraId="134DBE41" w14:textId="77777777" w:rsidTr="007F096A">
        <w:tc>
          <w:tcPr>
            <w:tcW w:w="1927" w:type="dxa"/>
          </w:tcPr>
          <w:p w14:paraId="2625484B" w14:textId="77777777" w:rsidR="00182709" w:rsidRDefault="0044097C">
            <w:pPr>
              <w:jc w:val="left"/>
            </w:pPr>
            <w:r>
              <w:rPr>
                <w:color w:val="4472C4"/>
                <w:sz w:val="13"/>
              </w:rPr>
              <w:t>AASB 107.16 (e)</w:t>
            </w:r>
          </w:p>
        </w:tc>
        <w:tc>
          <w:tcPr>
            <w:tcW w:w="5161" w:type="dxa"/>
          </w:tcPr>
          <w:p w14:paraId="7F533B2F" w14:textId="77777777" w:rsidR="00182709" w:rsidRDefault="0044097C">
            <w:pPr>
              <w:jc w:val="left"/>
            </w:pPr>
            <w:r>
              <w:t xml:space="preserve">Loans granted to other parties </w:t>
            </w:r>
            <w:r>
              <w:rPr>
                <w:vertAlign w:val="superscript"/>
              </w:rPr>
              <w:t>(e)</w:t>
            </w:r>
          </w:p>
        </w:tc>
        <w:tc>
          <w:tcPr>
            <w:tcW w:w="567" w:type="dxa"/>
          </w:tcPr>
          <w:p w14:paraId="37128764" w14:textId="77777777" w:rsidR="00182709" w:rsidRDefault="00182709">
            <w:pPr>
              <w:jc w:val="center"/>
            </w:pPr>
          </w:p>
        </w:tc>
        <w:tc>
          <w:tcPr>
            <w:tcW w:w="992" w:type="dxa"/>
          </w:tcPr>
          <w:p w14:paraId="5CE0D0FB" w14:textId="77777777" w:rsidR="00182709" w:rsidRDefault="0044097C">
            <w:r>
              <w:t>(390)</w:t>
            </w:r>
          </w:p>
        </w:tc>
        <w:tc>
          <w:tcPr>
            <w:tcW w:w="992" w:type="dxa"/>
          </w:tcPr>
          <w:p w14:paraId="37BE1C3A" w14:textId="77777777" w:rsidR="00182709" w:rsidRDefault="0044097C">
            <w:r>
              <w:t>(277)</w:t>
            </w:r>
          </w:p>
        </w:tc>
      </w:tr>
      <w:tr w:rsidR="00182709" w14:paraId="0405C424" w14:textId="77777777" w:rsidTr="007F096A">
        <w:tc>
          <w:tcPr>
            <w:tcW w:w="1927" w:type="dxa"/>
          </w:tcPr>
          <w:p w14:paraId="28888DA5" w14:textId="77777777" w:rsidR="00182709" w:rsidRDefault="0044097C">
            <w:pPr>
              <w:jc w:val="left"/>
            </w:pPr>
            <w:r>
              <w:rPr>
                <w:color w:val="4472C4"/>
                <w:sz w:val="13"/>
              </w:rPr>
              <w:t>AASB 107.16 (f)</w:t>
            </w:r>
          </w:p>
        </w:tc>
        <w:tc>
          <w:tcPr>
            <w:tcW w:w="5161" w:type="dxa"/>
          </w:tcPr>
          <w:p w14:paraId="19AEB81A" w14:textId="77777777" w:rsidR="00182709" w:rsidRDefault="0044097C">
            <w:pPr>
              <w:jc w:val="left"/>
            </w:pPr>
            <w:r>
              <w:t xml:space="preserve">Repayments of loans from other parties </w:t>
            </w:r>
            <w:r>
              <w:rPr>
                <w:vertAlign w:val="superscript"/>
              </w:rPr>
              <w:t>(e)</w:t>
            </w:r>
          </w:p>
        </w:tc>
        <w:tc>
          <w:tcPr>
            <w:tcW w:w="567" w:type="dxa"/>
          </w:tcPr>
          <w:p w14:paraId="5ED98A05" w14:textId="77777777" w:rsidR="00182709" w:rsidRDefault="00182709">
            <w:pPr>
              <w:jc w:val="center"/>
            </w:pPr>
          </w:p>
        </w:tc>
        <w:tc>
          <w:tcPr>
            <w:tcW w:w="992" w:type="dxa"/>
          </w:tcPr>
          <w:p w14:paraId="5A90D415" w14:textId="77777777" w:rsidR="00182709" w:rsidRDefault="0044097C">
            <w:r>
              <w:t>78</w:t>
            </w:r>
          </w:p>
        </w:tc>
        <w:tc>
          <w:tcPr>
            <w:tcW w:w="992" w:type="dxa"/>
          </w:tcPr>
          <w:p w14:paraId="0125038C" w14:textId="77777777" w:rsidR="00182709" w:rsidRDefault="0044097C">
            <w:r>
              <w:t>140</w:t>
            </w:r>
          </w:p>
        </w:tc>
      </w:tr>
      <w:tr w:rsidR="00182709" w14:paraId="72766A1E" w14:textId="77777777" w:rsidTr="007F096A">
        <w:tc>
          <w:tcPr>
            <w:tcW w:w="1927" w:type="dxa"/>
          </w:tcPr>
          <w:p w14:paraId="6C4247FB" w14:textId="77777777" w:rsidR="00182709" w:rsidRDefault="00182709">
            <w:pPr>
              <w:jc w:val="left"/>
            </w:pPr>
          </w:p>
        </w:tc>
        <w:tc>
          <w:tcPr>
            <w:tcW w:w="5161" w:type="dxa"/>
          </w:tcPr>
          <w:p w14:paraId="45D068A5" w14:textId="77777777" w:rsidR="00182709" w:rsidRDefault="0044097C">
            <w:pPr>
              <w:jc w:val="left"/>
            </w:pPr>
            <w:r>
              <w:t>Proceeds from disposal of activity</w:t>
            </w:r>
          </w:p>
        </w:tc>
        <w:tc>
          <w:tcPr>
            <w:tcW w:w="567" w:type="dxa"/>
          </w:tcPr>
          <w:p w14:paraId="674B514A" w14:textId="77777777" w:rsidR="00182709" w:rsidRDefault="0044097C">
            <w:pPr>
              <w:jc w:val="center"/>
            </w:pPr>
            <w:r>
              <w:t>5.7.2</w:t>
            </w:r>
          </w:p>
        </w:tc>
        <w:tc>
          <w:tcPr>
            <w:tcW w:w="992" w:type="dxa"/>
          </w:tcPr>
          <w:p w14:paraId="4F7A6B6F" w14:textId="77777777" w:rsidR="00182709" w:rsidRDefault="0044097C">
            <w:r>
              <w:t>17 795</w:t>
            </w:r>
          </w:p>
        </w:tc>
        <w:tc>
          <w:tcPr>
            <w:tcW w:w="992" w:type="dxa"/>
          </w:tcPr>
          <w:p w14:paraId="26785C37" w14:textId="77777777" w:rsidR="00182709" w:rsidRDefault="0044097C">
            <w:r>
              <w:t>..</w:t>
            </w:r>
          </w:p>
        </w:tc>
      </w:tr>
      <w:tr w:rsidR="00182709" w14:paraId="166DEA25" w14:textId="77777777" w:rsidTr="007F096A">
        <w:tc>
          <w:tcPr>
            <w:tcW w:w="1927" w:type="dxa"/>
          </w:tcPr>
          <w:p w14:paraId="43D1ED52" w14:textId="77777777" w:rsidR="00182709" w:rsidRDefault="00182709">
            <w:pPr>
              <w:jc w:val="left"/>
            </w:pPr>
          </w:p>
        </w:tc>
        <w:tc>
          <w:tcPr>
            <w:tcW w:w="5161" w:type="dxa"/>
            <w:tcBorders>
              <w:bottom w:val="single" w:sz="12" w:space="0" w:color="auto"/>
            </w:tcBorders>
          </w:tcPr>
          <w:p w14:paraId="678A3655" w14:textId="77777777" w:rsidR="00182709" w:rsidRDefault="0044097C">
            <w:pPr>
              <w:jc w:val="left"/>
            </w:pPr>
            <w:r>
              <w:t>Payments for purchase of activity</w:t>
            </w:r>
          </w:p>
        </w:tc>
        <w:tc>
          <w:tcPr>
            <w:tcW w:w="567" w:type="dxa"/>
            <w:tcBorders>
              <w:bottom w:val="single" w:sz="12" w:space="0" w:color="auto"/>
            </w:tcBorders>
          </w:tcPr>
          <w:p w14:paraId="3C534906" w14:textId="77777777" w:rsidR="00182709" w:rsidRDefault="00182709">
            <w:pPr>
              <w:jc w:val="center"/>
            </w:pPr>
          </w:p>
        </w:tc>
        <w:tc>
          <w:tcPr>
            <w:tcW w:w="992" w:type="dxa"/>
            <w:tcBorders>
              <w:bottom w:val="single" w:sz="12" w:space="0" w:color="auto"/>
            </w:tcBorders>
          </w:tcPr>
          <w:p w14:paraId="62254577" w14:textId="77777777" w:rsidR="00182709" w:rsidRDefault="0044097C">
            <w:r>
              <w:t>(23 407)</w:t>
            </w:r>
          </w:p>
        </w:tc>
        <w:tc>
          <w:tcPr>
            <w:tcW w:w="992" w:type="dxa"/>
            <w:tcBorders>
              <w:bottom w:val="single" w:sz="12" w:space="0" w:color="auto"/>
            </w:tcBorders>
          </w:tcPr>
          <w:p w14:paraId="4AE6E1B6" w14:textId="77777777" w:rsidR="00182709" w:rsidRDefault="0044097C">
            <w:r>
              <w:t>..</w:t>
            </w:r>
          </w:p>
        </w:tc>
      </w:tr>
      <w:tr w:rsidR="00671D55" w14:paraId="0D744E20" w14:textId="77777777" w:rsidTr="007F096A">
        <w:tc>
          <w:tcPr>
            <w:tcW w:w="1927" w:type="dxa"/>
          </w:tcPr>
          <w:p w14:paraId="11BC5DEB" w14:textId="77777777" w:rsidR="00182709" w:rsidRDefault="00182709">
            <w:pPr>
              <w:jc w:val="left"/>
            </w:pPr>
          </w:p>
        </w:tc>
        <w:tc>
          <w:tcPr>
            <w:tcW w:w="5161" w:type="dxa"/>
          </w:tcPr>
          <w:p w14:paraId="026BB6FF" w14:textId="77777777" w:rsidR="00182709" w:rsidRDefault="0044097C">
            <w:pPr>
              <w:jc w:val="left"/>
            </w:pPr>
            <w:r>
              <w:rPr>
                <w:b/>
              </w:rPr>
              <w:t>Net cash flows from/(used in) investing activities</w:t>
            </w:r>
          </w:p>
        </w:tc>
        <w:tc>
          <w:tcPr>
            <w:tcW w:w="567" w:type="dxa"/>
          </w:tcPr>
          <w:p w14:paraId="79581812" w14:textId="77777777" w:rsidR="00182709" w:rsidRDefault="00182709">
            <w:pPr>
              <w:jc w:val="center"/>
            </w:pPr>
          </w:p>
        </w:tc>
        <w:tc>
          <w:tcPr>
            <w:tcW w:w="992" w:type="dxa"/>
          </w:tcPr>
          <w:p w14:paraId="43A056AA" w14:textId="77777777" w:rsidR="00182709" w:rsidRDefault="0044097C">
            <w:r>
              <w:rPr>
                <w:b/>
              </w:rPr>
              <w:t>(25 404)</w:t>
            </w:r>
          </w:p>
        </w:tc>
        <w:tc>
          <w:tcPr>
            <w:tcW w:w="992" w:type="dxa"/>
          </w:tcPr>
          <w:p w14:paraId="7929865B" w14:textId="77777777" w:rsidR="00182709" w:rsidRDefault="0044097C">
            <w:r>
              <w:rPr>
                <w:b/>
              </w:rPr>
              <w:t>(23 124)</w:t>
            </w:r>
          </w:p>
        </w:tc>
      </w:tr>
      <w:tr w:rsidR="00182709" w14:paraId="5EDE6D61" w14:textId="77777777" w:rsidTr="007F096A">
        <w:tc>
          <w:tcPr>
            <w:tcW w:w="1927" w:type="dxa"/>
          </w:tcPr>
          <w:p w14:paraId="28DAC768" w14:textId="77777777" w:rsidR="00182709" w:rsidRDefault="0044097C">
            <w:pPr>
              <w:jc w:val="left"/>
            </w:pPr>
            <w:r>
              <w:rPr>
                <w:color w:val="4472C4"/>
                <w:sz w:val="13"/>
              </w:rPr>
              <w:t>AASB 107.10</w:t>
            </w:r>
          </w:p>
        </w:tc>
        <w:tc>
          <w:tcPr>
            <w:tcW w:w="5161" w:type="dxa"/>
          </w:tcPr>
          <w:p w14:paraId="6C209D2C" w14:textId="77777777" w:rsidR="00182709" w:rsidRDefault="0044097C">
            <w:pPr>
              <w:jc w:val="left"/>
            </w:pPr>
            <w:r>
              <w:rPr>
                <w:b/>
              </w:rPr>
              <w:t>Cash flows from financing activities</w:t>
            </w:r>
          </w:p>
        </w:tc>
        <w:tc>
          <w:tcPr>
            <w:tcW w:w="567" w:type="dxa"/>
          </w:tcPr>
          <w:p w14:paraId="3A3A8A42" w14:textId="77777777" w:rsidR="00182709" w:rsidRDefault="00182709">
            <w:pPr>
              <w:jc w:val="center"/>
            </w:pPr>
          </w:p>
        </w:tc>
        <w:tc>
          <w:tcPr>
            <w:tcW w:w="992" w:type="dxa"/>
          </w:tcPr>
          <w:p w14:paraId="72D6E7C1" w14:textId="77777777" w:rsidR="00182709" w:rsidRDefault="00182709"/>
        </w:tc>
        <w:tc>
          <w:tcPr>
            <w:tcW w:w="992" w:type="dxa"/>
          </w:tcPr>
          <w:p w14:paraId="3985D8E4" w14:textId="77777777" w:rsidR="00182709" w:rsidRDefault="00182709"/>
        </w:tc>
      </w:tr>
      <w:tr w:rsidR="00182709" w14:paraId="29260570" w14:textId="77777777" w:rsidTr="007F096A">
        <w:tc>
          <w:tcPr>
            <w:tcW w:w="1927" w:type="dxa"/>
          </w:tcPr>
          <w:p w14:paraId="1617182E" w14:textId="77777777" w:rsidR="00182709" w:rsidRDefault="00182709">
            <w:pPr>
              <w:jc w:val="left"/>
            </w:pPr>
          </w:p>
        </w:tc>
        <w:tc>
          <w:tcPr>
            <w:tcW w:w="5161" w:type="dxa"/>
          </w:tcPr>
          <w:p w14:paraId="0F074C72" w14:textId="12E03041" w:rsidR="00182709" w:rsidRDefault="0044097C">
            <w:pPr>
              <w:jc w:val="left"/>
            </w:pPr>
            <w:r>
              <w:t>Cash received from activities transferred in – machinery of government changes</w:t>
            </w:r>
          </w:p>
        </w:tc>
        <w:tc>
          <w:tcPr>
            <w:tcW w:w="567" w:type="dxa"/>
          </w:tcPr>
          <w:p w14:paraId="260C5994" w14:textId="77777777" w:rsidR="00182709" w:rsidRDefault="00182709">
            <w:pPr>
              <w:jc w:val="center"/>
            </w:pPr>
          </w:p>
        </w:tc>
        <w:tc>
          <w:tcPr>
            <w:tcW w:w="992" w:type="dxa"/>
          </w:tcPr>
          <w:p w14:paraId="42D54407" w14:textId="77777777" w:rsidR="00182709" w:rsidRDefault="0044097C">
            <w:r>
              <w:t>5</w:t>
            </w:r>
          </w:p>
        </w:tc>
        <w:tc>
          <w:tcPr>
            <w:tcW w:w="992" w:type="dxa"/>
          </w:tcPr>
          <w:p w14:paraId="0A9FA267" w14:textId="77777777" w:rsidR="00182709" w:rsidRDefault="0044097C">
            <w:r>
              <w:t>..</w:t>
            </w:r>
          </w:p>
        </w:tc>
      </w:tr>
      <w:tr w:rsidR="00182709" w14:paraId="18C90FF2" w14:textId="77777777" w:rsidTr="007F096A">
        <w:tc>
          <w:tcPr>
            <w:tcW w:w="1927" w:type="dxa"/>
          </w:tcPr>
          <w:p w14:paraId="32AB601F" w14:textId="77777777" w:rsidR="00182709" w:rsidRDefault="00182709">
            <w:pPr>
              <w:jc w:val="left"/>
            </w:pPr>
          </w:p>
        </w:tc>
        <w:tc>
          <w:tcPr>
            <w:tcW w:w="5161" w:type="dxa"/>
          </w:tcPr>
          <w:p w14:paraId="73935535" w14:textId="43A99C62" w:rsidR="00182709" w:rsidRDefault="0044097C">
            <w:pPr>
              <w:jc w:val="left"/>
            </w:pPr>
            <w:r>
              <w:t>Cash transferred on activities transferred out – machinery of government changes</w:t>
            </w:r>
          </w:p>
        </w:tc>
        <w:tc>
          <w:tcPr>
            <w:tcW w:w="567" w:type="dxa"/>
          </w:tcPr>
          <w:p w14:paraId="7638CB2F" w14:textId="77777777" w:rsidR="00182709" w:rsidRDefault="00182709">
            <w:pPr>
              <w:jc w:val="center"/>
            </w:pPr>
          </w:p>
        </w:tc>
        <w:tc>
          <w:tcPr>
            <w:tcW w:w="992" w:type="dxa"/>
          </w:tcPr>
          <w:p w14:paraId="7BD7D0DE" w14:textId="77777777" w:rsidR="00182709" w:rsidRDefault="0044097C">
            <w:r>
              <w:t>(3 072)</w:t>
            </w:r>
          </w:p>
        </w:tc>
        <w:tc>
          <w:tcPr>
            <w:tcW w:w="992" w:type="dxa"/>
          </w:tcPr>
          <w:p w14:paraId="2174CC29" w14:textId="77777777" w:rsidR="00182709" w:rsidRDefault="0044097C">
            <w:r>
              <w:t>..</w:t>
            </w:r>
          </w:p>
        </w:tc>
      </w:tr>
      <w:tr w:rsidR="00182709" w14:paraId="787B9E90" w14:textId="77777777" w:rsidTr="007F096A">
        <w:tc>
          <w:tcPr>
            <w:tcW w:w="1927" w:type="dxa"/>
          </w:tcPr>
          <w:p w14:paraId="74758297" w14:textId="77777777" w:rsidR="00182709" w:rsidRDefault="00182709">
            <w:pPr>
              <w:jc w:val="left"/>
            </w:pPr>
          </w:p>
        </w:tc>
        <w:tc>
          <w:tcPr>
            <w:tcW w:w="5161" w:type="dxa"/>
          </w:tcPr>
          <w:p w14:paraId="5B1FC63A" w14:textId="2A1F2F0F" w:rsidR="00182709" w:rsidRDefault="0044097C">
            <w:pPr>
              <w:jc w:val="left"/>
            </w:pPr>
            <w:r>
              <w:t>Owner contributions by State Government – appropriation for capital expenditure purposes</w:t>
            </w:r>
          </w:p>
        </w:tc>
        <w:tc>
          <w:tcPr>
            <w:tcW w:w="567" w:type="dxa"/>
          </w:tcPr>
          <w:p w14:paraId="6D048425" w14:textId="77777777" w:rsidR="00182709" w:rsidRDefault="00182709">
            <w:pPr>
              <w:jc w:val="center"/>
            </w:pPr>
          </w:p>
        </w:tc>
        <w:tc>
          <w:tcPr>
            <w:tcW w:w="992" w:type="dxa"/>
          </w:tcPr>
          <w:p w14:paraId="614E80EA" w14:textId="77777777" w:rsidR="00182709" w:rsidRDefault="0044097C">
            <w:r>
              <w:t>5 750</w:t>
            </w:r>
          </w:p>
        </w:tc>
        <w:tc>
          <w:tcPr>
            <w:tcW w:w="992" w:type="dxa"/>
          </w:tcPr>
          <w:p w14:paraId="1BB48C6B" w14:textId="77777777" w:rsidR="00182709" w:rsidRDefault="0044097C">
            <w:r>
              <w:t>10 500</w:t>
            </w:r>
          </w:p>
        </w:tc>
      </w:tr>
      <w:tr w:rsidR="00182709" w14:paraId="5C455D20" w14:textId="77777777" w:rsidTr="007F096A">
        <w:tc>
          <w:tcPr>
            <w:tcW w:w="1927" w:type="dxa"/>
          </w:tcPr>
          <w:p w14:paraId="397EF545" w14:textId="77777777" w:rsidR="00182709" w:rsidRDefault="0044097C">
            <w:pPr>
              <w:jc w:val="left"/>
            </w:pPr>
            <w:r>
              <w:rPr>
                <w:color w:val="4472C4"/>
                <w:sz w:val="13"/>
              </w:rPr>
              <w:t>AASB 107.17 (c)</w:t>
            </w:r>
          </w:p>
        </w:tc>
        <w:tc>
          <w:tcPr>
            <w:tcW w:w="5161" w:type="dxa"/>
          </w:tcPr>
          <w:p w14:paraId="569434C0" w14:textId="77777777" w:rsidR="00182709" w:rsidRDefault="0044097C">
            <w:pPr>
              <w:jc w:val="left"/>
            </w:pPr>
            <w:r>
              <w:t>Proceeds from borrowings</w:t>
            </w:r>
          </w:p>
        </w:tc>
        <w:tc>
          <w:tcPr>
            <w:tcW w:w="567" w:type="dxa"/>
          </w:tcPr>
          <w:p w14:paraId="0EB89E0B" w14:textId="77777777" w:rsidR="00182709" w:rsidRDefault="00182709">
            <w:pPr>
              <w:jc w:val="center"/>
            </w:pPr>
          </w:p>
        </w:tc>
        <w:tc>
          <w:tcPr>
            <w:tcW w:w="992" w:type="dxa"/>
          </w:tcPr>
          <w:p w14:paraId="5B93BBE0" w14:textId="77777777" w:rsidR="00182709" w:rsidRDefault="0044097C">
            <w:r>
              <w:t>34 673</w:t>
            </w:r>
          </w:p>
        </w:tc>
        <w:tc>
          <w:tcPr>
            <w:tcW w:w="992" w:type="dxa"/>
          </w:tcPr>
          <w:p w14:paraId="4D9B5CD6" w14:textId="77777777" w:rsidR="00182709" w:rsidRDefault="0044097C">
            <w:r>
              <w:t>7 455</w:t>
            </w:r>
          </w:p>
        </w:tc>
      </w:tr>
      <w:tr w:rsidR="00182709" w14:paraId="597C413E" w14:textId="77777777" w:rsidTr="007F096A">
        <w:trPr>
          <w:trHeight w:val="122"/>
        </w:trPr>
        <w:tc>
          <w:tcPr>
            <w:tcW w:w="1927" w:type="dxa"/>
          </w:tcPr>
          <w:p w14:paraId="6C12773A" w14:textId="4DA7F829" w:rsidR="00182709" w:rsidRDefault="0044097C">
            <w:pPr>
              <w:jc w:val="left"/>
            </w:pPr>
            <w:r>
              <w:rPr>
                <w:color w:val="4472C4"/>
                <w:sz w:val="13"/>
              </w:rPr>
              <w:t>AASB 107.17 (d)</w:t>
            </w:r>
            <w:r>
              <w:rPr>
                <w:color w:val="4472C4"/>
                <w:sz w:val="13"/>
              </w:rPr>
              <w:br/>
              <w:t>AASB 16.50 (a)</w:t>
            </w:r>
          </w:p>
        </w:tc>
        <w:tc>
          <w:tcPr>
            <w:tcW w:w="5161" w:type="dxa"/>
            <w:tcBorders>
              <w:bottom w:val="single" w:sz="12" w:space="0" w:color="auto"/>
            </w:tcBorders>
          </w:tcPr>
          <w:p w14:paraId="1B74EDC6" w14:textId="1188C84A" w:rsidR="00182709" w:rsidRDefault="0044097C">
            <w:pPr>
              <w:jc w:val="left"/>
            </w:pPr>
            <w:r>
              <w:t xml:space="preserve">Repayment of borrowings and </w:t>
            </w:r>
            <w:r w:rsidR="00D810AF">
              <w:t>principal</w:t>
            </w:r>
            <w:r>
              <w:t xml:space="preserve"> portion of lease liabilities</w:t>
            </w:r>
            <w:r>
              <w:rPr>
                <w:vertAlign w:val="superscript"/>
              </w:rPr>
              <w:t xml:space="preserve"> (f)</w:t>
            </w:r>
          </w:p>
        </w:tc>
        <w:tc>
          <w:tcPr>
            <w:tcW w:w="567" w:type="dxa"/>
            <w:tcBorders>
              <w:bottom w:val="single" w:sz="12" w:space="0" w:color="auto"/>
            </w:tcBorders>
          </w:tcPr>
          <w:p w14:paraId="6FD28896" w14:textId="77777777" w:rsidR="00182709" w:rsidRDefault="00182709">
            <w:pPr>
              <w:jc w:val="center"/>
            </w:pPr>
          </w:p>
        </w:tc>
        <w:tc>
          <w:tcPr>
            <w:tcW w:w="992" w:type="dxa"/>
            <w:tcBorders>
              <w:bottom w:val="single" w:sz="12" w:space="0" w:color="auto"/>
            </w:tcBorders>
          </w:tcPr>
          <w:p w14:paraId="7ACEE384" w14:textId="77777777" w:rsidR="00182709" w:rsidRDefault="0044097C">
            <w:r>
              <w:t>(8 896)</w:t>
            </w:r>
          </w:p>
        </w:tc>
        <w:tc>
          <w:tcPr>
            <w:tcW w:w="992" w:type="dxa"/>
            <w:tcBorders>
              <w:bottom w:val="single" w:sz="12" w:space="0" w:color="auto"/>
            </w:tcBorders>
          </w:tcPr>
          <w:p w14:paraId="6DFB3710" w14:textId="77777777" w:rsidR="00182709" w:rsidRDefault="0044097C">
            <w:r>
              <w:t>(4 544)</w:t>
            </w:r>
          </w:p>
        </w:tc>
      </w:tr>
      <w:tr w:rsidR="00671D55" w14:paraId="2A918815" w14:textId="77777777" w:rsidTr="007F096A">
        <w:tc>
          <w:tcPr>
            <w:tcW w:w="1927" w:type="dxa"/>
          </w:tcPr>
          <w:p w14:paraId="0EDFDF0A" w14:textId="77777777" w:rsidR="00182709" w:rsidRDefault="00182709">
            <w:pPr>
              <w:jc w:val="left"/>
            </w:pPr>
          </w:p>
        </w:tc>
        <w:tc>
          <w:tcPr>
            <w:tcW w:w="5161" w:type="dxa"/>
          </w:tcPr>
          <w:p w14:paraId="3D7C2B3F" w14:textId="77777777" w:rsidR="00182709" w:rsidRDefault="0044097C">
            <w:pPr>
              <w:jc w:val="left"/>
            </w:pPr>
            <w:r>
              <w:rPr>
                <w:b/>
              </w:rPr>
              <w:t>Net cash flows from/(used in) financing activities</w:t>
            </w:r>
          </w:p>
        </w:tc>
        <w:tc>
          <w:tcPr>
            <w:tcW w:w="567" w:type="dxa"/>
          </w:tcPr>
          <w:p w14:paraId="5F93D498" w14:textId="77777777" w:rsidR="00182709" w:rsidRDefault="00182709">
            <w:pPr>
              <w:jc w:val="center"/>
            </w:pPr>
          </w:p>
        </w:tc>
        <w:tc>
          <w:tcPr>
            <w:tcW w:w="992" w:type="dxa"/>
          </w:tcPr>
          <w:p w14:paraId="454FBAB6" w14:textId="77777777" w:rsidR="00182709" w:rsidRDefault="0044097C">
            <w:r>
              <w:rPr>
                <w:b/>
              </w:rPr>
              <w:t>28 460</w:t>
            </w:r>
          </w:p>
        </w:tc>
        <w:tc>
          <w:tcPr>
            <w:tcW w:w="992" w:type="dxa"/>
          </w:tcPr>
          <w:p w14:paraId="1EBABCC0" w14:textId="77777777" w:rsidR="00182709" w:rsidRDefault="0044097C">
            <w:r>
              <w:rPr>
                <w:b/>
              </w:rPr>
              <w:t>13 411</w:t>
            </w:r>
          </w:p>
        </w:tc>
      </w:tr>
      <w:tr w:rsidR="00535B5A" w14:paraId="238B8E41" w14:textId="77777777" w:rsidTr="007F096A">
        <w:tc>
          <w:tcPr>
            <w:tcW w:w="1927" w:type="dxa"/>
          </w:tcPr>
          <w:p w14:paraId="6232B77E" w14:textId="77777777" w:rsidR="00535B5A" w:rsidRDefault="00535B5A" w:rsidP="00535B5A">
            <w:pPr>
              <w:jc w:val="left"/>
            </w:pPr>
          </w:p>
        </w:tc>
        <w:tc>
          <w:tcPr>
            <w:tcW w:w="5161" w:type="dxa"/>
          </w:tcPr>
          <w:p w14:paraId="4EB63AA8" w14:textId="77777777" w:rsidR="00535B5A" w:rsidRDefault="00535B5A" w:rsidP="00535B5A">
            <w:pPr>
              <w:jc w:val="left"/>
            </w:pPr>
            <w:r>
              <w:rPr>
                <w:b/>
              </w:rPr>
              <w:t>Net increase/(decrease) in cash and cash equivalents</w:t>
            </w:r>
          </w:p>
        </w:tc>
        <w:tc>
          <w:tcPr>
            <w:tcW w:w="567" w:type="dxa"/>
          </w:tcPr>
          <w:p w14:paraId="3FF52FB9" w14:textId="77777777" w:rsidR="00535B5A" w:rsidRDefault="00535B5A" w:rsidP="00535B5A">
            <w:pPr>
              <w:jc w:val="center"/>
            </w:pPr>
          </w:p>
        </w:tc>
        <w:tc>
          <w:tcPr>
            <w:tcW w:w="992" w:type="dxa"/>
          </w:tcPr>
          <w:p w14:paraId="3C34AD3D" w14:textId="422CC9BB" w:rsidR="00535B5A" w:rsidRDefault="00535B5A" w:rsidP="00535B5A">
            <w:r w:rsidRPr="00510D0A">
              <w:t>1</w:t>
            </w:r>
            <w:r w:rsidR="00F16E27">
              <w:t>4</w:t>
            </w:r>
            <w:r w:rsidRPr="00510D0A">
              <w:t xml:space="preserve"> </w:t>
            </w:r>
            <w:r w:rsidR="00F16E27">
              <w:t>891</w:t>
            </w:r>
          </w:p>
        </w:tc>
        <w:tc>
          <w:tcPr>
            <w:tcW w:w="992" w:type="dxa"/>
          </w:tcPr>
          <w:p w14:paraId="4BE6DF9E" w14:textId="3D9EA447" w:rsidR="00535B5A" w:rsidRDefault="00535B5A" w:rsidP="00535B5A">
            <w:r w:rsidRPr="00510D0A">
              <w:t>2</w:t>
            </w:r>
            <w:r w:rsidR="00736246">
              <w:t>7</w:t>
            </w:r>
            <w:r w:rsidRPr="00510D0A">
              <w:t xml:space="preserve"> </w:t>
            </w:r>
            <w:r w:rsidR="00F16E27">
              <w:t>035</w:t>
            </w:r>
          </w:p>
        </w:tc>
      </w:tr>
      <w:tr w:rsidR="00535B5A" w14:paraId="08437E91" w14:textId="77777777" w:rsidTr="007F096A">
        <w:tc>
          <w:tcPr>
            <w:tcW w:w="1927" w:type="dxa"/>
          </w:tcPr>
          <w:p w14:paraId="4D6FED4D" w14:textId="77777777" w:rsidR="00535B5A" w:rsidRDefault="00535B5A" w:rsidP="00535B5A">
            <w:pPr>
              <w:jc w:val="left"/>
            </w:pPr>
          </w:p>
        </w:tc>
        <w:tc>
          <w:tcPr>
            <w:tcW w:w="5161" w:type="dxa"/>
          </w:tcPr>
          <w:p w14:paraId="59EF75EB" w14:textId="77777777" w:rsidR="00535B5A" w:rsidRDefault="00535B5A" w:rsidP="00535B5A">
            <w:pPr>
              <w:jc w:val="left"/>
            </w:pPr>
            <w:r>
              <w:t>Cash and cash equivalents at beginning of financial year</w:t>
            </w:r>
          </w:p>
        </w:tc>
        <w:tc>
          <w:tcPr>
            <w:tcW w:w="567" w:type="dxa"/>
          </w:tcPr>
          <w:p w14:paraId="528B9522" w14:textId="77777777" w:rsidR="00535B5A" w:rsidRDefault="00535B5A" w:rsidP="00535B5A">
            <w:pPr>
              <w:jc w:val="center"/>
            </w:pPr>
          </w:p>
        </w:tc>
        <w:tc>
          <w:tcPr>
            <w:tcW w:w="992" w:type="dxa"/>
          </w:tcPr>
          <w:p w14:paraId="4FE50E3F" w14:textId="710E4C23" w:rsidR="00535B5A" w:rsidRDefault="00535B5A" w:rsidP="00535B5A">
            <w:r w:rsidRPr="00510D0A">
              <w:t>6</w:t>
            </w:r>
            <w:r w:rsidR="00F16E27">
              <w:t>2</w:t>
            </w:r>
            <w:r w:rsidRPr="00510D0A">
              <w:t xml:space="preserve"> </w:t>
            </w:r>
            <w:r w:rsidR="00F16E27">
              <w:t>289</w:t>
            </w:r>
          </w:p>
        </w:tc>
        <w:tc>
          <w:tcPr>
            <w:tcW w:w="992" w:type="dxa"/>
          </w:tcPr>
          <w:p w14:paraId="21605903" w14:textId="4C8BCB42" w:rsidR="00535B5A" w:rsidRDefault="00535B5A" w:rsidP="00535B5A">
            <w:r w:rsidRPr="00510D0A">
              <w:t>35 094</w:t>
            </w:r>
          </w:p>
        </w:tc>
      </w:tr>
      <w:tr w:rsidR="00182709" w14:paraId="4862EF95" w14:textId="77777777" w:rsidTr="007F096A">
        <w:tc>
          <w:tcPr>
            <w:tcW w:w="1927" w:type="dxa"/>
          </w:tcPr>
          <w:p w14:paraId="205B362D" w14:textId="77777777" w:rsidR="00182709" w:rsidRDefault="0044097C">
            <w:pPr>
              <w:jc w:val="left"/>
            </w:pPr>
            <w:r>
              <w:rPr>
                <w:color w:val="4472C4"/>
                <w:sz w:val="13"/>
              </w:rPr>
              <w:t>AASB 107.28</w:t>
            </w:r>
          </w:p>
        </w:tc>
        <w:tc>
          <w:tcPr>
            <w:tcW w:w="5161" w:type="dxa"/>
            <w:tcBorders>
              <w:bottom w:val="single" w:sz="12" w:space="0" w:color="auto"/>
            </w:tcBorders>
          </w:tcPr>
          <w:p w14:paraId="663A2A59" w14:textId="77777777" w:rsidR="00182709" w:rsidRDefault="0044097C">
            <w:pPr>
              <w:jc w:val="left"/>
            </w:pPr>
            <w:r>
              <w:t>Effect of exchange rate fluctuations on cash held in foreign currency</w:t>
            </w:r>
          </w:p>
        </w:tc>
        <w:tc>
          <w:tcPr>
            <w:tcW w:w="567" w:type="dxa"/>
            <w:tcBorders>
              <w:bottom w:val="single" w:sz="12" w:space="0" w:color="auto"/>
            </w:tcBorders>
          </w:tcPr>
          <w:p w14:paraId="6077758B" w14:textId="77777777" w:rsidR="00182709" w:rsidRDefault="00182709">
            <w:pPr>
              <w:jc w:val="center"/>
            </w:pPr>
          </w:p>
        </w:tc>
        <w:tc>
          <w:tcPr>
            <w:tcW w:w="992" w:type="dxa"/>
            <w:tcBorders>
              <w:bottom w:val="single" w:sz="12" w:space="0" w:color="auto"/>
            </w:tcBorders>
          </w:tcPr>
          <w:p w14:paraId="61E52DD6" w14:textId="77777777" w:rsidR="00182709" w:rsidRDefault="0044097C">
            <w:r>
              <w:t>(471)</w:t>
            </w:r>
          </w:p>
        </w:tc>
        <w:tc>
          <w:tcPr>
            <w:tcW w:w="992" w:type="dxa"/>
            <w:tcBorders>
              <w:bottom w:val="single" w:sz="12" w:space="0" w:color="auto"/>
            </w:tcBorders>
          </w:tcPr>
          <w:p w14:paraId="301C4A80" w14:textId="77777777" w:rsidR="00182709" w:rsidRDefault="0044097C">
            <w:r>
              <w:t>160</w:t>
            </w:r>
          </w:p>
        </w:tc>
      </w:tr>
      <w:tr w:rsidR="00535B5A" w14:paraId="2AD5BE7A" w14:textId="77777777" w:rsidTr="007F096A">
        <w:tc>
          <w:tcPr>
            <w:tcW w:w="1927" w:type="dxa"/>
          </w:tcPr>
          <w:p w14:paraId="168E143A" w14:textId="77777777" w:rsidR="00535B5A" w:rsidRDefault="00535B5A" w:rsidP="00535B5A">
            <w:pPr>
              <w:jc w:val="left"/>
            </w:pPr>
          </w:p>
        </w:tc>
        <w:tc>
          <w:tcPr>
            <w:tcW w:w="5161" w:type="dxa"/>
          </w:tcPr>
          <w:p w14:paraId="63AABA87" w14:textId="77777777" w:rsidR="00535B5A" w:rsidRDefault="00535B5A" w:rsidP="00535B5A">
            <w:pPr>
              <w:jc w:val="left"/>
            </w:pPr>
            <w:r>
              <w:rPr>
                <w:b/>
              </w:rPr>
              <w:t>Cash and cash equivalents at end of financial year</w:t>
            </w:r>
          </w:p>
        </w:tc>
        <w:tc>
          <w:tcPr>
            <w:tcW w:w="567" w:type="dxa"/>
          </w:tcPr>
          <w:p w14:paraId="27C2B57F" w14:textId="77777777" w:rsidR="00535B5A" w:rsidRDefault="00535B5A" w:rsidP="00535B5A">
            <w:pPr>
              <w:jc w:val="center"/>
            </w:pPr>
            <w:r>
              <w:t>7.3</w:t>
            </w:r>
          </w:p>
        </w:tc>
        <w:tc>
          <w:tcPr>
            <w:tcW w:w="992" w:type="dxa"/>
          </w:tcPr>
          <w:p w14:paraId="73B9848D" w14:textId="581943DB" w:rsidR="00535B5A" w:rsidRDefault="00535B5A" w:rsidP="00535B5A">
            <w:r w:rsidRPr="006B6CDF">
              <w:t>7</w:t>
            </w:r>
            <w:r w:rsidR="00F16E27">
              <w:t>6</w:t>
            </w:r>
            <w:r w:rsidRPr="006B6CDF">
              <w:t xml:space="preserve"> </w:t>
            </w:r>
            <w:r w:rsidR="00F16E27">
              <w:t>709</w:t>
            </w:r>
          </w:p>
        </w:tc>
        <w:tc>
          <w:tcPr>
            <w:tcW w:w="992" w:type="dxa"/>
          </w:tcPr>
          <w:p w14:paraId="2F1F1700" w14:textId="55B07851" w:rsidR="00535B5A" w:rsidRDefault="00535B5A" w:rsidP="00535B5A">
            <w:r w:rsidRPr="006B6CDF">
              <w:t>6</w:t>
            </w:r>
            <w:r w:rsidR="00736246">
              <w:t>2</w:t>
            </w:r>
            <w:r w:rsidRPr="006B6CDF">
              <w:t xml:space="preserve"> </w:t>
            </w:r>
            <w:r w:rsidR="00F16E27">
              <w:t>289</w:t>
            </w:r>
          </w:p>
        </w:tc>
      </w:tr>
    </w:tbl>
    <w:p w14:paraId="5372F31E" w14:textId="77777777" w:rsidR="003719CD" w:rsidRDefault="003719CD" w:rsidP="000F5E0B">
      <w:pPr>
        <w:pStyle w:val="Note"/>
      </w:pPr>
      <w:r>
        <w:t>The accompanying notes form part of these financial statements.</w:t>
      </w:r>
    </w:p>
    <w:p w14:paraId="7BE5AD85" w14:textId="77777777" w:rsidR="003719CD" w:rsidRDefault="003719CD" w:rsidP="000F5E0B">
      <w:pPr>
        <w:pStyle w:val="Note"/>
      </w:pPr>
      <w:r>
        <w:t>Notes:</w:t>
      </w:r>
    </w:p>
    <w:p w14:paraId="1153C872" w14:textId="3CEDE256" w:rsidR="00A77178" w:rsidRDefault="003719CD" w:rsidP="000F5E0B">
      <w:pPr>
        <w:pStyle w:val="Note"/>
      </w:pPr>
      <w:r>
        <w:t>(a)</w:t>
      </w:r>
      <w:r>
        <w:tab/>
        <w:t xml:space="preserve">This format is aligned to AASB 1049 </w:t>
      </w:r>
      <w:r w:rsidRPr="00436E90">
        <w:rPr>
          <w:i w:val="0"/>
          <w:iCs/>
        </w:rPr>
        <w:t>Whole of Government and General Government Sector Financial Reporting</w:t>
      </w:r>
      <w:r w:rsidR="004D35D8" w:rsidRPr="00436E90">
        <w:rPr>
          <w:i w:val="0"/>
          <w:iCs/>
        </w:rPr>
        <w:t>.</w:t>
      </w:r>
      <w:r>
        <w:t xml:space="preserve"> </w:t>
      </w:r>
    </w:p>
    <w:p w14:paraId="353ECF89" w14:textId="6EAA874A" w:rsidR="003719CD" w:rsidRDefault="003719CD" w:rsidP="000F5E0B">
      <w:pPr>
        <w:pStyle w:val="Note"/>
      </w:pPr>
      <w:r>
        <w:t>(b)</w:t>
      </w:r>
      <w:r>
        <w:tab/>
        <w:t>Dividends received is recognised as cash flow from operating activities. In contrast, dividends paid is recognised as cash flow from financing activities.</w:t>
      </w:r>
    </w:p>
    <w:p w14:paraId="45AC9D4D" w14:textId="77777777" w:rsidR="003719CD" w:rsidRDefault="003719CD" w:rsidP="000F5E0B">
      <w:pPr>
        <w:pStyle w:val="Note"/>
      </w:pPr>
      <w:r>
        <w:t>(c)</w:t>
      </w:r>
      <w:r>
        <w:tab/>
        <w:t>GST paid to the Australian Taxation Office is presented on a net basis.</w:t>
      </w:r>
    </w:p>
    <w:p w14:paraId="0A1B6758" w14:textId="77777777" w:rsidR="003719CD" w:rsidRDefault="003719CD" w:rsidP="000F5E0B">
      <w:pPr>
        <w:pStyle w:val="Note"/>
      </w:pPr>
      <w:r>
        <w:t>(d)</w:t>
      </w:r>
      <w:r>
        <w:tab/>
        <w:t>Includes equity and debt instruments of other entities and interests in joint ventures, other than for those instruments considered to be cash equivalents and those held for dealing or trading purposes.</w:t>
      </w:r>
    </w:p>
    <w:p w14:paraId="585862AD" w14:textId="77777777" w:rsidR="003719CD" w:rsidRDefault="003719CD" w:rsidP="000F5E0B">
      <w:pPr>
        <w:pStyle w:val="Note"/>
      </w:pPr>
      <w:r>
        <w:t>(e)</w:t>
      </w:r>
      <w:r>
        <w:tab/>
        <w:t>Includes loans granted to/from entities external to the Department and related entities.</w:t>
      </w:r>
    </w:p>
    <w:p w14:paraId="51CE5A2B" w14:textId="3FDCA29A" w:rsidR="003719CD" w:rsidRDefault="003719CD" w:rsidP="000F5E0B">
      <w:pPr>
        <w:pStyle w:val="Note"/>
      </w:pPr>
      <w:r>
        <w:t>(f)</w:t>
      </w:r>
      <w:r>
        <w:tab/>
        <w:t xml:space="preserve">The </w:t>
      </w:r>
      <w:r w:rsidR="003E703D">
        <w:t xml:space="preserve">Department </w:t>
      </w:r>
      <w:r>
        <w:t>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66B82EE4" w14:textId="77777777" w:rsidR="00FA4323" w:rsidRDefault="00FA4323">
      <w:pPr>
        <w:keepLines w:val="0"/>
        <w:rPr>
          <w:rFonts w:asciiTheme="majorHAnsi" w:eastAsiaTheme="majorEastAsia" w:hAnsiTheme="majorHAnsi" w:cstheme="majorBidi"/>
          <w:b/>
          <w:bCs/>
          <w:iCs/>
          <w:color w:val="FFFFFF" w:themeColor="background1"/>
          <w:sz w:val="20"/>
          <w:szCs w:val="24"/>
        </w:rPr>
      </w:pPr>
      <w:r>
        <w:br w:type="page"/>
      </w:r>
    </w:p>
    <w:p w14:paraId="7465FCDC" w14:textId="0F270359" w:rsidR="003719CD" w:rsidRDefault="003719CD" w:rsidP="009E5D6F">
      <w:pPr>
        <w:pStyle w:val="GuidanceBlockHeading"/>
      </w:pPr>
      <w:r>
        <w:lastRenderedPageBreak/>
        <w:t>Guidance – Cash flow statement</w:t>
      </w:r>
    </w:p>
    <w:p w14:paraId="07A26A94" w14:textId="77777777" w:rsidR="003719CD" w:rsidRDefault="003719CD" w:rsidP="009E5D6F">
      <w:pPr>
        <w:pStyle w:val="GuidanceHeading"/>
      </w:pPr>
      <w:r>
        <w:t xml:space="preserve">Reporting cash flows </w:t>
      </w:r>
    </w:p>
    <w:p w14:paraId="7CDF5D8B" w14:textId="77777777" w:rsidR="003719CD" w:rsidRPr="009E5D6F" w:rsidRDefault="003719CD" w:rsidP="00DC39DE">
      <w:pPr>
        <w:rPr>
          <w:rStyle w:val="Guidance"/>
        </w:rPr>
      </w:pPr>
      <w:r w:rsidRPr="009E5D6F">
        <w:rPr>
          <w:rStyle w:val="Guidance"/>
        </w:rPr>
        <w:t xml:space="preserve">An entity presents its cash flows from operating, investing and financing activities in a manner which is most appropriate to its business. </w:t>
      </w:r>
    </w:p>
    <w:p w14:paraId="20149D07" w14:textId="7AC9413A" w:rsidR="003719CD" w:rsidRPr="009E5D6F" w:rsidRDefault="002657AB" w:rsidP="00DC39DE">
      <w:pPr>
        <w:rPr>
          <w:rStyle w:val="Guidance"/>
        </w:rPr>
      </w:pPr>
      <w:r>
        <w:rPr>
          <w:rStyle w:val="Guidance"/>
        </w:rPr>
        <w:t>There</w:t>
      </w:r>
      <w:r w:rsidR="003719CD" w:rsidRPr="009E5D6F">
        <w:rPr>
          <w:rStyle w:val="Guidance"/>
        </w:rPr>
        <w:t xml:space="preserve"> are two methods for reporting cash flows, the direct </w:t>
      </w:r>
      <w:r>
        <w:rPr>
          <w:rStyle w:val="Guidance"/>
        </w:rPr>
        <w:t>method and</w:t>
      </w:r>
      <w:r w:rsidRPr="009E5D6F">
        <w:rPr>
          <w:rStyle w:val="Guidance"/>
        </w:rPr>
        <w:t xml:space="preserve"> </w:t>
      </w:r>
      <w:r>
        <w:rPr>
          <w:rStyle w:val="Guidance"/>
        </w:rPr>
        <w:t xml:space="preserve">the </w:t>
      </w:r>
      <w:r w:rsidR="003719CD" w:rsidRPr="009E5D6F">
        <w:rPr>
          <w:rStyle w:val="Guidance"/>
        </w:rPr>
        <w:t xml:space="preserve">indirect method. DTF supports the use of the direct method, and this method is adopted for this Model. </w:t>
      </w:r>
      <w:r w:rsidR="003719CD" w:rsidRPr="009E5D6F">
        <w:rPr>
          <w:rStyle w:val="Reference"/>
        </w:rPr>
        <w:t>[AASB 107.11, 107.18]</w:t>
      </w:r>
      <w:r w:rsidR="003719CD" w:rsidRPr="009E5D6F">
        <w:rPr>
          <w:rStyle w:val="Guidance"/>
        </w:rPr>
        <w:t xml:space="preserve"> </w:t>
      </w:r>
    </w:p>
    <w:p w14:paraId="51D8CF03" w14:textId="77777777" w:rsidR="003719CD" w:rsidRPr="009E5D6F" w:rsidRDefault="003719CD" w:rsidP="00DC39DE">
      <w:pPr>
        <w:rPr>
          <w:rStyle w:val="Guidance"/>
        </w:rPr>
      </w:pPr>
      <w:r w:rsidRPr="009E5D6F">
        <w:rPr>
          <w:rStyle w:val="Guidance"/>
          <w:b/>
          <w:bCs/>
        </w:rPr>
        <w:t>Operating activities</w:t>
      </w:r>
      <w:r w:rsidRPr="009E5D6F">
        <w:rPr>
          <w:rStyle w:val="Guidance"/>
        </w:rPr>
        <w:t xml:space="preserve"> </w:t>
      </w:r>
      <w:r w:rsidRPr="009E5D6F">
        <w:rPr>
          <w:rStyle w:val="Reference"/>
        </w:rPr>
        <w:t>[AASB 107.14]</w:t>
      </w:r>
      <w:r w:rsidRPr="009E5D6F">
        <w:rPr>
          <w:rStyle w:val="Guidance"/>
        </w:rPr>
        <w:t>: Cash flows from operating activities are primarily derived from principal income generating activities and therefore generally arise from transactions and other events used in the determination of net result. Examples of cash inflows and/or outflows from operating activities are associated with:</w:t>
      </w:r>
    </w:p>
    <w:p w14:paraId="058A8C25" w14:textId="15D85AB7" w:rsidR="003719CD" w:rsidRPr="009E5D6F" w:rsidRDefault="003719CD" w:rsidP="00310F12">
      <w:pPr>
        <w:pStyle w:val="ListBullet"/>
        <w:rPr>
          <w:rStyle w:val="Guidance"/>
        </w:rPr>
      </w:pPr>
      <w:r w:rsidRPr="009E5D6F">
        <w:rPr>
          <w:rStyle w:val="Guidance"/>
        </w:rPr>
        <w:t>the sale of goods and the rendering of services</w:t>
      </w:r>
    </w:p>
    <w:p w14:paraId="2F2F2A0E" w14:textId="281CCFB6" w:rsidR="003719CD" w:rsidRPr="009E5D6F" w:rsidRDefault="003719CD" w:rsidP="00310F12">
      <w:pPr>
        <w:pStyle w:val="ListBullet"/>
        <w:rPr>
          <w:rStyle w:val="Guidance"/>
        </w:rPr>
      </w:pPr>
      <w:r w:rsidRPr="009E5D6F">
        <w:rPr>
          <w:rStyle w:val="Guidance"/>
        </w:rPr>
        <w:t>royalty, fees, commissions and other income</w:t>
      </w:r>
    </w:p>
    <w:p w14:paraId="3F6D20EB" w14:textId="7459398D" w:rsidR="003719CD" w:rsidRPr="009E5D6F" w:rsidRDefault="003719CD" w:rsidP="00310F12">
      <w:pPr>
        <w:pStyle w:val="ListBullet"/>
        <w:rPr>
          <w:rStyle w:val="Guidance"/>
        </w:rPr>
      </w:pPr>
      <w:r w:rsidRPr="009E5D6F">
        <w:rPr>
          <w:rStyle w:val="Guidance"/>
        </w:rPr>
        <w:t>payments to suppliers for goods and services, including purchases of inventory</w:t>
      </w:r>
    </w:p>
    <w:p w14:paraId="5894BC4C" w14:textId="1E01DE85" w:rsidR="003719CD" w:rsidRPr="009E5D6F" w:rsidRDefault="003719CD" w:rsidP="00310F12">
      <w:pPr>
        <w:pStyle w:val="ListBullet"/>
        <w:rPr>
          <w:rStyle w:val="Guidance"/>
        </w:rPr>
      </w:pPr>
      <w:r w:rsidRPr="009E5D6F">
        <w:rPr>
          <w:rStyle w:val="Guidance"/>
        </w:rPr>
        <w:t>cash payments to and on behalf of employees</w:t>
      </w:r>
    </w:p>
    <w:p w14:paraId="5D08A326" w14:textId="48C25761" w:rsidR="003719CD" w:rsidRPr="009E5D6F" w:rsidRDefault="003719CD" w:rsidP="00310F12">
      <w:pPr>
        <w:pStyle w:val="ListBullet"/>
        <w:rPr>
          <w:rStyle w:val="Guidance"/>
        </w:rPr>
      </w:pPr>
      <w:r w:rsidRPr="009E5D6F">
        <w:rPr>
          <w:rStyle w:val="Guidance"/>
        </w:rPr>
        <w:t>premiums and claims, annuities and other policy benefits (for insurance entities)</w:t>
      </w:r>
    </w:p>
    <w:p w14:paraId="2F67C617" w14:textId="629EED84" w:rsidR="003719CD" w:rsidRPr="009E5D6F" w:rsidRDefault="003719CD" w:rsidP="00310F12">
      <w:pPr>
        <w:pStyle w:val="ListBullet"/>
        <w:rPr>
          <w:rStyle w:val="Guidance"/>
        </w:rPr>
      </w:pPr>
      <w:r w:rsidRPr="009E5D6F">
        <w:rPr>
          <w:rStyle w:val="Guidance"/>
        </w:rPr>
        <w:t>income taxes (only applicable to those entities subject to the National Tax Equivalent Regime)</w:t>
      </w:r>
    </w:p>
    <w:p w14:paraId="3B273FAA" w14:textId="060AD386" w:rsidR="003719CD" w:rsidRPr="009E5D6F" w:rsidRDefault="003719CD" w:rsidP="00310F12">
      <w:pPr>
        <w:pStyle w:val="ListBullet"/>
        <w:rPr>
          <w:rStyle w:val="Guidance"/>
        </w:rPr>
      </w:pPr>
      <w:r w:rsidRPr="009E5D6F">
        <w:rPr>
          <w:rStyle w:val="Guidance"/>
        </w:rPr>
        <w:t>contracts held for dealing or trading purposes</w:t>
      </w:r>
    </w:p>
    <w:p w14:paraId="6BC23865" w14:textId="7B62952D" w:rsidR="003719CD" w:rsidRPr="009E5D6F" w:rsidRDefault="003719CD" w:rsidP="00310F12">
      <w:pPr>
        <w:pStyle w:val="ListBullet"/>
        <w:rPr>
          <w:rStyle w:val="Guidance"/>
        </w:rPr>
      </w:pPr>
      <w:r w:rsidRPr="009E5D6F">
        <w:rPr>
          <w:rStyle w:val="Guidance"/>
        </w:rPr>
        <w:t xml:space="preserve">cash dividends received </w:t>
      </w:r>
      <w:r w:rsidRPr="009E5D6F">
        <w:rPr>
          <w:rStyle w:val="Reference"/>
        </w:rPr>
        <w:t>[FRD 110]</w:t>
      </w:r>
    </w:p>
    <w:p w14:paraId="14FA5A27" w14:textId="1001DC7B" w:rsidR="003719CD" w:rsidRPr="009E5D6F" w:rsidRDefault="003719CD" w:rsidP="00310F12">
      <w:pPr>
        <w:pStyle w:val="ListBullet"/>
        <w:rPr>
          <w:rStyle w:val="Guidance"/>
        </w:rPr>
      </w:pPr>
      <w:r w:rsidRPr="009E5D6F">
        <w:rPr>
          <w:rStyle w:val="Guidance"/>
        </w:rPr>
        <w:t xml:space="preserve">interest income and expense separately. </w:t>
      </w:r>
      <w:r w:rsidRPr="009E5D6F">
        <w:rPr>
          <w:rStyle w:val="Reference"/>
        </w:rPr>
        <w:t>[FRD 110]</w:t>
      </w:r>
    </w:p>
    <w:p w14:paraId="63614D87" w14:textId="32741B59" w:rsidR="003719CD" w:rsidRPr="009E5D6F" w:rsidRDefault="003719CD" w:rsidP="00DC39DE">
      <w:pPr>
        <w:rPr>
          <w:rStyle w:val="Guidance"/>
        </w:rPr>
      </w:pPr>
      <w:r w:rsidRPr="009E5D6F">
        <w:rPr>
          <w:rStyle w:val="Guidance"/>
          <w:b/>
          <w:bCs/>
        </w:rPr>
        <w:t>Investing activities</w:t>
      </w:r>
      <w:r w:rsidRPr="009E5D6F">
        <w:rPr>
          <w:rStyle w:val="Guidance"/>
        </w:rPr>
        <w:t xml:space="preserve"> </w:t>
      </w:r>
      <w:r w:rsidRPr="009E5D6F">
        <w:rPr>
          <w:rStyle w:val="Reference"/>
        </w:rPr>
        <w:t>[AASB 107.16]</w:t>
      </w:r>
      <w:r w:rsidRPr="009E5D6F">
        <w:rPr>
          <w:rStyle w:val="Guidance"/>
        </w:rPr>
        <w:t xml:space="preserve">: These cash flows are used in acquiring assets (or disposal of those assets) intended to generate future income and cash flows. For cash outflows, unless it gives rise to an asset on the balance sheet, it cannot be classified as part of ‘investing activities’. For instance, cash expended on research and development activities can only be disclosed as cash flows from investing activity when the asset is recognised on the balance sheet. </w:t>
      </w:r>
    </w:p>
    <w:p w14:paraId="26E81933" w14:textId="77777777" w:rsidR="003719CD" w:rsidRPr="009E5D6F" w:rsidRDefault="003719CD" w:rsidP="00DC39DE">
      <w:pPr>
        <w:rPr>
          <w:rStyle w:val="Guidance"/>
        </w:rPr>
      </w:pPr>
      <w:r w:rsidRPr="009E5D6F">
        <w:rPr>
          <w:rStyle w:val="Guidance"/>
        </w:rPr>
        <w:t>Examples of cash flows arising from investing activities are cash inflows (disposals) or cash payments (acquisition) associated with:</w:t>
      </w:r>
    </w:p>
    <w:p w14:paraId="311B753F" w14:textId="2B49F5CE" w:rsidR="003719CD" w:rsidRPr="009E5D6F" w:rsidRDefault="003719CD" w:rsidP="00310F12">
      <w:pPr>
        <w:pStyle w:val="ListBullet"/>
        <w:rPr>
          <w:rStyle w:val="Guidance"/>
        </w:rPr>
      </w:pPr>
      <w:r w:rsidRPr="009E5D6F">
        <w:rPr>
          <w:rStyle w:val="Guidance"/>
        </w:rPr>
        <w:t>acquisition (outflow) or disposal (inflow) of property, plant and equipment, intangibles and other long-term assets (including development costs and self-constructed property, plant and equipment)</w:t>
      </w:r>
    </w:p>
    <w:p w14:paraId="056DC2D0" w14:textId="77777777" w:rsidR="003719CD" w:rsidRPr="009E5D6F" w:rsidRDefault="003719CD" w:rsidP="00310F12">
      <w:pPr>
        <w:pStyle w:val="ListBullet"/>
        <w:rPr>
          <w:rStyle w:val="Guidance"/>
        </w:rPr>
      </w:pPr>
      <w:r w:rsidRPr="009E5D6F">
        <w:rPr>
          <w:rStyle w:val="Guidance"/>
        </w:rPr>
        <w:t xml:space="preserve">acquisition (outflow) or disposal (inflow) of equity or debt instruments of other entities and interests in joint ventures. </w:t>
      </w:r>
    </w:p>
    <w:p w14:paraId="5ED75FA1" w14:textId="77777777" w:rsidR="003719CD" w:rsidRPr="009E5D6F" w:rsidRDefault="003719CD" w:rsidP="00DC39DE">
      <w:pPr>
        <w:rPr>
          <w:rStyle w:val="Guidance"/>
        </w:rPr>
      </w:pPr>
      <w:r w:rsidRPr="009E5D6F">
        <w:rPr>
          <w:rStyle w:val="Guidance"/>
        </w:rPr>
        <w:t>However, if the debt or equity instrument is classified as ‘cash equivalents’ or held for dealing or trading purposes, then these are not recorded as part of ‘investing activities’. This includes:</w:t>
      </w:r>
    </w:p>
    <w:p w14:paraId="077C9AEE" w14:textId="59C3AE16" w:rsidR="003719CD" w:rsidRPr="009E5D6F" w:rsidRDefault="003719CD" w:rsidP="00310F12">
      <w:pPr>
        <w:pStyle w:val="ListBullet"/>
        <w:rPr>
          <w:rStyle w:val="Guidance"/>
        </w:rPr>
      </w:pPr>
      <w:r w:rsidRPr="009E5D6F">
        <w:rPr>
          <w:rStyle w:val="Guidance"/>
        </w:rPr>
        <w:t>cash advances and loans made (outflows) and receipts from the repayment of advances or loans made (inflows) to other parties</w:t>
      </w:r>
      <w:r w:rsidR="002657AB">
        <w:rPr>
          <w:rStyle w:val="Guidance"/>
        </w:rPr>
        <w:t xml:space="preserve">, </w:t>
      </w:r>
      <w:r w:rsidRPr="009E5D6F">
        <w:rPr>
          <w:rStyle w:val="Guidance"/>
        </w:rPr>
        <w:t>unless those advances are made by a financial institution</w:t>
      </w:r>
    </w:p>
    <w:p w14:paraId="52503E1A" w14:textId="1C5F2C7F" w:rsidR="003719CD" w:rsidRPr="009E5D6F" w:rsidRDefault="003719CD" w:rsidP="00310F12">
      <w:pPr>
        <w:pStyle w:val="ListBullet"/>
        <w:rPr>
          <w:rStyle w:val="Guidance"/>
        </w:rPr>
      </w:pPr>
      <w:r w:rsidRPr="009E5D6F">
        <w:rPr>
          <w:rStyle w:val="Guidance"/>
        </w:rPr>
        <w:t>payments (outflows) or receipts (inflows) associated with futures contracts, forward contracts, option contracts and swap contracts</w:t>
      </w:r>
      <w:r w:rsidR="002657AB">
        <w:rPr>
          <w:rStyle w:val="Guidance"/>
        </w:rPr>
        <w:t xml:space="preserve">, </w:t>
      </w:r>
      <w:r w:rsidRPr="009E5D6F">
        <w:rPr>
          <w:rStyle w:val="Guidance"/>
        </w:rPr>
        <w:t>unless those contracts are classified as ‘held for dealing or trading purposes’</w:t>
      </w:r>
      <w:r w:rsidR="002657AB">
        <w:rPr>
          <w:rStyle w:val="Guidance"/>
        </w:rPr>
        <w:t xml:space="preserve"> </w:t>
      </w:r>
      <w:r w:rsidRPr="009E5D6F">
        <w:rPr>
          <w:rStyle w:val="Guidance"/>
        </w:rPr>
        <w:t>or the payments are classified as financing activities in accordance with the guidance below.</w:t>
      </w:r>
    </w:p>
    <w:p w14:paraId="6B6B5AA3" w14:textId="77777777" w:rsidR="003719CD" w:rsidRPr="009E5D6F" w:rsidRDefault="003719CD" w:rsidP="00DC39DE">
      <w:pPr>
        <w:rPr>
          <w:rStyle w:val="Guidance"/>
        </w:rPr>
      </w:pPr>
      <w:r w:rsidRPr="009E5D6F">
        <w:rPr>
          <w:rStyle w:val="Guidance"/>
          <w:b/>
          <w:bCs/>
        </w:rPr>
        <w:t>Financing activities</w:t>
      </w:r>
      <w:r w:rsidRPr="009E5D6F">
        <w:rPr>
          <w:rStyle w:val="Guidance"/>
        </w:rPr>
        <w:t xml:space="preserve"> </w:t>
      </w:r>
      <w:r w:rsidRPr="009E5D6F">
        <w:rPr>
          <w:rStyle w:val="Reference"/>
        </w:rPr>
        <w:t>[AASB 107.21, 107.17]</w:t>
      </w:r>
      <w:r w:rsidRPr="009E5D6F">
        <w:rPr>
          <w:rStyle w:val="Guidance"/>
        </w:rPr>
        <w:t>: Cash flows from financing activities provide information on sources of financing (debt and equity) and could also be indicative of how the providers of capital will claim future cash flows. Examples of cash inflows or cash outflows associated with financing activities are:</w:t>
      </w:r>
    </w:p>
    <w:p w14:paraId="10810E56" w14:textId="0A3AD570" w:rsidR="003719CD" w:rsidRPr="009E5D6F" w:rsidRDefault="003719CD" w:rsidP="00310F12">
      <w:pPr>
        <w:pStyle w:val="ListBullet"/>
        <w:rPr>
          <w:rStyle w:val="Guidance"/>
        </w:rPr>
      </w:pPr>
      <w:r w:rsidRPr="009E5D6F">
        <w:rPr>
          <w:rStyle w:val="Guidance"/>
        </w:rPr>
        <w:t>proceeds from issuing shares or other equity instruments and cash payments to owners to acquire or redeem shares or other equity instruments</w:t>
      </w:r>
    </w:p>
    <w:p w14:paraId="420FBB1B" w14:textId="0E1AE03D" w:rsidR="003719CD" w:rsidRPr="009E5D6F" w:rsidRDefault="003719CD" w:rsidP="00310F12">
      <w:pPr>
        <w:pStyle w:val="ListBullet"/>
        <w:rPr>
          <w:rStyle w:val="Guidance"/>
        </w:rPr>
      </w:pPr>
      <w:r w:rsidRPr="009E5D6F">
        <w:rPr>
          <w:rStyle w:val="Guidance"/>
        </w:rPr>
        <w:t>cash proceeds from issuing debentures, loans, notes, bonds, mortgages and other short or long-term borrowings or repayments of those amounts borrowed</w:t>
      </w:r>
    </w:p>
    <w:p w14:paraId="7089C7AF" w14:textId="77777777" w:rsidR="003719CD" w:rsidRPr="009E5D6F" w:rsidRDefault="003719CD" w:rsidP="00310F12">
      <w:pPr>
        <w:pStyle w:val="ListBullet"/>
        <w:rPr>
          <w:rStyle w:val="Guidance"/>
        </w:rPr>
      </w:pPr>
      <w:r w:rsidRPr="009E5D6F">
        <w:rPr>
          <w:rStyle w:val="Guidance"/>
        </w:rPr>
        <w:t xml:space="preserve">cash payments by a lessee for the reduction of the outstanding liability relating to leases. </w:t>
      </w:r>
    </w:p>
    <w:p w14:paraId="70BE6C59" w14:textId="77777777" w:rsidR="003719CD" w:rsidRPr="009E5D6F" w:rsidRDefault="003719CD" w:rsidP="009E5D6F">
      <w:pPr>
        <w:pStyle w:val="GuidanceHeading"/>
        <w:rPr>
          <w:rStyle w:val="Guidance"/>
        </w:rPr>
      </w:pPr>
      <w:r w:rsidRPr="009E5D6F">
        <w:rPr>
          <w:rStyle w:val="Guidance"/>
        </w:rPr>
        <w:t>Cash received/transferred out due to machinery of government changes</w:t>
      </w:r>
    </w:p>
    <w:p w14:paraId="544F8233" w14:textId="77777777" w:rsidR="003719CD" w:rsidRPr="009E5D6F" w:rsidRDefault="003719CD" w:rsidP="00DC39DE">
      <w:pPr>
        <w:rPr>
          <w:rStyle w:val="Guidance"/>
        </w:rPr>
      </w:pPr>
      <w:r w:rsidRPr="009E5D6F">
        <w:rPr>
          <w:rStyle w:val="Guidance"/>
        </w:rPr>
        <w:t>Where applicable, entities should classify ‘cash received from activities transferred in’ and ‘cash transferred from activities transferred out’ due to machinery of government (MoG) changes under financing activities rather than investing activities. Those two cash flow items are separately disclosed from ‘owner contributions by State Government’ as the former reflects cash flows as a result of MoG changes whereas the latter captures appropriations received directly from the State as contributed capital for capital expenditure purposes.</w:t>
      </w:r>
    </w:p>
    <w:p w14:paraId="0942BFB7" w14:textId="77777777" w:rsidR="003719CD" w:rsidRDefault="003719CD" w:rsidP="009E5D6F">
      <w:pPr>
        <w:pStyle w:val="GuidanceHeading"/>
      </w:pPr>
      <w:r>
        <w:lastRenderedPageBreak/>
        <w:t>Reporting cash flows on a net basis</w:t>
      </w:r>
      <w:r w:rsidRPr="009E5D6F">
        <w:rPr>
          <w:rStyle w:val="Reference"/>
        </w:rPr>
        <w:t xml:space="preserve"> [AASB 107.21 – 107.24]</w:t>
      </w:r>
    </w:p>
    <w:p w14:paraId="60C17325" w14:textId="77777777" w:rsidR="003719CD" w:rsidRPr="009E5D6F" w:rsidRDefault="003719CD" w:rsidP="00DC39DE">
      <w:pPr>
        <w:rPr>
          <w:rStyle w:val="Guidance"/>
        </w:rPr>
      </w:pPr>
      <w:r w:rsidRPr="009E5D6F">
        <w:rPr>
          <w:rStyle w:val="Guidance"/>
        </w:rPr>
        <w:t>Cash inflows and cash outflows shall be reported separately (gross), except when:</w:t>
      </w:r>
    </w:p>
    <w:p w14:paraId="786B3DF6" w14:textId="3BD12A5E" w:rsidR="003719CD" w:rsidRPr="009E5D6F" w:rsidRDefault="003719CD" w:rsidP="00310F12">
      <w:pPr>
        <w:pStyle w:val="ListBullet"/>
        <w:rPr>
          <w:rStyle w:val="Guidance"/>
        </w:rPr>
      </w:pPr>
      <w:r w:rsidRPr="009E5D6F">
        <w:rPr>
          <w:rStyle w:val="Guidance"/>
        </w:rPr>
        <w:t>cash receipts and payments on behalf of customers when the cash flows reflect the activities of the customer rather than those of the entity</w:t>
      </w:r>
    </w:p>
    <w:p w14:paraId="4534F94F" w14:textId="77777777" w:rsidR="003719CD" w:rsidRPr="009E5D6F" w:rsidRDefault="003719CD" w:rsidP="00310F12">
      <w:pPr>
        <w:pStyle w:val="ListBullet"/>
        <w:rPr>
          <w:rStyle w:val="Guidance"/>
        </w:rPr>
      </w:pPr>
      <w:r w:rsidRPr="009E5D6F">
        <w:rPr>
          <w:rStyle w:val="Guidance"/>
        </w:rPr>
        <w:t>cash receipts and payments for items in which the turnover is quick, the amounts are large, and the maturities are short.</w:t>
      </w:r>
    </w:p>
    <w:p w14:paraId="1C4D17C1" w14:textId="77777777" w:rsidR="003719CD" w:rsidRPr="009E5D6F" w:rsidRDefault="003719CD" w:rsidP="00DC39DE">
      <w:pPr>
        <w:rPr>
          <w:rStyle w:val="Guidance"/>
        </w:rPr>
      </w:pPr>
      <w:r w:rsidRPr="009E5D6F">
        <w:rPr>
          <w:rStyle w:val="Guidance"/>
        </w:rPr>
        <w:t>Cash flows arising from each of the following activities of a financial institution are to be reported on a net basis:</w:t>
      </w:r>
    </w:p>
    <w:p w14:paraId="5495089A" w14:textId="625335BB" w:rsidR="003719CD" w:rsidRPr="009E5D6F" w:rsidRDefault="003719CD" w:rsidP="00310F12">
      <w:pPr>
        <w:pStyle w:val="ListBullet"/>
        <w:rPr>
          <w:rStyle w:val="Guidance"/>
        </w:rPr>
      </w:pPr>
      <w:r w:rsidRPr="009E5D6F">
        <w:rPr>
          <w:rStyle w:val="Guidance"/>
        </w:rPr>
        <w:t>cash receipts and payments for the acceptance and repayment of deposits with a fixed maturity date</w:t>
      </w:r>
    </w:p>
    <w:p w14:paraId="7477CC57" w14:textId="2D41421E" w:rsidR="003719CD" w:rsidRPr="009E5D6F" w:rsidRDefault="003719CD" w:rsidP="00310F12">
      <w:pPr>
        <w:pStyle w:val="ListBullet"/>
        <w:rPr>
          <w:rStyle w:val="Guidance"/>
        </w:rPr>
      </w:pPr>
      <w:r w:rsidRPr="009E5D6F">
        <w:rPr>
          <w:rStyle w:val="Guidance"/>
        </w:rPr>
        <w:t>the placement of deposits with and withdrawal of deposits from other financial institutions</w:t>
      </w:r>
    </w:p>
    <w:p w14:paraId="32E721FD" w14:textId="77777777" w:rsidR="003719CD" w:rsidRPr="009E5D6F" w:rsidRDefault="003719CD" w:rsidP="00310F12">
      <w:pPr>
        <w:pStyle w:val="ListBullet"/>
        <w:rPr>
          <w:rStyle w:val="Guidance"/>
        </w:rPr>
      </w:pPr>
      <w:r w:rsidRPr="009E5D6F">
        <w:rPr>
          <w:rStyle w:val="Guidance"/>
        </w:rPr>
        <w:t>cash advances and loans made to customers and the repayment of those advances and loans.</w:t>
      </w:r>
    </w:p>
    <w:p w14:paraId="680FAE77" w14:textId="77777777" w:rsidR="003719CD" w:rsidRDefault="003719CD" w:rsidP="009E5D6F">
      <w:pPr>
        <w:pStyle w:val="GuidanceHeading"/>
      </w:pPr>
      <w:r>
        <w:t xml:space="preserve">Investments in subsidiaries (at cost), associates and joint ventures (using the equity method) </w:t>
      </w:r>
      <w:r>
        <w:br/>
      </w:r>
      <w:r w:rsidRPr="009E5D6F">
        <w:rPr>
          <w:rStyle w:val="Reference"/>
        </w:rPr>
        <w:t>[AASB 107.37 and 107.38]</w:t>
      </w:r>
    </w:p>
    <w:p w14:paraId="3CA4F6FA" w14:textId="1F151CD8" w:rsidR="003719CD" w:rsidRPr="009E5D6F" w:rsidRDefault="003719CD" w:rsidP="00DC39DE">
      <w:pPr>
        <w:rPr>
          <w:rStyle w:val="Guidance"/>
        </w:rPr>
      </w:pPr>
      <w:r w:rsidRPr="009E5D6F">
        <w:rPr>
          <w:rStyle w:val="Guidance"/>
        </w:rPr>
        <w:t xml:space="preserve">The cash flow statement should reflect the cash flows between the investor </w:t>
      </w:r>
      <w:r w:rsidR="00F56EE3">
        <w:rPr>
          <w:rStyle w:val="Guidance"/>
        </w:rPr>
        <w:t>and investee</w:t>
      </w:r>
      <w:r w:rsidR="00436E90">
        <w:rPr>
          <w:rStyle w:val="Guidance"/>
        </w:rPr>
        <w:t xml:space="preserve">. </w:t>
      </w:r>
      <w:r w:rsidRPr="009E5D6F">
        <w:rPr>
          <w:rStyle w:val="Guidance"/>
        </w:rPr>
        <w:t xml:space="preserve">For example, where the investment is reported using the equity method, the cash flow statement of the investor reflects investments, distributions and other payments or receipts between the investor and the associate or joint venture. </w:t>
      </w:r>
    </w:p>
    <w:p w14:paraId="1FA3B64E" w14:textId="77777777" w:rsidR="003719CD" w:rsidRPr="009E5D6F" w:rsidRDefault="003719CD" w:rsidP="00DC39DE">
      <w:pPr>
        <w:rPr>
          <w:rStyle w:val="Guidance"/>
        </w:rPr>
      </w:pPr>
      <w:r w:rsidRPr="009E5D6F">
        <w:rPr>
          <w:rStyle w:val="Guidance"/>
          <w:b/>
          <w:bCs/>
        </w:rPr>
        <w:t>Non-cash transactions</w:t>
      </w:r>
      <w:r w:rsidRPr="009E5D6F">
        <w:rPr>
          <w:rStyle w:val="Guidance"/>
        </w:rPr>
        <w:t xml:space="preserve"> </w:t>
      </w:r>
      <w:r w:rsidRPr="009E5D6F">
        <w:rPr>
          <w:rStyle w:val="Reference"/>
        </w:rPr>
        <w:t>[AASB 107.43]</w:t>
      </w:r>
      <w:r w:rsidRPr="009E5D6F">
        <w:rPr>
          <w:rStyle w:val="Guidance"/>
        </w:rPr>
        <w:t>: Investing and financing transactions that do not require the use of cash or cash equivalents shall be excluded from a cash flow statement. Such transactions shall be disclosed elsewhere in the financial statements in a way that provides all the relevant information about these investing and financing activities.</w:t>
      </w:r>
    </w:p>
    <w:p w14:paraId="66958DE0" w14:textId="77777777" w:rsidR="003719CD" w:rsidRDefault="003719CD" w:rsidP="00D1495F">
      <w:pPr>
        <w:pStyle w:val="GuidanceEnd"/>
      </w:pPr>
    </w:p>
    <w:p w14:paraId="1270A56A" w14:textId="77777777" w:rsidR="003719CD" w:rsidRDefault="003719CD" w:rsidP="00DC39DE">
      <w:pPr>
        <w:sectPr w:rsidR="003719CD" w:rsidSect="006E0E99">
          <w:headerReference w:type="even" r:id="rId17"/>
          <w:headerReference w:type="default" r:id="rId18"/>
          <w:footerReference w:type="even" r:id="rId19"/>
          <w:footerReference w:type="default" r:id="rId20"/>
          <w:footerReference w:type="first" r:id="rId21"/>
          <w:pgSz w:w="11906" w:h="16838" w:code="9"/>
          <w:pgMar w:top="1134" w:right="1134" w:bottom="1134" w:left="1134" w:header="624" w:footer="567" w:gutter="0"/>
          <w:cols w:space="708"/>
          <w:titlePg/>
          <w:docGrid w:linePitch="360"/>
        </w:sectPr>
      </w:pPr>
    </w:p>
    <w:p w14:paraId="0686A196" w14:textId="238CEA2F" w:rsidR="003719CD" w:rsidRDefault="003719CD" w:rsidP="005417F9">
      <w:pPr>
        <w:pStyle w:val="Heading2"/>
        <w:pageBreakBefore/>
      </w:pPr>
      <w:bookmarkStart w:id="7" w:name="SOCIE"/>
      <w:bookmarkEnd w:id="7"/>
      <w:r>
        <w:lastRenderedPageBreak/>
        <w:t>Statement of changes in equity</w:t>
      </w:r>
      <w:r w:rsidRPr="00A71D16">
        <w:rPr>
          <w:vertAlign w:val="superscript"/>
        </w:rPr>
        <w:t xml:space="preserve"> (a)</w:t>
      </w:r>
    </w:p>
    <w:p w14:paraId="75F1B54E" w14:textId="66552BDE" w:rsidR="003719CD" w:rsidRDefault="003719CD" w:rsidP="007D536F">
      <w:pPr>
        <w:pStyle w:val="Caption"/>
      </w:pPr>
      <w:r>
        <w:t xml:space="preserve">For the financial year ended 30 June </w:t>
      </w:r>
      <w:fldSimple w:instr="DOCPROPERTY  YearCurrent  \* MERGEFORMAT">
        <w:r w:rsidR="00A545BA">
          <w:t>20X2</w:t>
        </w:r>
      </w:fldSimple>
      <w:r>
        <w:tab/>
      </w:r>
      <w:r>
        <w:tab/>
        <w:t>($ thousand)</w:t>
      </w:r>
    </w:p>
    <w:tbl>
      <w:tblPr>
        <w:tblStyle w:val="DTFTable"/>
        <w:tblW w:w="14572" w:type="dxa"/>
        <w:tblLayout w:type="fixed"/>
        <w:tblLook w:val="0620" w:firstRow="1" w:lastRow="0" w:firstColumn="0" w:lastColumn="0" w:noHBand="1" w:noVBand="1"/>
      </w:tblPr>
      <w:tblGrid>
        <w:gridCol w:w="1276"/>
        <w:gridCol w:w="3260"/>
        <w:gridCol w:w="567"/>
        <w:gridCol w:w="993"/>
        <w:gridCol w:w="1417"/>
        <w:gridCol w:w="1843"/>
        <w:gridCol w:w="2126"/>
        <w:gridCol w:w="1134"/>
        <w:gridCol w:w="1134"/>
        <w:gridCol w:w="822"/>
      </w:tblGrid>
      <w:tr w:rsidR="006F25E9" w14:paraId="7B9C406B"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276" w:type="dxa"/>
            <w:tcBorders>
              <w:top w:val="nil"/>
              <w:bottom w:val="nil"/>
            </w:tcBorders>
            <w:shd w:val="clear" w:color="auto" w:fill="FFFFFF" w:themeFill="background1"/>
          </w:tcPr>
          <w:p w14:paraId="6FE382ED" w14:textId="77777777" w:rsidR="00182709" w:rsidRDefault="0044097C">
            <w:pPr>
              <w:keepNext/>
              <w:jc w:val="left"/>
            </w:pPr>
            <w:r>
              <w:rPr>
                <w:color w:val="4472C4"/>
                <w:sz w:val="13"/>
              </w:rPr>
              <w:t>Source reference</w:t>
            </w:r>
          </w:p>
        </w:tc>
        <w:tc>
          <w:tcPr>
            <w:tcW w:w="3260" w:type="dxa"/>
          </w:tcPr>
          <w:p w14:paraId="0622C14D" w14:textId="77777777" w:rsidR="00182709" w:rsidRDefault="0044097C">
            <w:pPr>
              <w:keepNext/>
              <w:jc w:val="left"/>
            </w:pPr>
            <w:r>
              <w:t>For illustrative purposes only</w:t>
            </w:r>
          </w:p>
        </w:tc>
        <w:tc>
          <w:tcPr>
            <w:tcW w:w="567" w:type="dxa"/>
          </w:tcPr>
          <w:p w14:paraId="7E5E5C8B" w14:textId="77777777" w:rsidR="00182709" w:rsidRDefault="0044097C">
            <w:pPr>
              <w:keepNext/>
              <w:jc w:val="center"/>
            </w:pPr>
            <w:r>
              <w:t>Notes</w:t>
            </w:r>
          </w:p>
        </w:tc>
        <w:tc>
          <w:tcPr>
            <w:tcW w:w="993" w:type="dxa"/>
          </w:tcPr>
          <w:p w14:paraId="05113BD5" w14:textId="77777777" w:rsidR="00182709" w:rsidRDefault="0044097C">
            <w:pPr>
              <w:keepNext/>
            </w:pPr>
            <w:r>
              <w:t>Physical asset revaluation surplus</w:t>
            </w:r>
          </w:p>
        </w:tc>
        <w:tc>
          <w:tcPr>
            <w:tcW w:w="1417" w:type="dxa"/>
          </w:tcPr>
          <w:p w14:paraId="01310D42" w14:textId="4D4817EC" w:rsidR="00182709" w:rsidRDefault="00182709">
            <w:pPr>
              <w:keepNext/>
            </w:pPr>
          </w:p>
        </w:tc>
        <w:tc>
          <w:tcPr>
            <w:tcW w:w="1843" w:type="dxa"/>
          </w:tcPr>
          <w:p w14:paraId="51D65D44" w14:textId="77777777" w:rsidR="00182709" w:rsidRDefault="0044097C">
            <w:pPr>
              <w:keepNext/>
            </w:pPr>
            <w:r>
              <w:t>Financial assets at fair value through other comprehensive income revaluation reserve</w:t>
            </w:r>
          </w:p>
        </w:tc>
        <w:tc>
          <w:tcPr>
            <w:tcW w:w="2126" w:type="dxa"/>
          </w:tcPr>
          <w:p w14:paraId="27C4CDB3" w14:textId="77777777" w:rsidR="00182709" w:rsidRDefault="0044097C">
            <w:pPr>
              <w:keepNext/>
            </w:pPr>
            <w:r>
              <w:t>Own credit risk revaluation reserve relating to financial liabilities designated at fair value through profit or loss</w:t>
            </w:r>
          </w:p>
        </w:tc>
        <w:tc>
          <w:tcPr>
            <w:tcW w:w="1134" w:type="dxa"/>
          </w:tcPr>
          <w:p w14:paraId="441422B8" w14:textId="77777777" w:rsidR="00182709" w:rsidRDefault="0044097C">
            <w:pPr>
              <w:keepNext/>
            </w:pPr>
            <w:r>
              <w:t>Accumulated surplus</w:t>
            </w:r>
          </w:p>
        </w:tc>
        <w:tc>
          <w:tcPr>
            <w:tcW w:w="1134" w:type="dxa"/>
          </w:tcPr>
          <w:p w14:paraId="5384CCC0" w14:textId="77777777" w:rsidR="00182709" w:rsidRDefault="0044097C">
            <w:pPr>
              <w:keepNext/>
            </w:pPr>
            <w:r>
              <w:t>Contributions by owner</w:t>
            </w:r>
          </w:p>
        </w:tc>
        <w:tc>
          <w:tcPr>
            <w:tcW w:w="822" w:type="dxa"/>
          </w:tcPr>
          <w:p w14:paraId="28AFCEC6" w14:textId="77777777" w:rsidR="00182709" w:rsidRDefault="0044097C">
            <w:pPr>
              <w:keepNext/>
            </w:pPr>
            <w:r>
              <w:t>Total</w:t>
            </w:r>
          </w:p>
        </w:tc>
      </w:tr>
      <w:tr w:rsidR="00182709" w14:paraId="295B6B63" w14:textId="77777777" w:rsidTr="006F25E9">
        <w:tc>
          <w:tcPr>
            <w:tcW w:w="1276" w:type="dxa"/>
          </w:tcPr>
          <w:p w14:paraId="34603571" w14:textId="77777777" w:rsidR="00182709" w:rsidRDefault="0044097C">
            <w:pPr>
              <w:jc w:val="left"/>
            </w:pPr>
            <w:r>
              <w:rPr>
                <w:color w:val="4472C4"/>
                <w:sz w:val="13"/>
              </w:rPr>
              <w:t>AASB 101.106 (d)</w:t>
            </w:r>
          </w:p>
        </w:tc>
        <w:tc>
          <w:tcPr>
            <w:tcW w:w="3260" w:type="dxa"/>
          </w:tcPr>
          <w:p w14:paraId="69EF1188" w14:textId="080040CC" w:rsidR="00182709" w:rsidRDefault="0044097C" w:rsidP="006F25E9">
            <w:pPr>
              <w:ind w:left="170" w:hanging="170"/>
              <w:jc w:val="left"/>
            </w:pPr>
            <w:r>
              <w:rPr>
                <w:b/>
              </w:rPr>
              <w:t>Balance at 1 July 20X0</w:t>
            </w:r>
          </w:p>
        </w:tc>
        <w:tc>
          <w:tcPr>
            <w:tcW w:w="567" w:type="dxa"/>
          </w:tcPr>
          <w:p w14:paraId="13807450" w14:textId="77777777" w:rsidR="00182709" w:rsidRDefault="00182709">
            <w:pPr>
              <w:jc w:val="center"/>
            </w:pPr>
          </w:p>
        </w:tc>
        <w:tc>
          <w:tcPr>
            <w:tcW w:w="993" w:type="dxa"/>
          </w:tcPr>
          <w:p w14:paraId="41FAD5BD" w14:textId="77777777" w:rsidR="00182709" w:rsidRDefault="0044097C">
            <w:r>
              <w:t>4 626</w:t>
            </w:r>
          </w:p>
        </w:tc>
        <w:tc>
          <w:tcPr>
            <w:tcW w:w="1417" w:type="dxa"/>
          </w:tcPr>
          <w:p w14:paraId="4EE681BC" w14:textId="02BC6C09" w:rsidR="00182709" w:rsidRDefault="00182709"/>
        </w:tc>
        <w:tc>
          <w:tcPr>
            <w:tcW w:w="1843" w:type="dxa"/>
          </w:tcPr>
          <w:p w14:paraId="7C0BED79" w14:textId="77777777" w:rsidR="00182709" w:rsidRDefault="0044097C">
            <w:r>
              <w:t>1 723</w:t>
            </w:r>
          </w:p>
        </w:tc>
        <w:tc>
          <w:tcPr>
            <w:tcW w:w="2126" w:type="dxa"/>
          </w:tcPr>
          <w:p w14:paraId="70A23589" w14:textId="77777777" w:rsidR="00182709" w:rsidRDefault="0044097C">
            <w:r>
              <w:t>..</w:t>
            </w:r>
          </w:p>
        </w:tc>
        <w:tc>
          <w:tcPr>
            <w:tcW w:w="1134" w:type="dxa"/>
          </w:tcPr>
          <w:p w14:paraId="19ECCF45" w14:textId="77777777" w:rsidR="00182709" w:rsidRDefault="0044097C">
            <w:r>
              <w:t>59 378</w:t>
            </w:r>
          </w:p>
        </w:tc>
        <w:tc>
          <w:tcPr>
            <w:tcW w:w="1134" w:type="dxa"/>
          </w:tcPr>
          <w:p w14:paraId="2CD83F58" w14:textId="77777777" w:rsidR="00182709" w:rsidRDefault="0044097C">
            <w:r>
              <w:t>27 845</w:t>
            </w:r>
          </w:p>
        </w:tc>
        <w:tc>
          <w:tcPr>
            <w:tcW w:w="822" w:type="dxa"/>
          </w:tcPr>
          <w:p w14:paraId="7F02CC10" w14:textId="77777777" w:rsidR="00182709" w:rsidRDefault="0044097C">
            <w:r>
              <w:t>93 572</w:t>
            </w:r>
          </w:p>
        </w:tc>
      </w:tr>
      <w:tr w:rsidR="00182709" w14:paraId="24D4951F" w14:textId="77777777" w:rsidTr="006F25E9">
        <w:tc>
          <w:tcPr>
            <w:tcW w:w="1276" w:type="dxa"/>
          </w:tcPr>
          <w:p w14:paraId="33338C42" w14:textId="77777777" w:rsidR="00182709" w:rsidRDefault="00182709">
            <w:pPr>
              <w:jc w:val="left"/>
            </w:pPr>
          </w:p>
        </w:tc>
        <w:tc>
          <w:tcPr>
            <w:tcW w:w="3260" w:type="dxa"/>
          </w:tcPr>
          <w:p w14:paraId="5B988AE7" w14:textId="77777777" w:rsidR="00182709" w:rsidRDefault="0044097C" w:rsidP="006F25E9">
            <w:pPr>
              <w:ind w:left="170" w:hanging="170"/>
              <w:jc w:val="left"/>
            </w:pPr>
            <w:r>
              <w:t>Net result for the year</w:t>
            </w:r>
          </w:p>
        </w:tc>
        <w:tc>
          <w:tcPr>
            <w:tcW w:w="567" w:type="dxa"/>
          </w:tcPr>
          <w:p w14:paraId="0615B256" w14:textId="77777777" w:rsidR="00182709" w:rsidRDefault="00182709">
            <w:pPr>
              <w:jc w:val="center"/>
            </w:pPr>
          </w:p>
        </w:tc>
        <w:tc>
          <w:tcPr>
            <w:tcW w:w="993" w:type="dxa"/>
          </w:tcPr>
          <w:p w14:paraId="09674EBC" w14:textId="77777777" w:rsidR="00182709" w:rsidRDefault="0044097C">
            <w:r>
              <w:t>..</w:t>
            </w:r>
          </w:p>
        </w:tc>
        <w:tc>
          <w:tcPr>
            <w:tcW w:w="1417" w:type="dxa"/>
          </w:tcPr>
          <w:p w14:paraId="5B442C55" w14:textId="33E6C796" w:rsidR="00182709" w:rsidRDefault="00182709"/>
        </w:tc>
        <w:tc>
          <w:tcPr>
            <w:tcW w:w="1843" w:type="dxa"/>
          </w:tcPr>
          <w:p w14:paraId="61658EE5" w14:textId="77777777" w:rsidR="00182709" w:rsidRDefault="0044097C">
            <w:r>
              <w:t>..</w:t>
            </w:r>
          </w:p>
        </w:tc>
        <w:tc>
          <w:tcPr>
            <w:tcW w:w="2126" w:type="dxa"/>
          </w:tcPr>
          <w:p w14:paraId="1027D51D" w14:textId="77777777" w:rsidR="00182709" w:rsidRDefault="0044097C">
            <w:r>
              <w:t>..</w:t>
            </w:r>
          </w:p>
        </w:tc>
        <w:tc>
          <w:tcPr>
            <w:tcW w:w="1134" w:type="dxa"/>
          </w:tcPr>
          <w:p w14:paraId="63277EEB" w14:textId="39561C61" w:rsidR="00182709" w:rsidRDefault="00341DA9">
            <w:r>
              <w:t>7</w:t>
            </w:r>
            <w:r w:rsidR="0044097C">
              <w:t xml:space="preserve"> </w:t>
            </w:r>
            <w:r>
              <w:t>624</w:t>
            </w:r>
          </w:p>
        </w:tc>
        <w:tc>
          <w:tcPr>
            <w:tcW w:w="1134" w:type="dxa"/>
          </w:tcPr>
          <w:p w14:paraId="7D3CDED9" w14:textId="77777777" w:rsidR="00182709" w:rsidRDefault="0044097C">
            <w:r>
              <w:t>..</w:t>
            </w:r>
          </w:p>
        </w:tc>
        <w:tc>
          <w:tcPr>
            <w:tcW w:w="822" w:type="dxa"/>
          </w:tcPr>
          <w:p w14:paraId="233E371A" w14:textId="00C5FAE4" w:rsidR="00182709" w:rsidRDefault="00341DA9">
            <w:r>
              <w:t>7</w:t>
            </w:r>
            <w:r w:rsidR="0044097C">
              <w:t xml:space="preserve"> </w:t>
            </w:r>
            <w:r>
              <w:t>624</w:t>
            </w:r>
          </w:p>
        </w:tc>
      </w:tr>
      <w:tr w:rsidR="00182709" w14:paraId="6E2A575F" w14:textId="77777777" w:rsidTr="006F25E9">
        <w:tc>
          <w:tcPr>
            <w:tcW w:w="1276" w:type="dxa"/>
          </w:tcPr>
          <w:p w14:paraId="0A699457" w14:textId="77777777" w:rsidR="00182709" w:rsidRDefault="00182709">
            <w:pPr>
              <w:jc w:val="left"/>
            </w:pPr>
          </w:p>
        </w:tc>
        <w:tc>
          <w:tcPr>
            <w:tcW w:w="3260" w:type="dxa"/>
          </w:tcPr>
          <w:p w14:paraId="0F6C8B6D" w14:textId="77777777" w:rsidR="00182709" w:rsidRDefault="0044097C" w:rsidP="006F25E9">
            <w:pPr>
              <w:ind w:left="170" w:hanging="170"/>
              <w:jc w:val="left"/>
            </w:pPr>
            <w:r>
              <w:t>Other comprehensive income for the year</w:t>
            </w:r>
          </w:p>
        </w:tc>
        <w:tc>
          <w:tcPr>
            <w:tcW w:w="567" w:type="dxa"/>
          </w:tcPr>
          <w:p w14:paraId="522D8274" w14:textId="77777777" w:rsidR="00182709" w:rsidRDefault="0044097C">
            <w:pPr>
              <w:jc w:val="center"/>
            </w:pPr>
            <w:r>
              <w:t>9.4</w:t>
            </w:r>
          </w:p>
        </w:tc>
        <w:tc>
          <w:tcPr>
            <w:tcW w:w="993" w:type="dxa"/>
          </w:tcPr>
          <w:p w14:paraId="36F27C46" w14:textId="77777777" w:rsidR="00182709" w:rsidRDefault="0044097C">
            <w:r>
              <w:t>2 955</w:t>
            </w:r>
          </w:p>
        </w:tc>
        <w:tc>
          <w:tcPr>
            <w:tcW w:w="1417" w:type="dxa"/>
          </w:tcPr>
          <w:p w14:paraId="0F9664FF" w14:textId="56EEA333" w:rsidR="00182709" w:rsidRDefault="00182709"/>
        </w:tc>
        <w:tc>
          <w:tcPr>
            <w:tcW w:w="1843" w:type="dxa"/>
          </w:tcPr>
          <w:p w14:paraId="17AD3CC4" w14:textId="77777777" w:rsidR="00182709" w:rsidRDefault="0044097C">
            <w:r>
              <w:t>..</w:t>
            </w:r>
          </w:p>
        </w:tc>
        <w:tc>
          <w:tcPr>
            <w:tcW w:w="2126" w:type="dxa"/>
          </w:tcPr>
          <w:p w14:paraId="6C00F288" w14:textId="77777777" w:rsidR="00182709" w:rsidRDefault="0044097C">
            <w:r>
              <w:t>..</w:t>
            </w:r>
          </w:p>
        </w:tc>
        <w:tc>
          <w:tcPr>
            <w:tcW w:w="1134" w:type="dxa"/>
          </w:tcPr>
          <w:p w14:paraId="7B65489C" w14:textId="77777777" w:rsidR="00182709" w:rsidRDefault="0044097C">
            <w:r>
              <w:t>..</w:t>
            </w:r>
          </w:p>
        </w:tc>
        <w:tc>
          <w:tcPr>
            <w:tcW w:w="1134" w:type="dxa"/>
          </w:tcPr>
          <w:p w14:paraId="779F7697" w14:textId="77777777" w:rsidR="00182709" w:rsidRDefault="0044097C">
            <w:r>
              <w:t>..</w:t>
            </w:r>
          </w:p>
        </w:tc>
        <w:tc>
          <w:tcPr>
            <w:tcW w:w="822" w:type="dxa"/>
          </w:tcPr>
          <w:p w14:paraId="3B956AAE" w14:textId="77777777" w:rsidR="00182709" w:rsidRDefault="0044097C">
            <w:r>
              <w:t>2 955</w:t>
            </w:r>
          </w:p>
        </w:tc>
      </w:tr>
      <w:tr w:rsidR="00182709" w14:paraId="7E865366" w14:textId="77777777" w:rsidTr="006F25E9">
        <w:tc>
          <w:tcPr>
            <w:tcW w:w="1276" w:type="dxa"/>
          </w:tcPr>
          <w:p w14:paraId="6966C042" w14:textId="77777777" w:rsidR="00182709" w:rsidRDefault="00182709">
            <w:pPr>
              <w:jc w:val="left"/>
            </w:pPr>
          </w:p>
        </w:tc>
        <w:tc>
          <w:tcPr>
            <w:tcW w:w="3260" w:type="dxa"/>
          </w:tcPr>
          <w:p w14:paraId="25EAA1C8" w14:textId="77777777" w:rsidR="00182709" w:rsidRDefault="0044097C" w:rsidP="006F25E9">
            <w:pPr>
              <w:ind w:left="170" w:hanging="170"/>
              <w:jc w:val="left"/>
            </w:pPr>
            <w:r>
              <w:t>Transfer to accumulated surplus</w:t>
            </w:r>
          </w:p>
        </w:tc>
        <w:tc>
          <w:tcPr>
            <w:tcW w:w="567" w:type="dxa"/>
          </w:tcPr>
          <w:p w14:paraId="354D4E86" w14:textId="77777777" w:rsidR="00182709" w:rsidRDefault="0044097C">
            <w:pPr>
              <w:jc w:val="center"/>
            </w:pPr>
            <w:r>
              <w:t>9.4</w:t>
            </w:r>
          </w:p>
        </w:tc>
        <w:tc>
          <w:tcPr>
            <w:tcW w:w="993" w:type="dxa"/>
          </w:tcPr>
          <w:p w14:paraId="71CA2E7D" w14:textId="77777777" w:rsidR="00182709" w:rsidRDefault="0044097C">
            <w:r>
              <w:t>(1 822)</w:t>
            </w:r>
          </w:p>
        </w:tc>
        <w:tc>
          <w:tcPr>
            <w:tcW w:w="1417" w:type="dxa"/>
          </w:tcPr>
          <w:p w14:paraId="74665A02" w14:textId="36C5FB1E" w:rsidR="00182709" w:rsidRDefault="00182709"/>
        </w:tc>
        <w:tc>
          <w:tcPr>
            <w:tcW w:w="1843" w:type="dxa"/>
          </w:tcPr>
          <w:p w14:paraId="1597EE73" w14:textId="77777777" w:rsidR="00182709" w:rsidRDefault="0044097C">
            <w:r>
              <w:t>..</w:t>
            </w:r>
          </w:p>
        </w:tc>
        <w:tc>
          <w:tcPr>
            <w:tcW w:w="2126" w:type="dxa"/>
          </w:tcPr>
          <w:p w14:paraId="00A35EAA" w14:textId="77777777" w:rsidR="00182709" w:rsidRDefault="0044097C">
            <w:r>
              <w:t>..</w:t>
            </w:r>
          </w:p>
        </w:tc>
        <w:tc>
          <w:tcPr>
            <w:tcW w:w="1134" w:type="dxa"/>
          </w:tcPr>
          <w:p w14:paraId="16734BAB" w14:textId="77777777" w:rsidR="00182709" w:rsidRDefault="0044097C">
            <w:r>
              <w:t>1 822</w:t>
            </w:r>
          </w:p>
        </w:tc>
        <w:tc>
          <w:tcPr>
            <w:tcW w:w="1134" w:type="dxa"/>
          </w:tcPr>
          <w:p w14:paraId="602AA388" w14:textId="77777777" w:rsidR="00182709" w:rsidRDefault="0044097C">
            <w:r>
              <w:t>..</w:t>
            </w:r>
          </w:p>
        </w:tc>
        <w:tc>
          <w:tcPr>
            <w:tcW w:w="822" w:type="dxa"/>
          </w:tcPr>
          <w:p w14:paraId="5ED07787" w14:textId="77777777" w:rsidR="00182709" w:rsidRDefault="0044097C">
            <w:r>
              <w:t>..</w:t>
            </w:r>
          </w:p>
        </w:tc>
      </w:tr>
      <w:tr w:rsidR="00182709" w14:paraId="274DDECC" w14:textId="77777777" w:rsidTr="006F25E9">
        <w:tc>
          <w:tcPr>
            <w:tcW w:w="1276" w:type="dxa"/>
          </w:tcPr>
          <w:p w14:paraId="023A7CB3" w14:textId="77777777" w:rsidR="00182709" w:rsidRDefault="00182709">
            <w:pPr>
              <w:jc w:val="left"/>
            </w:pPr>
          </w:p>
        </w:tc>
        <w:tc>
          <w:tcPr>
            <w:tcW w:w="3260" w:type="dxa"/>
            <w:tcBorders>
              <w:bottom w:val="single" w:sz="12" w:space="0" w:color="auto"/>
            </w:tcBorders>
          </w:tcPr>
          <w:p w14:paraId="18CE9042" w14:textId="77777777" w:rsidR="00182709" w:rsidRDefault="0044097C" w:rsidP="006F25E9">
            <w:pPr>
              <w:ind w:left="170" w:hanging="170"/>
              <w:jc w:val="left"/>
            </w:pPr>
            <w:r>
              <w:t>Capital appropriations</w:t>
            </w:r>
          </w:p>
        </w:tc>
        <w:tc>
          <w:tcPr>
            <w:tcW w:w="567" w:type="dxa"/>
            <w:tcBorders>
              <w:bottom w:val="single" w:sz="12" w:space="0" w:color="auto"/>
            </w:tcBorders>
          </w:tcPr>
          <w:p w14:paraId="4780F46B" w14:textId="77777777" w:rsidR="00182709" w:rsidRDefault="0044097C">
            <w:pPr>
              <w:jc w:val="center"/>
            </w:pPr>
            <w:r>
              <w:t>2.3</w:t>
            </w:r>
          </w:p>
        </w:tc>
        <w:tc>
          <w:tcPr>
            <w:tcW w:w="993" w:type="dxa"/>
            <w:tcBorders>
              <w:bottom w:val="single" w:sz="12" w:space="0" w:color="auto"/>
            </w:tcBorders>
          </w:tcPr>
          <w:p w14:paraId="392D7F71" w14:textId="77777777" w:rsidR="00182709" w:rsidRDefault="0044097C">
            <w:r>
              <w:t>..</w:t>
            </w:r>
          </w:p>
        </w:tc>
        <w:tc>
          <w:tcPr>
            <w:tcW w:w="1417" w:type="dxa"/>
            <w:tcBorders>
              <w:bottom w:val="single" w:sz="12" w:space="0" w:color="auto"/>
            </w:tcBorders>
          </w:tcPr>
          <w:p w14:paraId="217EF256" w14:textId="29E58EC2" w:rsidR="00182709" w:rsidRDefault="00182709"/>
        </w:tc>
        <w:tc>
          <w:tcPr>
            <w:tcW w:w="1843" w:type="dxa"/>
            <w:tcBorders>
              <w:bottom w:val="single" w:sz="12" w:space="0" w:color="auto"/>
            </w:tcBorders>
          </w:tcPr>
          <w:p w14:paraId="1E239061" w14:textId="77777777" w:rsidR="00182709" w:rsidRDefault="0044097C">
            <w:r>
              <w:t>..</w:t>
            </w:r>
          </w:p>
        </w:tc>
        <w:tc>
          <w:tcPr>
            <w:tcW w:w="2126" w:type="dxa"/>
            <w:tcBorders>
              <w:bottom w:val="single" w:sz="12" w:space="0" w:color="auto"/>
            </w:tcBorders>
          </w:tcPr>
          <w:p w14:paraId="5566A97C" w14:textId="77777777" w:rsidR="00182709" w:rsidRDefault="0044097C">
            <w:r>
              <w:t>..</w:t>
            </w:r>
          </w:p>
        </w:tc>
        <w:tc>
          <w:tcPr>
            <w:tcW w:w="1134" w:type="dxa"/>
            <w:tcBorders>
              <w:bottom w:val="single" w:sz="12" w:space="0" w:color="auto"/>
            </w:tcBorders>
          </w:tcPr>
          <w:p w14:paraId="5E80E87D" w14:textId="77777777" w:rsidR="00182709" w:rsidRDefault="0044097C">
            <w:r>
              <w:t>..</w:t>
            </w:r>
          </w:p>
        </w:tc>
        <w:tc>
          <w:tcPr>
            <w:tcW w:w="1134" w:type="dxa"/>
            <w:tcBorders>
              <w:bottom w:val="single" w:sz="12" w:space="0" w:color="auto"/>
            </w:tcBorders>
          </w:tcPr>
          <w:p w14:paraId="1263F993" w14:textId="77777777" w:rsidR="00182709" w:rsidRDefault="0044097C">
            <w:r>
              <w:t>10 500</w:t>
            </w:r>
          </w:p>
        </w:tc>
        <w:tc>
          <w:tcPr>
            <w:tcW w:w="822" w:type="dxa"/>
            <w:tcBorders>
              <w:bottom w:val="single" w:sz="12" w:space="0" w:color="auto"/>
            </w:tcBorders>
          </w:tcPr>
          <w:p w14:paraId="206A410A" w14:textId="77777777" w:rsidR="00182709" w:rsidRDefault="0044097C">
            <w:r>
              <w:t>10 500</w:t>
            </w:r>
          </w:p>
        </w:tc>
      </w:tr>
      <w:tr w:rsidR="00671D55" w14:paraId="75F3DD52" w14:textId="77777777" w:rsidTr="006F25E9">
        <w:tc>
          <w:tcPr>
            <w:tcW w:w="1276" w:type="dxa"/>
          </w:tcPr>
          <w:p w14:paraId="7168FA7E" w14:textId="77777777" w:rsidR="00182709" w:rsidRDefault="00182709">
            <w:pPr>
              <w:jc w:val="left"/>
            </w:pPr>
          </w:p>
        </w:tc>
        <w:tc>
          <w:tcPr>
            <w:tcW w:w="3260" w:type="dxa"/>
          </w:tcPr>
          <w:p w14:paraId="635EB16D" w14:textId="2B19DE73" w:rsidR="00182709" w:rsidRDefault="0044097C" w:rsidP="006F25E9">
            <w:pPr>
              <w:ind w:left="170" w:hanging="170"/>
              <w:jc w:val="left"/>
            </w:pPr>
            <w:r>
              <w:rPr>
                <w:b/>
              </w:rPr>
              <w:t xml:space="preserve">Balance at 30 June </w:t>
            </w:r>
            <w:r w:rsidR="00E20A3B" w:rsidRPr="00E20A3B">
              <w:rPr>
                <w:b/>
                <w:bCs/>
              </w:rPr>
              <w:fldChar w:fldCharType="begin"/>
            </w:r>
            <w:r w:rsidR="00E20A3B" w:rsidRPr="00E20A3B">
              <w:rPr>
                <w:b/>
                <w:bCs/>
              </w:rPr>
              <w:instrText>DOCPROPERTY  YearPrevious  \* MERGEFORMAT</w:instrText>
            </w:r>
            <w:r w:rsidR="00E20A3B" w:rsidRPr="00E20A3B">
              <w:rPr>
                <w:b/>
                <w:bCs/>
              </w:rPr>
              <w:fldChar w:fldCharType="separate"/>
            </w:r>
            <w:r w:rsidR="00E20A3B" w:rsidRPr="00E20A3B">
              <w:rPr>
                <w:b/>
                <w:bCs/>
              </w:rPr>
              <w:t>20X1</w:t>
            </w:r>
            <w:r w:rsidR="00E20A3B" w:rsidRPr="00E20A3B">
              <w:rPr>
                <w:b/>
                <w:bCs/>
              </w:rPr>
              <w:fldChar w:fldCharType="end"/>
            </w:r>
          </w:p>
        </w:tc>
        <w:tc>
          <w:tcPr>
            <w:tcW w:w="567" w:type="dxa"/>
          </w:tcPr>
          <w:p w14:paraId="42C993F7" w14:textId="77777777" w:rsidR="00182709" w:rsidRDefault="00182709">
            <w:pPr>
              <w:jc w:val="center"/>
            </w:pPr>
          </w:p>
        </w:tc>
        <w:tc>
          <w:tcPr>
            <w:tcW w:w="993" w:type="dxa"/>
          </w:tcPr>
          <w:p w14:paraId="4A3E3DC0" w14:textId="77777777" w:rsidR="00182709" w:rsidRDefault="0044097C">
            <w:r>
              <w:rPr>
                <w:b/>
              </w:rPr>
              <w:t>5 759</w:t>
            </w:r>
          </w:p>
        </w:tc>
        <w:tc>
          <w:tcPr>
            <w:tcW w:w="1417" w:type="dxa"/>
          </w:tcPr>
          <w:p w14:paraId="50D3D27B" w14:textId="042145B0" w:rsidR="00182709" w:rsidRDefault="00182709"/>
        </w:tc>
        <w:tc>
          <w:tcPr>
            <w:tcW w:w="1843" w:type="dxa"/>
          </w:tcPr>
          <w:p w14:paraId="693E8974" w14:textId="77777777" w:rsidR="00182709" w:rsidRDefault="0044097C">
            <w:r>
              <w:rPr>
                <w:b/>
              </w:rPr>
              <w:t>1 723</w:t>
            </w:r>
          </w:p>
        </w:tc>
        <w:tc>
          <w:tcPr>
            <w:tcW w:w="2126" w:type="dxa"/>
          </w:tcPr>
          <w:p w14:paraId="1F2C2001" w14:textId="77777777" w:rsidR="00182709" w:rsidRDefault="0044097C">
            <w:r>
              <w:rPr>
                <w:b/>
              </w:rPr>
              <w:t>..</w:t>
            </w:r>
          </w:p>
        </w:tc>
        <w:tc>
          <w:tcPr>
            <w:tcW w:w="1134" w:type="dxa"/>
          </w:tcPr>
          <w:p w14:paraId="7AD47950" w14:textId="46369BEC" w:rsidR="00182709" w:rsidRDefault="0044097C">
            <w:r>
              <w:rPr>
                <w:b/>
              </w:rPr>
              <w:t xml:space="preserve">68 </w:t>
            </w:r>
            <w:r w:rsidR="00341DA9">
              <w:rPr>
                <w:b/>
              </w:rPr>
              <w:t>82</w:t>
            </w:r>
            <w:r>
              <w:rPr>
                <w:b/>
              </w:rPr>
              <w:t>4</w:t>
            </w:r>
          </w:p>
        </w:tc>
        <w:tc>
          <w:tcPr>
            <w:tcW w:w="1134" w:type="dxa"/>
          </w:tcPr>
          <w:p w14:paraId="443EDFAF" w14:textId="77777777" w:rsidR="00182709" w:rsidRDefault="0044097C">
            <w:r>
              <w:rPr>
                <w:b/>
              </w:rPr>
              <w:t>38 345</w:t>
            </w:r>
          </w:p>
        </w:tc>
        <w:tc>
          <w:tcPr>
            <w:tcW w:w="822" w:type="dxa"/>
          </w:tcPr>
          <w:p w14:paraId="3B180C86" w14:textId="3C501952" w:rsidR="00182709" w:rsidRDefault="0044097C">
            <w:r>
              <w:rPr>
                <w:b/>
              </w:rPr>
              <w:t>11</w:t>
            </w:r>
            <w:r w:rsidR="00341DA9">
              <w:rPr>
                <w:b/>
              </w:rPr>
              <w:t>4</w:t>
            </w:r>
            <w:r>
              <w:rPr>
                <w:b/>
              </w:rPr>
              <w:t xml:space="preserve"> </w:t>
            </w:r>
            <w:r w:rsidR="00341DA9">
              <w:rPr>
                <w:b/>
              </w:rPr>
              <w:t>65</w:t>
            </w:r>
            <w:r>
              <w:rPr>
                <w:b/>
              </w:rPr>
              <w:t>1</w:t>
            </w:r>
          </w:p>
        </w:tc>
      </w:tr>
      <w:tr w:rsidR="00671D55" w14:paraId="3A985186" w14:textId="77777777" w:rsidTr="006F25E9">
        <w:tc>
          <w:tcPr>
            <w:tcW w:w="1276" w:type="dxa"/>
          </w:tcPr>
          <w:p w14:paraId="7311CE88" w14:textId="77777777" w:rsidR="00182709" w:rsidRDefault="00182709">
            <w:pPr>
              <w:jc w:val="left"/>
            </w:pPr>
          </w:p>
        </w:tc>
        <w:tc>
          <w:tcPr>
            <w:tcW w:w="3260" w:type="dxa"/>
          </w:tcPr>
          <w:p w14:paraId="0D2D20E9" w14:textId="5B3538BA" w:rsidR="00182709" w:rsidRDefault="0044097C" w:rsidP="006F25E9">
            <w:pPr>
              <w:ind w:left="170" w:hanging="170"/>
              <w:jc w:val="left"/>
            </w:pPr>
            <w:r>
              <w:rPr>
                <w:b/>
              </w:rPr>
              <w:t xml:space="preserve">Balance at 1 July </w:t>
            </w:r>
            <w:r w:rsidR="00E20A3B" w:rsidRPr="00E20A3B">
              <w:rPr>
                <w:b/>
                <w:bCs/>
              </w:rPr>
              <w:fldChar w:fldCharType="begin"/>
            </w:r>
            <w:r w:rsidR="00E20A3B" w:rsidRPr="00E20A3B">
              <w:rPr>
                <w:b/>
                <w:bCs/>
              </w:rPr>
              <w:instrText>DOCPROPERTY  YearPrevious  \* MERGEFORMAT</w:instrText>
            </w:r>
            <w:r w:rsidR="00E20A3B" w:rsidRPr="00E20A3B">
              <w:rPr>
                <w:b/>
                <w:bCs/>
              </w:rPr>
              <w:fldChar w:fldCharType="separate"/>
            </w:r>
            <w:r w:rsidR="00E20A3B" w:rsidRPr="00E20A3B">
              <w:rPr>
                <w:b/>
                <w:bCs/>
              </w:rPr>
              <w:t>20X1</w:t>
            </w:r>
            <w:r w:rsidR="00E20A3B" w:rsidRPr="00E20A3B">
              <w:rPr>
                <w:b/>
                <w:bCs/>
              </w:rPr>
              <w:fldChar w:fldCharType="end"/>
            </w:r>
          </w:p>
        </w:tc>
        <w:tc>
          <w:tcPr>
            <w:tcW w:w="567" w:type="dxa"/>
          </w:tcPr>
          <w:p w14:paraId="17543488" w14:textId="77777777" w:rsidR="00182709" w:rsidRDefault="00182709">
            <w:pPr>
              <w:jc w:val="center"/>
            </w:pPr>
          </w:p>
        </w:tc>
        <w:tc>
          <w:tcPr>
            <w:tcW w:w="993" w:type="dxa"/>
          </w:tcPr>
          <w:p w14:paraId="14700D7E" w14:textId="77777777" w:rsidR="00182709" w:rsidRDefault="0044097C">
            <w:r>
              <w:rPr>
                <w:b/>
              </w:rPr>
              <w:t>5 759</w:t>
            </w:r>
          </w:p>
        </w:tc>
        <w:tc>
          <w:tcPr>
            <w:tcW w:w="1417" w:type="dxa"/>
          </w:tcPr>
          <w:p w14:paraId="29C24436" w14:textId="508ACCA9" w:rsidR="00182709" w:rsidRDefault="00182709"/>
        </w:tc>
        <w:tc>
          <w:tcPr>
            <w:tcW w:w="1843" w:type="dxa"/>
          </w:tcPr>
          <w:p w14:paraId="1CBF9041" w14:textId="77777777" w:rsidR="00182709" w:rsidRDefault="0044097C">
            <w:r>
              <w:rPr>
                <w:b/>
              </w:rPr>
              <w:t>1 723</w:t>
            </w:r>
          </w:p>
        </w:tc>
        <w:tc>
          <w:tcPr>
            <w:tcW w:w="2126" w:type="dxa"/>
          </w:tcPr>
          <w:p w14:paraId="7C0DCFC6" w14:textId="77777777" w:rsidR="00182709" w:rsidRDefault="0044097C">
            <w:r>
              <w:rPr>
                <w:b/>
              </w:rPr>
              <w:t>..</w:t>
            </w:r>
          </w:p>
        </w:tc>
        <w:tc>
          <w:tcPr>
            <w:tcW w:w="1134" w:type="dxa"/>
          </w:tcPr>
          <w:p w14:paraId="38E8C7AE" w14:textId="67E8322F" w:rsidR="00182709" w:rsidRDefault="0044097C">
            <w:r>
              <w:rPr>
                <w:b/>
              </w:rPr>
              <w:t xml:space="preserve">68 </w:t>
            </w:r>
            <w:r w:rsidR="00341DA9">
              <w:rPr>
                <w:b/>
              </w:rPr>
              <w:t>82</w:t>
            </w:r>
            <w:r>
              <w:rPr>
                <w:b/>
              </w:rPr>
              <w:t>4</w:t>
            </w:r>
          </w:p>
        </w:tc>
        <w:tc>
          <w:tcPr>
            <w:tcW w:w="1134" w:type="dxa"/>
          </w:tcPr>
          <w:p w14:paraId="554135A7" w14:textId="77777777" w:rsidR="00182709" w:rsidRDefault="0044097C">
            <w:r>
              <w:rPr>
                <w:b/>
              </w:rPr>
              <w:t>38 345</w:t>
            </w:r>
          </w:p>
        </w:tc>
        <w:tc>
          <w:tcPr>
            <w:tcW w:w="822" w:type="dxa"/>
          </w:tcPr>
          <w:p w14:paraId="41B42088" w14:textId="366F4DB0" w:rsidR="00182709" w:rsidRDefault="0044097C">
            <w:r>
              <w:rPr>
                <w:b/>
              </w:rPr>
              <w:t>11</w:t>
            </w:r>
            <w:r w:rsidR="00341DA9">
              <w:rPr>
                <w:b/>
              </w:rPr>
              <w:t>4</w:t>
            </w:r>
            <w:r>
              <w:rPr>
                <w:b/>
              </w:rPr>
              <w:t xml:space="preserve"> </w:t>
            </w:r>
            <w:r w:rsidR="00341DA9">
              <w:rPr>
                <w:b/>
              </w:rPr>
              <w:t>65</w:t>
            </w:r>
            <w:r>
              <w:rPr>
                <w:b/>
              </w:rPr>
              <w:t>1</w:t>
            </w:r>
          </w:p>
        </w:tc>
      </w:tr>
      <w:tr w:rsidR="00182709" w14:paraId="6C37FF9E" w14:textId="77777777" w:rsidTr="006F25E9">
        <w:tc>
          <w:tcPr>
            <w:tcW w:w="1276" w:type="dxa"/>
          </w:tcPr>
          <w:p w14:paraId="596A755D" w14:textId="77777777" w:rsidR="00182709" w:rsidRDefault="00182709">
            <w:pPr>
              <w:jc w:val="left"/>
            </w:pPr>
          </w:p>
        </w:tc>
        <w:tc>
          <w:tcPr>
            <w:tcW w:w="3260" w:type="dxa"/>
          </w:tcPr>
          <w:p w14:paraId="64256080" w14:textId="77777777" w:rsidR="00182709" w:rsidRDefault="0044097C" w:rsidP="006F25E9">
            <w:pPr>
              <w:ind w:left="170" w:hanging="170"/>
              <w:jc w:val="left"/>
            </w:pPr>
            <w:r>
              <w:rPr>
                <w:b/>
              </w:rPr>
              <w:t>Net result for the year</w:t>
            </w:r>
          </w:p>
        </w:tc>
        <w:tc>
          <w:tcPr>
            <w:tcW w:w="567" w:type="dxa"/>
          </w:tcPr>
          <w:p w14:paraId="08F4080A" w14:textId="77777777" w:rsidR="00182709" w:rsidRDefault="00182709">
            <w:pPr>
              <w:jc w:val="center"/>
            </w:pPr>
          </w:p>
        </w:tc>
        <w:tc>
          <w:tcPr>
            <w:tcW w:w="993" w:type="dxa"/>
          </w:tcPr>
          <w:p w14:paraId="14E50C93" w14:textId="77777777" w:rsidR="00182709" w:rsidRDefault="0044097C">
            <w:r>
              <w:t>..</w:t>
            </w:r>
          </w:p>
        </w:tc>
        <w:tc>
          <w:tcPr>
            <w:tcW w:w="1417" w:type="dxa"/>
          </w:tcPr>
          <w:p w14:paraId="32202BEF" w14:textId="130AC0EC" w:rsidR="00182709" w:rsidRDefault="00182709"/>
        </w:tc>
        <w:tc>
          <w:tcPr>
            <w:tcW w:w="1843" w:type="dxa"/>
          </w:tcPr>
          <w:p w14:paraId="17424313" w14:textId="77777777" w:rsidR="00182709" w:rsidRDefault="0044097C">
            <w:r>
              <w:t>..</w:t>
            </w:r>
          </w:p>
        </w:tc>
        <w:tc>
          <w:tcPr>
            <w:tcW w:w="2126" w:type="dxa"/>
          </w:tcPr>
          <w:p w14:paraId="6413DBCF" w14:textId="77777777" w:rsidR="00182709" w:rsidRDefault="0044097C">
            <w:r>
              <w:t>..</w:t>
            </w:r>
          </w:p>
        </w:tc>
        <w:tc>
          <w:tcPr>
            <w:tcW w:w="1134" w:type="dxa"/>
          </w:tcPr>
          <w:p w14:paraId="68E47EF8" w14:textId="67042D4E" w:rsidR="00182709" w:rsidRDefault="00535B5A">
            <w:r>
              <w:rPr>
                <w:b/>
              </w:rPr>
              <w:t>7 490</w:t>
            </w:r>
          </w:p>
        </w:tc>
        <w:tc>
          <w:tcPr>
            <w:tcW w:w="1134" w:type="dxa"/>
          </w:tcPr>
          <w:p w14:paraId="20E7EA14" w14:textId="77777777" w:rsidR="00182709" w:rsidRDefault="0044097C">
            <w:r>
              <w:t>..</w:t>
            </w:r>
          </w:p>
        </w:tc>
        <w:tc>
          <w:tcPr>
            <w:tcW w:w="822" w:type="dxa"/>
          </w:tcPr>
          <w:p w14:paraId="7C0BD003" w14:textId="264AF768" w:rsidR="00182709" w:rsidRDefault="00535B5A">
            <w:r>
              <w:t>7 490</w:t>
            </w:r>
          </w:p>
        </w:tc>
      </w:tr>
      <w:tr w:rsidR="00182709" w14:paraId="39C1F5B8" w14:textId="77777777" w:rsidTr="006F25E9">
        <w:tc>
          <w:tcPr>
            <w:tcW w:w="1276" w:type="dxa"/>
          </w:tcPr>
          <w:p w14:paraId="3B564C68" w14:textId="77777777" w:rsidR="00182709" w:rsidRDefault="00182709">
            <w:pPr>
              <w:jc w:val="left"/>
            </w:pPr>
          </w:p>
        </w:tc>
        <w:tc>
          <w:tcPr>
            <w:tcW w:w="3260" w:type="dxa"/>
          </w:tcPr>
          <w:p w14:paraId="78BDFCEE" w14:textId="77777777" w:rsidR="00182709" w:rsidRDefault="0044097C" w:rsidP="006F25E9">
            <w:pPr>
              <w:ind w:left="170" w:hanging="170"/>
              <w:jc w:val="left"/>
            </w:pPr>
            <w:r>
              <w:t>Other comprehensive income for the year</w:t>
            </w:r>
          </w:p>
        </w:tc>
        <w:tc>
          <w:tcPr>
            <w:tcW w:w="567" w:type="dxa"/>
          </w:tcPr>
          <w:p w14:paraId="2B9D3DC8" w14:textId="77777777" w:rsidR="00182709" w:rsidRDefault="00182709">
            <w:pPr>
              <w:jc w:val="center"/>
            </w:pPr>
          </w:p>
        </w:tc>
        <w:tc>
          <w:tcPr>
            <w:tcW w:w="993" w:type="dxa"/>
          </w:tcPr>
          <w:p w14:paraId="4A57FD4B" w14:textId="77777777" w:rsidR="00182709" w:rsidRDefault="0044097C">
            <w:r>
              <w:t>7 613</w:t>
            </w:r>
          </w:p>
        </w:tc>
        <w:tc>
          <w:tcPr>
            <w:tcW w:w="1417" w:type="dxa"/>
          </w:tcPr>
          <w:p w14:paraId="2C9D05B5" w14:textId="24B053D7" w:rsidR="00182709" w:rsidRDefault="00182709"/>
        </w:tc>
        <w:tc>
          <w:tcPr>
            <w:tcW w:w="1843" w:type="dxa"/>
          </w:tcPr>
          <w:p w14:paraId="1EF0B3F8" w14:textId="77777777" w:rsidR="00182709" w:rsidRDefault="0044097C">
            <w:r>
              <w:t>150</w:t>
            </w:r>
          </w:p>
        </w:tc>
        <w:tc>
          <w:tcPr>
            <w:tcW w:w="2126" w:type="dxa"/>
          </w:tcPr>
          <w:p w14:paraId="1334E1F3" w14:textId="77777777" w:rsidR="00182709" w:rsidRDefault="0044097C">
            <w:r>
              <w:t>30</w:t>
            </w:r>
          </w:p>
        </w:tc>
        <w:tc>
          <w:tcPr>
            <w:tcW w:w="1134" w:type="dxa"/>
          </w:tcPr>
          <w:p w14:paraId="6ECCEB3C" w14:textId="77777777" w:rsidR="00182709" w:rsidRDefault="0044097C">
            <w:r>
              <w:t>..</w:t>
            </w:r>
          </w:p>
        </w:tc>
        <w:tc>
          <w:tcPr>
            <w:tcW w:w="1134" w:type="dxa"/>
          </w:tcPr>
          <w:p w14:paraId="46695355" w14:textId="77777777" w:rsidR="00182709" w:rsidRDefault="0044097C">
            <w:r>
              <w:t>..</w:t>
            </w:r>
          </w:p>
        </w:tc>
        <w:tc>
          <w:tcPr>
            <w:tcW w:w="822" w:type="dxa"/>
          </w:tcPr>
          <w:p w14:paraId="51AECB81" w14:textId="77777777" w:rsidR="00182709" w:rsidRDefault="0044097C">
            <w:r>
              <w:t>7 793</w:t>
            </w:r>
          </w:p>
        </w:tc>
      </w:tr>
      <w:tr w:rsidR="00182709" w14:paraId="4A9EBAF7" w14:textId="77777777" w:rsidTr="006F25E9">
        <w:tc>
          <w:tcPr>
            <w:tcW w:w="1276" w:type="dxa"/>
          </w:tcPr>
          <w:p w14:paraId="60FC7639" w14:textId="77777777" w:rsidR="00182709" w:rsidRDefault="00182709">
            <w:pPr>
              <w:jc w:val="left"/>
            </w:pPr>
          </w:p>
        </w:tc>
        <w:tc>
          <w:tcPr>
            <w:tcW w:w="3260" w:type="dxa"/>
          </w:tcPr>
          <w:p w14:paraId="50505581" w14:textId="0A59EF3E" w:rsidR="00182709" w:rsidRDefault="0044097C" w:rsidP="006F25E9">
            <w:pPr>
              <w:ind w:left="170" w:hanging="170"/>
              <w:jc w:val="left"/>
            </w:pPr>
            <w:r>
              <w:t>Transfer to accumulated surplus – on</w:t>
            </w:r>
            <w:r w:rsidR="006F25E9">
              <w:t> </w:t>
            </w:r>
            <w:r>
              <w:t>disposal of business</w:t>
            </w:r>
          </w:p>
        </w:tc>
        <w:tc>
          <w:tcPr>
            <w:tcW w:w="567" w:type="dxa"/>
          </w:tcPr>
          <w:p w14:paraId="34ED05D0" w14:textId="77777777" w:rsidR="00182709" w:rsidRDefault="0044097C">
            <w:pPr>
              <w:jc w:val="center"/>
            </w:pPr>
            <w:r>
              <w:t>9.4</w:t>
            </w:r>
          </w:p>
        </w:tc>
        <w:tc>
          <w:tcPr>
            <w:tcW w:w="993" w:type="dxa"/>
          </w:tcPr>
          <w:p w14:paraId="0404CF23" w14:textId="77777777" w:rsidR="00182709" w:rsidRDefault="0044097C">
            <w:r>
              <w:t>(3 396)</w:t>
            </w:r>
          </w:p>
        </w:tc>
        <w:tc>
          <w:tcPr>
            <w:tcW w:w="1417" w:type="dxa"/>
          </w:tcPr>
          <w:p w14:paraId="478B2BA2" w14:textId="38EFEC57" w:rsidR="00182709" w:rsidRDefault="00182709"/>
        </w:tc>
        <w:tc>
          <w:tcPr>
            <w:tcW w:w="1843" w:type="dxa"/>
          </w:tcPr>
          <w:p w14:paraId="4115CF5A" w14:textId="77777777" w:rsidR="00182709" w:rsidRDefault="0044097C">
            <w:r>
              <w:t>(323)</w:t>
            </w:r>
          </w:p>
        </w:tc>
        <w:tc>
          <w:tcPr>
            <w:tcW w:w="2126" w:type="dxa"/>
          </w:tcPr>
          <w:p w14:paraId="7CC07FF1" w14:textId="77777777" w:rsidR="00182709" w:rsidRDefault="0044097C">
            <w:r>
              <w:t>..</w:t>
            </w:r>
          </w:p>
        </w:tc>
        <w:tc>
          <w:tcPr>
            <w:tcW w:w="1134" w:type="dxa"/>
          </w:tcPr>
          <w:p w14:paraId="7FF92EFE" w14:textId="77777777" w:rsidR="00182709" w:rsidRDefault="0044097C">
            <w:r>
              <w:t>3 719</w:t>
            </w:r>
          </w:p>
        </w:tc>
        <w:tc>
          <w:tcPr>
            <w:tcW w:w="1134" w:type="dxa"/>
          </w:tcPr>
          <w:p w14:paraId="158CBC97" w14:textId="77777777" w:rsidR="00182709" w:rsidRDefault="0044097C">
            <w:r>
              <w:t>..</w:t>
            </w:r>
          </w:p>
        </w:tc>
        <w:tc>
          <w:tcPr>
            <w:tcW w:w="822" w:type="dxa"/>
          </w:tcPr>
          <w:p w14:paraId="532B9923" w14:textId="77777777" w:rsidR="00182709" w:rsidRDefault="0044097C">
            <w:r>
              <w:t>..</w:t>
            </w:r>
          </w:p>
        </w:tc>
      </w:tr>
      <w:tr w:rsidR="00182709" w14:paraId="0D7145A2" w14:textId="77777777" w:rsidTr="006F25E9">
        <w:tc>
          <w:tcPr>
            <w:tcW w:w="1276" w:type="dxa"/>
          </w:tcPr>
          <w:p w14:paraId="46777B1C" w14:textId="77777777" w:rsidR="00182709" w:rsidRDefault="00182709">
            <w:pPr>
              <w:jc w:val="left"/>
            </w:pPr>
          </w:p>
        </w:tc>
        <w:tc>
          <w:tcPr>
            <w:tcW w:w="3260" w:type="dxa"/>
          </w:tcPr>
          <w:p w14:paraId="70BAB1CB" w14:textId="77777777" w:rsidR="00182709" w:rsidRDefault="0044097C" w:rsidP="006F25E9">
            <w:pPr>
              <w:ind w:left="170" w:hanging="170"/>
              <w:jc w:val="left"/>
            </w:pPr>
            <w:r>
              <w:t>Transfer to accumulated surplus</w:t>
            </w:r>
          </w:p>
        </w:tc>
        <w:tc>
          <w:tcPr>
            <w:tcW w:w="567" w:type="dxa"/>
          </w:tcPr>
          <w:p w14:paraId="4543A3AB" w14:textId="77777777" w:rsidR="00182709" w:rsidRDefault="0044097C">
            <w:pPr>
              <w:jc w:val="center"/>
            </w:pPr>
            <w:r>
              <w:t>9.4</w:t>
            </w:r>
          </w:p>
        </w:tc>
        <w:tc>
          <w:tcPr>
            <w:tcW w:w="993" w:type="dxa"/>
          </w:tcPr>
          <w:p w14:paraId="4EEAB8C1" w14:textId="77777777" w:rsidR="00182709" w:rsidRDefault="0044097C">
            <w:r>
              <w:t>(637)</w:t>
            </w:r>
          </w:p>
        </w:tc>
        <w:tc>
          <w:tcPr>
            <w:tcW w:w="1417" w:type="dxa"/>
          </w:tcPr>
          <w:p w14:paraId="1DBE9197" w14:textId="5CE7DBA7" w:rsidR="00182709" w:rsidRDefault="00182709"/>
        </w:tc>
        <w:tc>
          <w:tcPr>
            <w:tcW w:w="1843" w:type="dxa"/>
          </w:tcPr>
          <w:p w14:paraId="32E420A7" w14:textId="77777777" w:rsidR="00182709" w:rsidRDefault="0044097C">
            <w:r>
              <w:t>..</w:t>
            </w:r>
          </w:p>
        </w:tc>
        <w:tc>
          <w:tcPr>
            <w:tcW w:w="2126" w:type="dxa"/>
          </w:tcPr>
          <w:p w14:paraId="74C5757D" w14:textId="77777777" w:rsidR="00182709" w:rsidRDefault="0044097C">
            <w:r>
              <w:t>..</w:t>
            </w:r>
          </w:p>
        </w:tc>
        <w:tc>
          <w:tcPr>
            <w:tcW w:w="1134" w:type="dxa"/>
          </w:tcPr>
          <w:p w14:paraId="56393FE9" w14:textId="77777777" w:rsidR="00182709" w:rsidRDefault="0044097C">
            <w:r>
              <w:t>637</w:t>
            </w:r>
          </w:p>
        </w:tc>
        <w:tc>
          <w:tcPr>
            <w:tcW w:w="1134" w:type="dxa"/>
          </w:tcPr>
          <w:p w14:paraId="6D559F17" w14:textId="77777777" w:rsidR="00182709" w:rsidRDefault="0044097C">
            <w:r>
              <w:t>..</w:t>
            </w:r>
          </w:p>
        </w:tc>
        <w:tc>
          <w:tcPr>
            <w:tcW w:w="822" w:type="dxa"/>
          </w:tcPr>
          <w:p w14:paraId="08C52035" w14:textId="77777777" w:rsidR="00182709" w:rsidRDefault="0044097C">
            <w:r>
              <w:t>..</w:t>
            </w:r>
          </w:p>
        </w:tc>
      </w:tr>
      <w:tr w:rsidR="00182709" w14:paraId="3A51254E" w14:textId="77777777" w:rsidTr="006F25E9">
        <w:tc>
          <w:tcPr>
            <w:tcW w:w="1276" w:type="dxa"/>
          </w:tcPr>
          <w:p w14:paraId="4D890A0E" w14:textId="77777777" w:rsidR="00182709" w:rsidRDefault="00182709">
            <w:pPr>
              <w:jc w:val="left"/>
            </w:pPr>
          </w:p>
        </w:tc>
        <w:tc>
          <w:tcPr>
            <w:tcW w:w="3260" w:type="dxa"/>
          </w:tcPr>
          <w:p w14:paraId="1D538963" w14:textId="77777777" w:rsidR="00182709" w:rsidRDefault="0044097C" w:rsidP="006F25E9">
            <w:pPr>
              <w:ind w:left="170" w:hanging="170"/>
              <w:jc w:val="left"/>
            </w:pPr>
            <w:r>
              <w:t>Transfer to contributed capital</w:t>
            </w:r>
          </w:p>
        </w:tc>
        <w:tc>
          <w:tcPr>
            <w:tcW w:w="567" w:type="dxa"/>
          </w:tcPr>
          <w:p w14:paraId="28CA6DB0" w14:textId="77777777" w:rsidR="00182709" w:rsidRDefault="0044097C">
            <w:pPr>
              <w:jc w:val="center"/>
            </w:pPr>
            <w:r>
              <w:t>9.4</w:t>
            </w:r>
          </w:p>
        </w:tc>
        <w:tc>
          <w:tcPr>
            <w:tcW w:w="993" w:type="dxa"/>
          </w:tcPr>
          <w:p w14:paraId="78DEC0CA" w14:textId="77777777" w:rsidR="00182709" w:rsidRDefault="0044097C">
            <w:r>
              <w:t>..</w:t>
            </w:r>
          </w:p>
        </w:tc>
        <w:tc>
          <w:tcPr>
            <w:tcW w:w="1417" w:type="dxa"/>
          </w:tcPr>
          <w:p w14:paraId="14970D02" w14:textId="4E8C8155" w:rsidR="00182709" w:rsidRDefault="00182709"/>
        </w:tc>
        <w:tc>
          <w:tcPr>
            <w:tcW w:w="1843" w:type="dxa"/>
          </w:tcPr>
          <w:p w14:paraId="01DAB084" w14:textId="77777777" w:rsidR="00182709" w:rsidRDefault="0044097C">
            <w:r>
              <w:t>..</w:t>
            </w:r>
          </w:p>
        </w:tc>
        <w:tc>
          <w:tcPr>
            <w:tcW w:w="2126" w:type="dxa"/>
          </w:tcPr>
          <w:p w14:paraId="3DB26091" w14:textId="77777777" w:rsidR="00182709" w:rsidRDefault="0044097C">
            <w:r>
              <w:t>..</w:t>
            </w:r>
          </w:p>
        </w:tc>
        <w:tc>
          <w:tcPr>
            <w:tcW w:w="1134" w:type="dxa"/>
          </w:tcPr>
          <w:p w14:paraId="7F2F5F62" w14:textId="77777777" w:rsidR="00182709" w:rsidRDefault="0044097C">
            <w:r>
              <w:t>(13 847)</w:t>
            </w:r>
          </w:p>
        </w:tc>
        <w:tc>
          <w:tcPr>
            <w:tcW w:w="1134" w:type="dxa"/>
          </w:tcPr>
          <w:p w14:paraId="576B3919" w14:textId="77777777" w:rsidR="00182709" w:rsidRDefault="0044097C">
            <w:r>
              <w:t>13 847</w:t>
            </w:r>
          </w:p>
        </w:tc>
        <w:tc>
          <w:tcPr>
            <w:tcW w:w="822" w:type="dxa"/>
          </w:tcPr>
          <w:p w14:paraId="477A4FB8" w14:textId="77777777" w:rsidR="00182709" w:rsidRDefault="0044097C">
            <w:r>
              <w:t>..</w:t>
            </w:r>
          </w:p>
        </w:tc>
      </w:tr>
      <w:tr w:rsidR="00182709" w14:paraId="572B0770" w14:textId="77777777" w:rsidTr="006F25E9">
        <w:tc>
          <w:tcPr>
            <w:tcW w:w="1276" w:type="dxa"/>
          </w:tcPr>
          <w:p w14:paraId="5610E48C" w14:textId="77777777" w:rsidR="00182709" w:rsidRDefault="00182709">
            <w:pPr>
              <w:jc w:val="left"/>
            </w:pPr>
          </w:p>
        </w:tc>
        <w:tc>
          <w:tcPr>
            <w:tcW w:w="3260" w:type="dxa"/>
          </w:tcPr>
          <w:p w14:paraId="611CA613" w14:textId="77777777" w:rsidR="00182709" w:rsidRDefault="0044097C" w:rsidP="006F25E9">
            <w:pPr>
              <w:ind w:left="170" w:hanging="170"/>
              <w:jc w:val="left"/>
            </w:pPr>
            <w:r>
              <w:t>Capital appropriations</w:t>
            </w:r>
          </w:p>
        </w:tc>
        <w:tc>
          <w:tcPr>
            <w:tcW w:w="567" w:type="dxa"/>
          </w:tcPr>
          <w:p w14:paraId="231C113A" w14:textId="77777777" w:rsidR="00182709" w:rsidRDefault="0044097C">
            <w:pPr>
              <w:jc w:val="center"/>
            </w:pPr>
            <w:r>
              <w:t>2.3</w:t>
            </w:r>
          </w:p>
        </w:tc>
        <w:tc>
          <w:tcPr>
            <w:tcW w:w="993" w:type="dxa"/>
          </w:tcPr>
          <w:p w14:paraId="06CDAE3F" w14:textId="77777777" w:rsidR="00182709" w:rsidRDefault="0044097C">
            <w:r>
              <w:t>..</w:t>
            </w:r>
          </w:p>
        </w:tc>
        <w:tc>
          <w:tcPr>
            <w:tcW w:w="1417" w:type="dxa"/>
          </w:tcPr>
          <w:p w14:paraId="1BA26800" w14:textId="02F52FC9" w:rsidR="00182709" w:rsidRDefault="00182709"/>
        </w:tc>
        <w:tc>
          <w:tcPr>
            <w:tcW w:w="1843" w:type="dxa"/>
          </w:tcPr>
          <w:p w14:paraId="407C9BEC" w14:textId="77777777" w:rsidR="00182709" w:rsidRDefault="0044097C">
            <w:r>
              <w:t>..</w:t>
            </w:r>
          </w:p>
        </w:tc>
        <w:tc>
          <w:tcPr>
            <w:tcW w:w="2126" w:type="dxa"/>
          </w:tcPr>
          <w:p w14:paraId="077670FF" w14:textId="77777777" w:rsidR="00182709" w:rsidRDefault="0044097C">
            <w:r>
              <w:t>..</w:t>
            </w:r>
          </w:p>
        </w:tc>
        <w:tc>
          <w:tcPr>
            <w:tcW w:w="1134" w:type="dxa"/>
          </w:tcPr>
          <w:p w14:paraId="65D9AC51" w14:textId="77777777" w:rsidR="00182709" w:rsidRDefault="0044097C">
            <w:r>
              <w:t>..</w:t>
            </w:r>
          </w:p>
        </w:tc>
        <w:tc>
          <w:tcPr>
            <w:tcW w:w="1134" w:type="dxa"/>
          </w:tcPr>
          <w:p w14:paraId="6AB49CC7" w14:textId="77777777" w:rsidR="00182709" w:rsidRDefault="0044097C">
            <w:r>
              <w:t>5 750</w:t>
            </w:r>
          </w:p>
        </w:tc>
        <w:tc>
          <w:tcPr>
            <w:tcW w:w="822" w:type="dxa"/>
          </w:tcPr>
          <w:p w14:paraId="2DEF7A13" w14:textId="77777777" w:rsidR="00182709" w:rsidRDefault="0044097C">
            <w:r>
              <w:t>5 750</w:t>
            </w:r>
          </w:p>
        </w:tc>
      </w:tr>
      <w:tr w:rsidR="00182709" w14:paraId="2419EC8A" w14:textId="77777777" w:rsidTr="006F25E9">
        <w:tc>
          <w:tcPr>
            <w:tcW w:w="1276" w:type="dxa"/>
          </w:tcPr>
          <w:p w14:paraId="28C93A0B" w14:textId="77777777" w:rsidR="00182709" w:rsidRDefault="0044097C">
            <w:pPr>
              <w:jc w:val="left"/>
            </w:pPr>
            <w:r>
              <w:rPr>
                <w:color w:val="4472C4"/>
                <w:sz w:val="13"/>
              </w:rPr>
              <w:t>AASB 1004.48</w:t>
            </w:r>
          </w:p>
        </w:tc>
        <w:tc>
          <w:tcPr>
            <w:tcW w:w="3260" w:type="dxa"/>
          </w:tcPr>
          <w:p w14:paraId="4AC4701E" w14:textId="6DA5CE7C" w:rsidR="00182709" w:rsidRDefault="0044097C" w:rsidP="006F25E9">
            <w:pPr>
              <w:ind w:left="170" w:hanging="170"/>
              <w:jc w:val="left"/>
            </w:pPr>
            <w:r>
              <w:t xml:space="preserve">Administrative restructure – </w:t>
            </w:r>
            <w:r w:rsidR="006F25E9">
              <w:br/>
            </w:r>
            <w:r>
              <w:t>net assets received</w:t>
            </w:r>
          </w:p>
        </w:tc>
        <w:tc>
          <w:tcPr>
            <w:tcW w:w="567" w:type="dxa"/>
          </w:tcPr>
          <w:p w14:paraId="6D0E0A9C" w14:textId="77777777" w:rsidR="00182709" w:rsidRDefault="0044097C">
            <w:pPr>
              <w:jc w:val="center"/>
            </w:pPr>
            <w:r>
              <w:t>4.3</w:t>
            </w:r>
          </w:p>
        </w:tc>
        <w:tc>
          <w:tcPr>
            <w:tcW w:w="993" w:type="dxa"/>
          </w:tcPr>
          <w:p w14:paraId="4EB9E919" w14:textId="77777777" w:rsidR="00182709" w:rsidRDefault="0044097C">
            <w:r>
              <w:t>..</w:t>
            </w:r>
          </w:p>
        </w:tc>
        <w:tc>
          <w:tcPr>
            <w:tcW w:w="1417" w:type="dxa"/>
          </w:tcPr>
          <w:p w14:paraId="4D30499C" w14:textId="5E96C5AB" w:rsidR="00182709" w:rsidRDefault="00182709"/>
        </w:tc>
        <w:tc>
          <w:tcPr>
            <w:tcW w:w="1843" w:type="dxa"/>
          </w:tcPr>
          <w:p w14:paraId="5084C43B" w14:textId="77777777" w:rsidR="00182709" w:rsidRDefault="0044097C">
            <w:r>
              <w:t>..</w:t>
            </w:r>
          </w:p>
        </w:tc>
        <w:tc>
          <w:tcPr>
            <w:tcW w:w="2126" w:type="dxa"/>
          </w:tcPr>
          <w:p w14:paraId="1068EE1E" w14:textId="77777777" w:rsidR="00182709" w:rsidRDefault="0044097C">
            <w:r>
              <w:t>..</w:t>
            </w:r>
          </w:p>
        </w:tc>
        <w:tc>
          <w:tcPr>
            <w:tcW w:w="1134" w:type="dxa"/>
          </w:tcPr>
          <w:p w14:paraId="2483B0D8" w14:textId="77777777" w:rsidR="00182709" w:rsidRDefault="0044097C">
            <w:r>
              <w:t>..</w:t>
            </w:r>
          </w:p>
        </w:tc>
        <w:tc>
          <w:tcPr>
            <w:tcW w:w="1134" w:type="dxa"/>
          </w:tcPr>
          <w:p w14:paraId="6B240DEE" w14:textId="77777777" w:rsidR="00182709" w:rsidRDefault="0044097C">
            <w:r>
              <w:t>19 617</w:t>
            </w:r>
          </w:p>
        </w:tc>
        <w:tc>
          <w:tcPr>
            <w:tcW w:w="822" w:type="dxa"/>
          </w:tcPr>
          <w:p w14:paraId="61375DE4" w14:textId="77777777" w:rsidR="00182709" w:rsidRDefault="0044097C">
            <w:r>
              <w:t>19 617</w:t>
            </w:r>
          </w:p>
        </w:tc>
      </w:tr>
      <w:tr w:rsidR="00182709" w14:paraId="22BB444D" w14:textId="77777777" w:rsidTr="006F25E9">
        <w:tc>
          <w:tcPr>
            <w:tcW w:w="1276" w:type="dxa"/>
          </w:tcPr>
          <w:p w14:paraId="11943584" w14:textId="77777777" w:rsidR="00182709" w:rsidRDefault="0044097C">
            <w:pPr>
              <w:jc w:val="left"/>
            </w:pPr>
            <w:r>
              <w:rPr>
                <w:color w:val="4472C4"/>
                <w:sz w:val="13"/>
              </w:rPr>
              <w:t>AASB 1004.49</w:t>
            </w:r>
          </w:p>
        </w:tc>
        <w:tc>
          <w:tcPr>
            <w:tcW w:w="3260" w:type="dxa"/>
            <w:tcBorders>
              <w:bottom w:val="single" w:sz="12" w:space="0" w:color="auto"/>
            </w:tcBorders>
          </w:tcPr>
          <w:p w14:paraId="7DD5B216" w14:textId="470A92EB" w:rsidR="00182709" w:rsidRDefault="0044097C" w:rsidP="006F25E9">
            <w:pPr>
              <w:ind w:left="170" w:hanging="170"/>
              <w:jc w:val="left"/>
            </w:pPr>
            <w:r>
              <w:t xml:space="preserve">Administrative restructure – </w:t>
            </w:r>
            <w:r w:rsidR="006F25E9">
              <w:br/>
            </w:r>
            <w:r>
              <w:t>net assets transferred</w:t>
            </w:r>
          </w:p>
        </w:tc>
        <w:tc>
          <w:tcPr>
            <w:tcW w:w="567" w:type="dxa"/>
            <w:tcBorders>
              <w:bottom w:val="single" w:sz="12" w:space="0" w:color="auto"/>
            </w:tcBorders>
          </w:tcPr>
          <w:p w14:paraId="0A1DEB7C" w14:textId="77777777" w:rsidR="00182709" w:rsidRDefault="0044097C">
            <w:pPr>
              <w:jc w:val="center"/>
            </w:pPr>
            <w:r>
              <w:t>4.3</w:t>
            </w:r>
          </w:p>
        </w:tc>
        <w:tc>
          <w:tcPr>
            <w:tcW w:w="993" w:type="dxa"/>
            <w:tcBorders>
              <w:bottom w:val="single" w:sz="12" w:space="0" w:color="auto"/>
            </w:tcBorders>
          </w:tcPr>
          <w:p w14:paraId="38DFA055" w14:textId="77777777" w:rsidR="00182709" w:rsidRDefault="0044097C">
            <w:r>
              <w:t>..</w:t>
            </w:r>
          </w:p>
        </w:tc>
        <w:tc>
          <w:tcPr>
            <w:tcW w:w="1417" w:type="dxa"/>
            <w:tcBorders>
              <w:bottom w:val="single" w:sz="12" w:space="0" w:color="auto"/>
            </w:tcBorders>
          </w:tcPr>
          <w:p w14:paraId="76169DC4" w14:textId="5553BF2A" w:rsidR="00182709" w:rsidRDefault="00182709"/>
        </w:tc>
        <w:tc>
          <w:tcPr>
            <w:tcW w:w="1843" w:type="dxa"/>
            <w:tcBorders>
              <w:bottom w:val="single" w:sz="12" w:space="0" w:color="auto"/>
            </w:tcBorders>
          </w:tcPr>
          <w:p w14:paraId="5CAF4D94" w14:textId="77777777" w:rsidR="00182709" w:rsidRDefault="0044097C">
            <w:r>
              <w:t>..</w:t>
            </w:r>
          </w:p>
        </w:tc>
        <w:tc>
          <w:tcPr>
            <w:tcW w:w="2126" w:type="dxa"/>
            <w:tcBorders>
              <w:bottom w:val="single" w:sz="12" w:space="0" w:color="auto"/>
            </w:tcBorders>
          </w:tcPr>
          <w:p w14:paraId="4C401DD4" w14:textId="77777777" w:rsidR="00182709" w:rsidRDefault="0044097C">
            <w:r>
              <w:t>..</w:t>
            </w:r>
          </w:p>
        </w:tc>
        <w:tc>
          <w:tcPr>
            <w:tcW w:w="1134" w:type="dxa"/>
            <w:tcBorders>
              <w:bottom w:val="single" w:sz="12" w:space="0" w:color="auto"/>
            </w:tcBorders>
          </w:tcPr>
          <w:p w14:paraId="52C5198B" w14:textId="77777777" w:rsidR="00182709" w:rsidRDefault="0044097C">
            <w:r>
              <w:t>..</w:t>
            </w:r>
          </w:p>
        </w:tc>
        <w:tc>
          <w:tcPr>
            <w:tcW w:w="1134" w:type="dxa"/>
            <w:tcBorders>
              <w:bottom w:val="single" w:sz="12" w:space="0" w:color="auto"/>
            </w:tcBorders>
          </w:tcPr>
          <w:p w14:paraId="6E71C6EE" w14:textId="77777777" w:rsidR="00182709" w:rsidRDefault="0044097C">
            <w:r>
              <w:t>(20 097)</w:t>
            </w:r>
          </w:p>
        </w:tc>
        <w:tc>
          <w:tcPr>
            <w:tcW w:w="822" w:type="dxa"/>
            <w:tcBorders>
              <w:bottom w:val="single" w:sz="12" w:space="0" w:color="auto"/>
            </w:tcBorders>
          </w:tcPr>
          <w:p w14:paraId="1DE985B5" w14:textId="77777777" w:rsidR="00182709" w:rsidRDefault="0044097C">
            <w:r>
              <w:t>(20 097)</w:t>
            </w:r>
          </w:p>
        </w:tc>
      </w:tr>
      <w:tr w:rsidR="00671D55" w14:paraId="3FAA19A6" w14:textId="77777777" w:rsidTr="006F25E9">
        <w:tc>
          <w:tcPr>
            <w:tcW w:w="1276" w:type="dxa"/>
            <w:tcBorders>
              <w:bottom w:val="nil"/>
            </w:tcBorders>
          </w:tcPr>
          <w:p w14:paraId="053805C2" w14:textId="77777777" w:rsidR="00182709" w:rsidRDefault="00182709">
            <w:pPr>
              <w:jc w:val="left"/>
            </w:pPr>
          </w:p>
        </w:tc>
        <w:tc>
          <w:tcPr>
            <w:tcW w:w="3260" w:type="dxa"/>
          </w:tcPr>
          <w:p w14:paraId="51419767" w14:textId="07FBF5E6" w:rsidR="00182709" w:rsidRDefault="0044097C">
            <w:pPr>
              <w:jc w:val="left"/>
            </w:pPr>
            <w:r>
              <w:rPr>
                <w:b/>
              </w:rPr>
              <w:t>Balance at 30 June</w:t>
            </w:r>
            <w:r w:rsidRPr="00F605A9">
              <w:rPr>
                <w:b/>
                <w:bCs/>
              </w:rPr>
              <w:t xml:space="preserve"> </w:t>
            </w:r>
            <w:r w:rsidR="00F605A9" w:rsidRPr="00F605A9">
              <w:rPr>
                <w:b/>
                <w:bCs/>
              </w:rPr>
              <w:fldChar w:fldCharType="begin"/>
            </w:r>
            <w:r w:rsidR="00F605A9" w:rsidRPr="00F605A9">
              <w:rPr>
                <w:b/>
                <w:bCs/>
              </w:rPr>
              <w:instrText>DOCPROPERTY  YearCurrent  \* MERGEFORMAT</w:instrText>
            </w:r>
            <w:r w:rsidR="00F605A9" w:rsidRPr="00F605A9">
              <w:rPr>
                <w:b/>
                <w:bCs/>
              </w:rPr>
              <w:fldChar w:fldCharType="separate"/>
            </w:r>
            <w:r w:rsidR="00F605A9" w:rsidRPr="00F605A9">
              <w:rPr>
                <w:b/>
                <w:bCs/>
              </w:rPr>
              <w:t>20X2</w:t>
            </w:r>
            <w:r w:rsidR="00F605A9" w:rsidRPr="00F605A9">
              <w:rPr>
                <w:b/>
                <w:bCs/>
              </w:rPr>
              <w:fldChar w:fldCharType="end"/>
            </w:r>
          </w:p>
        </w:tc>
        <w:tc>
          <w:tcPr>
            <w:tcW w:w="567" w:type="dxa"/>
          </w:tcPr>
          <w:p w14:paraId="5C5A1F89" w14:textId="77777777" w:rsidR="00182709" w:rsidRDefault="00182709">
            <w:pPr>
              <w:jc w:val="center"/>
            </w:pPr>
          </w:p>
        </w:tc>
        <w:tc>
          <w:tcPr>
            <w:tcW w:w="993" w:type="dxa"/>
          </w:tcPr>
          <w:p w14:paraId="0878B1CD" w14:textId="77777777" w:rsidR="00182709" w:rsidRDefault="0044097C">
            <w:r>
              <w:rPr>
                <w:b/>
              </w:rPr>
              <w:t>9 339</w:t>
            </w:r>
          </w:p>
        </w:tc>
        <w:tc>
          <w:tcPr>
            <w:tcW w:w="1417" w:type="dxa"/>
          </w:tcPr>
          <w:p w14:paraId="1949AF96" w14:textId="07A71E52" w:rsidR="00182709" w:rsidRDefault="00182709"/>
        </w:tc>
        <w:tc>
          <w:tcPr>
            <w:tcW w:w="1843" w:type="dxa"/>
          </w:tcPr>
          <w:p w14:paraId="3AE1C41E" w14:textId="77777777" w:rsidR="00182709" w:rsidRDefault="0044097C">
            <w:r>
              <w:rPr>
                <w:b/>
              </w:rPr>
              <w:t>1 550</w:t>
            </w:r>
          </w:p>
        </w:tc>
        <w:tc>
          <w:tcPr>
            <w:tcW w:w="2126" w:type="dxa"/>
          </w:tcPr>
          <w:p w14:paraId="022D7657" w14:textId="77777777" w:rsidR="00182709" w:rsidRDefault="0044097C">
            <w:r>
              <w:rPr>
                <w:b/>
              </w:rPr>
              <w:t>30</w:t>
            </w:r>
          </w:p>
        </w:tc>
        <w:tc>
          <w:tcPr>
            <w:tcW w:w="1134" w:type="dxa"/>
          </w:tcPr>
          <w:p w14:paraId="25218701" w14:textId="5E2FD2AF" w:rsidR="00182709" w:rsidRDefault="00535B5A">
            <w:r>
              <w:rPr>
                <w:b/>
              </w:rPr>
              <w:t xml:space="preserve">66 </w:t>
            </w:r>
            <w:r w:rsidR="00341DA9">
              <w:rPr>
                <w:b/>
              </w:rPr>
              <w:t>82</w:t>
            </w:r>
            <w:r>
              <w:rPr>
                <w:b/>
              </w:rPr>
              <w:t>3</w:t>
            </w:r>
          </w:p>
        </w:tc>
        <w:tc>
          <w:tcPr>
            <w:tcW w:w="1134" w:type="dxa"/>
          </w:tcPr>
          <w:p w14:paraId="1244E8F7" w14:textId="77777777" w:rsidR="00182709" w:rsidRDefault="0044097C">
            <w:r>
              <w:rPr>
                <w:b/>
              </w:rPr>
              <w:t>57 462</w:t>
            </w:r>
          </w:p>
        </w:tc>
        <w:tc>
          <w:tcPr>
            <w:tcW w:w="822" w:type="dxa"/>
          </w:tcPr>
          <w:p w14:paraId="78AA0DAA" w14:textId="36A20711" w:rsidR="00182709" w:rsidRDefault="00736246">
            <w:r>
              <w:rPr>
                <w:b/>
              </w:rPr>
              <w:t>13</w:t>
            </w:r>
            <w:r w:rsidR="00341DA9">
              <w:rPr>
                <w:b/>
              </w:rPr>
              <w:t>5</w:t>
            </w:r>
            <w:r>
              <w:rPr>
                <w:b/>
              </w:rPr>
              <w:t xml:space="preserve"> </w:t>
            </w:r>
            <w:r w:rsidR="00341DA9">
              <w:rPr>
                <w:b/>
              </w:rPr>
              <w:t>20</w:t>
            </w:r>
            <w:r>
              <w:rPr>
                <w:b/>
              </w:rPr>
              <w:t>4</w:t>
            </w:r>
          </w:p>
        </w:tc>
      </w:tr>
    </w:tbl>
    <w:p w14:paraId="0EF6E236" w14:textId="77777777" w:rsidR="003719CD" w:rsidRDefault="003719CD" w:rsidP="00FA4323">
      <w:pPr>
        <w:pStyle w:val="Source"/>
      </w:pPr>
      <w:r>
        <w:t>The accompanying notes form part of these financial statement.</w:t>
      </w:r>
    </w:p>
    <w:p w14:paraId="2936F965" w14:textId="77777777" w:rsidR="00E20A3B" w:rsidRDefault="00E20A3B" w:rsidP="0021248D">
      <w:pPr>
        <w:pStyle w:val="Note"/>
      </w:pPr>
      <w:r>
        <w:t>Note:</w:t>
      </w:r>
    </w:p>
    <w:p w14:paraId="3050FDAC" w14:textId="153EE72A" w:rsidR="003719CD" w:rsidRDefault="003719CD" w:rsidP="0021248D">
      <w:pPr>
        <w:pStyle w:val="Note"/>
      </w:pPr>
      <w:r>
        <w:t>(a)</w:t>
      </w:r>
      <w:r>
        <w:tab/>
        <w:t xml:space="preserve">This format is aligned to AASB 1049 </w:t>
      </w:r>
      <w:r w:rsidRPr="00436E90">
        <w:rPr>
          <w:i w:val="0"/>
          <w:iCs/>
        </w:rPr>
        <w:t>Whole of Government and General Government Sector Financial Reporting</w:t>
      </w:r>
      <w:r w:rsidR="00FA4323">
        <w:rPr>
          <w:i w:val="0"/>
          <w:iCs/>
        </w:rPr>
        <w:t>.</w:t>
      </w:r>
    </w:p>
    <w:p w14:paraId="2D9AD0DB" w14:textId="77777777" w:rsidR="003719CD" w:rsidRDefault="003719CD" w:rsidP="00DC39DE">
      <w:pPr>
        <w:sectPr w:rsidR="003719CD" w:rsidSect="00994C66">
          <w:headerReference w:type="even" r:id="rId22"/>
          <w:headerReference w:type="default" r:id="rId23"/>
          <w:footerReference w:type="even" r:id="rId24"/>
          <w:footerReference w:type="default" r:id="rId25"/>
          <w:pgSz w:w="16838" w:h="11906" w:orient="landscape" w:code="9"/>
          <w:pgMar w:top="1134" w:right="1134" w:bottom="1134" w:left="1134" w:header="624" w:footer="567" w:gutter="0"/>
          <w:cols w:space="708"/>
          <w:docGrid w:linePitch="360"/>
        </w:sectPr>
      </w:pPr>
    </w:p>
    <w:p w14:paraId="0B9FF053" w14:textId="77777777" w:rsidR="003719CD" w:rsidRDefault="003719CD" w:rsidP="0021248D">
      <w:pPr>
        <w:pStyle w:val="GuidanceBlockHeading"/>
      </w:pPr>
      <w:r>
        <w:lastRenderedPageBreak/>
        <w:t>Guidance – Statement of changes in equity</w:t>
      </w:r>
    </w:p>
    <w:p w14:paraId="11D3658A" w14:textId="77777777" w:rsidR="003719CD" w:rsidRDefault="003719CD" w:rsidP="0021248D">
      <w:pPr>
        <w:pStyle w:val="GuidanceHeading"/>
      </w:pPr>
      <w:r>
        <w:t>Information to be disclosed:</w:t>
      </w:r>
    </w:p>
    <w:p w14:paraId="75EB1A40" w14:textId="1C05E007" w:rsidR="003719CD" w:rsidRPr="0021248D" w:rsidRDefault="003719CD" w:rsidP="00310F12">
      <w:pPr>
        <w:pStyle w:val="ListBullet"/>
        <w:rPr>
          <w:rStyle w:val="Guidance"/>
          <w:b/>
          <w:sz w:val="20"/>
        </w:rPr>
      </w:pPr>
      <w:r w:rsidRPr="0021248D">
        <w:rPr>
          <w:rStyle w:val="Guidance"/>
        </w:rPr>
        <w:t>total comprehensive result for the period, showing separately the total amounts attributable to owners of the parent and to minority interest</w:t>
      </w:r>
    </w:p>
    <w:p w14:paraId="575AEF27" w14:textId="6FE838BA" w:rsidR="003719CD" w:rsidRPr="0021248D" w:rsidRDefault="003719CD" w:rsidP="00310F12">
      <w:pPr>
        <w:pStyle w:val="ListBullet"/>
        <w:rPr>
          <w:rStyle w:val="Guidance"/>
        </w:rPr>
      </w:pPr>
      <w:r w:rsidRPr="0021248D">
        <w:rPr>
          <w:rStyle w:val="Guidance"/>
        </w:rPr>
        <w:t>for each component of equity, th</w:t>
      </w:r>
      <w:r w:rsidR="00B0315F">
        <w:rPr>
          <w:rStyle w:val="Guidance"/>
        </w:rPr>
        <w:t>e</w:t>
      </w:r>
      <w:r w:rsidRPr="0021248D">
        <w:rPr>
          <w:rStyle w:val="Guidance"/>
        </w:rPr>
        <w:t xml:space="preserve"> effects of retrospective application or retrospective restatement recognised in accordance with AASB 108</w:t>
      </w:r>
    </w:p>
    <w:p w14:paraId="56958634" w14:textId="77777777" w:rsidR="003719CD" w:rsidRPr="0021248D" w:rsidRDefault="003719CD" w:rsidP="00310F12">
      <w:pPr>
        <w:pStyle w:val="ListBullet"/>
        <w:rPr>
          <w:rStyle w:val="Guidance"/>
        </w:rPr>
      </w:pPr>
      <w:r w:rsidRPr="0021248D">
        <w:rPr>
          <w:rStyle w:val="Guidance"/>
        </w:rPr>
        <w:t>for each component of equity, a reconciliation between the carrying amount at the beginning and the end of the period, separately disclosing changes resulting from:</w:t>
      </w:r>
    </w:p>
    <w:p w14:paraId="414A6D54" w14:textId="3AD537EC" w:rsidR="003719CD" w:rsidRPr="0021248D" w:rsidRDefault="003719CD" w:rsidP="007E31C0">
      <w:pPr>
        <w:pStyle w:val="ListBullet2"/>
        <w:rPr>
          <w:rStyle w:val="Guidance"/>
        </w:rPr>
      </w:pPr>
      <w:r w:rsidRPr="0021248D">
        <w:rPr>
          <w:rStyle w:val="Guidance"/>
        </w:rPr>
        <w:t>profit or loss</w:t>
      </w:r>
    </w:p>
    <w:p w14:paraId="5F5113B1" w14:textId="20CF386C" w:rsidR="003719CD" w:rsidRPr="0021248D" w:rsidRDefault="003719CD" w:rsidP="007E31C0">
      <w:pPr>
        <w:pStyle w:val="ListBullet2"/>
        <w:rPr>
          <w:rStyle w:val="Guidance"/>
        </w:rPr>
      </w:pPr>
      <w:r w:rsidRPr="0021248D">
        <w:rPr>
          <w:rStyle w:val="Guidance"/>
        </w:rPr>
        <w:t>each item of other comprehensive income</w:t>
      </w:r>
    </w:p>
    <w:p w14:paraId="446D67E2" w14:textId="77777777" w:rsidR="003719CD" w:rsidRPr="0021248D" w:rsidRDefault="003719CD" w:rsidP="007E31C0">
      <w:pPr>
        <w:pStyle w:val="ListBullet2"/>
        <w:rPr>
          <w:rStyle w:val="Guidance"/>
        </w:rPr>
      </w:pPr>
      <w:r w:rsidRPr="0021248D">
        <w:rPr>
          <w:rStyle w:val="Guidance"/>
        </w:rPr>
        <w:t>transactions with owners in their capacity as owners, showing separately contributions by and distributions to owners and changes in ownership interests in subsidiaries that do not result in a loss of control.</w:t>
      </w:r>
    </w:p>
    <w:p w14:paraId="3437293C" w14:textId="77777777" w:rsidR="003719CD" w:rsidRDefault="003719CD" w:rsidP="0021248D">
      <w:pPr>
        <w:pStyle w:val="GuidanceHeading"/>
      </w:pPr>
      <w:r>
        <w:t xml:space="preserve">Presentation of statement of changes in equity </w:t>
      </w:r>
    </w:p>
    <w:p w14:paraId="4335BE5C" w14:textId="77777777" w:rsidR="003719CD" w:rsidRPr="0021248D" w:rsidRDefault="003719CD" w:rsidP="00DC39DE">
      <w:pPr>
        <w:rPr>
          <w:rStyle w:val="Guidance"/>
        </w:rPr>
      </w:pPr>
      <w:r w:rsidRPr="0021248D">
        <w:rPr>
          <w:rStyle w:val="Guidance"/>
        </w:rPr>
        <w:t>The statement of changes in equity presents reconciliation between the carrying amount of each non-owner and owner equity opening balance at the beginning of the reporting period to the closing balance at the end of the reporting period, showing separately movements included in the comprehensive result and movements due to transactions with owners in their capacity as owners.</w:t>
      </w:r>
    </w:p>
    <w:p w14:paraId="7FD4A7E9" w14:textId="77777777" w:rsidR="003719CD" w:rsidRPr="0021248D" w:rsidRDefault="003719CD" w:rsidP="00DC39DE">
      <w:pPr>
        <w:rPr>
          <w:rStyle w:val="Guidance"/>
        </w:rPr>
      </w:pPr>
      <w:r w:rsidRPr="0021248D">
        <w:rPr>
          <w:rStyle w:val="Guidance"/>
          <w:b/>
          <w:bCs/>
        </w:rPr>
        <w:t>Adjustments for changes in accounting policies or correction of prior period errors</w:t>
      </w:r>
      <w:r w:rsidRPr="0021248D">
        <w:rPr>
          <w:rStyle w:val="Guidance"/>
        </w:rPr>
        <w:t xml:space="preserve">: Retrospective adjustments as required under AASB 108 are not changes in equity but they are adjustments to the opening balance of retained earnings, except when an AAS requires retrospective adjustment of another component of equity. </w:t>
      </w:r>
    </w:p>
    <w:p w14:paraId="1C3A8358" w14:textId="3CDD551A" w:rsidR="003719CD" w:rsidRPr="0021248D" w:rsidRDefault="003719CD" w:rsidP="00DC39DE">
      <w:pPr>
        <w:rPr>
          <w:rStyle w:val="Guidance"/>
        </w:rPr>
      </w:pPr>
      <w:r w:rsidRPr="0021248D">
        <w:rPr>
          <w:rStyle w:val="Guidance"/>
        </w:rPr>
        <w:t>Disclosure is required of the total adjustment to each component of equity</w:t>
      </w:r>
      <w:r w:rsidR="00B0315F">
        <w:rPr>
          <w:rStyle w:val="Guidance"/>
        </w:rPr>
        <w:t>,</w:t>
      </w:r>
      <w:r w:rsidRPr="0021248D">
        <w:rPr>
          <w:rStyle w:val="Guidance"/>
        </w:rPr>
        <w:t xml:space="preserve"> resulting from changes in accounting policies and from corrections of errors, separately. These adjustments are disclosed for each prior period and the beginning of the period.</w:t>
      </w:r>
    </w:p>
    <w:p w14:paraId="0BCD7773" w14:textId="77777777" w:rsidR="003719CD" w:rsidRPr="0021248D" w:rsidRDefault="003719CD" w:rsidP="00DC39DE">
      <w:pPr>
        <w:rPr>
          <w:rStyle w:val="Guidance"/>
        </w:rPr>
      </w:pPr>
      <w:r w:rsidRPr="0021248D">
        <w:rPr>
          <w:rStyle w:val="Guidance"/>
          <w:b/>
          <w:bCs/>
        </w:rPr>
        <w:t>For profit guidance</w:t>
      </w:r>
      <w:r w:rsidRPr="0021248D">
        <w:rPr>
          <w:rStyle w:val="Guidance"/>
        </w:rPr>
        <w:t xml:space="preserve">: Other entities such as public non-financial corporations (PNFCs) and public financial corporations (PFCs) who pay dividends shall also present, either in the statement of changes in equity or in the notes, the amounts of dividends recognised as distributions to owners during the period, and the related amount per share. When presenting the dividends in the statement of changes in equity, a separate column needs to be added to show the dividends paid. </w:t>
      </w:r>
      <w:r w:rsidRPr="0021248D">
        <w:rPr>
          <w:rStyle w:val="Reference"/>
        </w:rPr>
        <w:t>[AASB 101.107]</w:t>
      </w:r>
    </w:p>
    <w:p w14:paraId="646C3E42" w14:textId="77777777" w:rsidR="003719CD" w:rsidRPr="0021248D" w:rsidRDefault="003719CD" w:rsidP="00DC39DE">
      <w:pPr>
        <w:rPr>
          <w:rStyle w:val="Guidance"/>
        </w:rPr>
      </w:pPr>
      <w:r w:rsidRPr="0021248D">
        <w:rPr>
          <w:rStyle w:val="Guidance"/>
          <w:b/>
          <w:bCs/>
        </w:rPr>
        <w:t>Events affecting changes in equity</w:t>
      </w:r>
      <w:r w:rsidRPr="0021248D">
        <w:rPr>
          <w:rStyle w:val="Guidance"/>
        </w:rPr>
        <w:t xml:space="preserve">: Changes in an entity’s equity between the beginning and the end of the reporting period reflect the increase or decrease in its net assets during the period. Except for changes resulting from transactions with owners acting in their capacity as owners, and transaction costs directly related to such transactions, the overall change in equity during a period represents the total amount of income and expenses, including gains and losses, generated by the entity’s activities during that period (whether those items of income and expenses are recognised in net result or directly as changes in equity). </w:t>
      </w:r>
      <w:r w:rsidRPr="0021248D">
        <w:rPr>
          <w:rStyle w:val="Reference"/>
        </w:rPr>
        <w:t>[AASB 101.109]</w:t>
      </w:r>
    </w:p>
    <w:p w14:paraId="279D4EC2" w14:textId="77777777" w:rsidR="003719CD" w:rsidRDefault="003719CD" w:rsidP="00D1495F">
      <w:pPr>
        <w:pStyle w:val="GuidanceEnd"/>
      </w:pPr>
      <w:r>
        <w:t xml:space="preserve"> </w:t>
      </w:r>
    </w:p>
    <w:p w14:paraId="58E327B7" w14:textId="77777777" w:rsidR="003719CD" w:rsidRPr="00D1495F" w:rsidRDefault="003719CD" w:rsidP="00D1495F"/>
    <w:p w14:paraId="1D777D03" w14:textId="77777777" w:rsidR="003719CD" w:rsidRDefault="003719CD" w:rsidP="00DC39DE">
      <w:pPr>
        <w:sectPr w:rsidR="003719CD" w:rsidSect="006E0E99">
          <w:headerReference w:type="even" r:id="rId26"/>
          <w:headerReference w:type="default" r:id="rId27"/>
          <w:footerReference w:type="even" r:id="rId28"/>
          <w:footerReference w:type="default" r:id="rId29"/>
          <w:pgSz w:w="11906" w:h="16838" w:code="9"/>
          <w:pgMar w:top="1134" w:right="1134" w:bottom="1134" w:left="1134" w:header="624" w:footer="567" w:gutter="0"/>
          <w:cols w:space="708"/>
          <w:docGrid w:linePitch="360"/>
        </w:sectPr>
      </w:pPr>
    </w:p>
    <w:p w14:paraId="005C9734" w14:textId="25453832" w:rsidR="003719CD" w:rsidRDefault="003719CD" w:rsidP="00EC38D4">
      <w:pPr>
        <w:pStyle w:val="Heading1numbered"/>
        <w:sectPr w:rsidR="003719CD" w:rsidSect="006E0E99">
          <w:headerReference w:type="default" r:id="rId30"/>
          <w:footerReference w:type="default" r:id="rId31"/>
          <w:headerReference w:type="first" r:id="rId32"/>
          <w:footerReference w:type="first" r:id="rId33"/>
          <w:pgSz w:w="11906" w:h="16838" w:code="9"/>
          <w:pgMar w:top="1134" w:right="1134" w:bottom="1134" w:left="1134" w:header="624" w:footer="567" w:gutter="0"/>
          <w:cols w:space="708"/>
          <w:titlePg/>
          <w:docGrid w:linePitch="360"/>
        </w:sectPr>
      </w:pPr>
      <w:bookmarkStart w:id="8" w:name="Section_1"/>
      <w:bookmarkEnd w:id="8"/>
      <w:r>
        <w:lastRenderedPageBreak/>
        <w:t>ABOUT THIS REPORT</w:t>
      </w:r>
    </w:p>
    <w:p w14:paraId="7B2161D4" w14:textId="77777777" w:rsidR="003719CD" w:rsidRDefault="003719CD" w:rsidP="00DC39DE">
      <w:r>
        <w:t xml:space="preserve">The Department of Technology (the Department) is a government department of the State of Victoria, established pursuant to an order made by the Premier under the </w:t>
      </w:r>
      <w:r w:rsidRPr="0021248D">
        <w:rPr>
          <w:i/>
          <w:iCs/>
        </w:rPr>
        <w:t>Public Administration Act 2004</w:t>
      </w:r>
      <w:r>
        <w:t>. It is an administrative agency acting on behalf of the Crown.</w:t>
      </w:r>
    </w:p>
    <w:p w14:paraId="4AB30E35" w14:textId="77777777" w:rsidR="003719CD" w:rsidRDefault="003719CD" w:rsidP="00DC39DE">
      <w:r>
        <w:t>Its principal address is:</w:t>
      </w:r>
    </w:p>
    <w:p w14:paraId="5234E9C9" w14:textId="77777777" w:rsidR="003719CD" w:rsidRDefault="003719CD" w:rsidP="00DC39DE">
      <w:r>
        <w:tab/>
        <w:t>Department of Technology</w:t>
      </w:r>
      <w:r>
        <w:br/>
      </w:r>
      <w:r>
        <w:tab/>
        <w:t>1 Victoria Place</w:t>
      </w:r>
      <w:r>
        <w:br/>
      </w:r>
      <w:r>
        <w:tab/>
        <w:t>Melbourne VIC 3000</w:t>
      </w:r>
    </w:p>
    <w:p w14:paraId="52F99863" w14:textId="77777777" w:rsidR="003719CD" w:rsidRDefault="003719CD" w:rsidP="00DC39DE">
      <w:r>
        <w:br w:type="column"/>
      </w:r>
      <w:r>
        <w:t xml:space="preserve">A description of the nature of its operations and its principal activities is included in the Report of operations, which does not form part of these financial statements. </w:t>
      </w:r>
      <w:r w:rsidRPr="006F796B">
        <w:rPr>
          <w:rStyle w:val="Reference"/>
        </w:rPr>
        <w:t>[AASB 101.138]</w:t>
      </w:r>
    </w:p>
    <w:p w14:paraId="4C57FC09"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666CB896" w14:textId="77777777" w:rsidR="003719CD" w:rsidRDefault="003719CD" w:rsidP="006F796B">
      <w:pPr>
        <w:pStyle w:val="Heading2"/>
      </w:pPr>
      <w:bookmarkStart w:id="9" w:name="INDEX_ComplianceAASB"/>
      <w:bookmarkEnd w:id="9"/>
      <w:r>
        <w:t>Basis of preparation</w:t>
      </w:r>
    </w:p>
    <w:p w14:paraId="73F25218" w14:textId="0B994F76" w:rsidR="003719CD" w:rsidRDefault="003719CD" w:rsidP="00DC39DE">
      <w:r>
        <w:t xml:space="preserve">These financial statements are in Australian dollars and the historical cost convention is used unless a different measurement basis is specifically disclosed in the note associated with the item measured on a different basis. </w:t>
      </w:r>
      <w:r w:rsidRPr="006F796B">
        <w:rPr>
          <w:rStyle w:val="Reference"/>
        </w:rPr>
        <w:t>[AASB</w:t>
      </w:r>
      <w:r>
        <w:rPr>
          <w:rStyle w:val="Reference"/>
        </w:rPr>
        <w:t> </w:t>
      </w:r>
      <w:r w:rsidRPr="006F796B">
        <w:rPr>
          <w:rStyle w:val="Reference"/>
        </w:rPr>
        <w:t>101.51(d) and AASB 121.11 and 121.53;]</w:t>
      </w:r>
    </w:p>
    <w:p w14:paraId="3244495F" w14:textId="77777777" w:rsidR="003719CD" w:rsidRPr="006F796B" w:rsidRDefault="003719CD" w:rsidP="00DC39DE">
      <w:pPr>
        <w:rPr>
          <w:rStyle w:val="Reference"/>
        </w:rPr>
      </w:pPr>
      <w:r>
        <w:t xml:space="preserve">The accrual basis of accounting has been applied in preparing these financial statements, whereby assets, liabilities, equity, income and expenses are recognised in the reporting period to which they relate, regardless of when cash is received or paid. </w:t>
      </w:r>
      <w:r w:rsidRPr="006F796B">
        <w:rPr>
          <w:rStyle w:val="Reference"/>
        </w:rPr>
        <w:t>[AASB 101.117(a)]</w:t>
      </w:r>
    </w:p>
    <w:p w14:paraId="00BF95A9" w14:textId="77777777" w:rsidR="003719CD" w:rsidRDefault="003719CD" w:rsidP="00DC39DE">
      <w:r>
        <w:t xml:space="preserve">Consistent with the requirements of AASB 1004 </w:t>
      </w:r>
      <w:r w:rsidRPr="006F796B">
        <w:rPr>
          <w:i/>
          <w:iCs/>
        </w:rPr>
        <w:t>Contributions</w:t>
      </w:r>
      <w:r>
        <w:t>, contributions by owners (that is, contributed capital and its repayment) are treated as equity transactions and, therefore, do not form part of the income and expenses of the Department.</w:t>
      </w:r>
    </w:p>
    <w:p w14:paraId="50DD2732" w14:textId="77777777" w:rsidR="003719CD" w:rsidRDefault="003719CD" w:rsidP="00DC39DE">
      <w:r>
        <w:t xml:space="preserve">Additions to net assets which have been designated as contributions by owners are recognised as contributed capital. Other transfers that are in the nature of contributions to or distributions by owners have also been designated as contributions by owners. </w:t>
      </w:r>
    </w:p>
    <w:p w14:paraId="4F3588D9" w14:textId="48B438FD" w:rsidR="003719CD" w:rsidRDefault="003719CD" w:rsidP="00DC39DE">
      <w:r>
        <w:t xml:space="preserve">Transfers of net assets arising from administrative restructurings are treated as distributions to or contributions by owners. Transfers of net liabilities arising from administrative restructurings are treated as distributions to owners. </w:t>
      </w:r>
      <w:r w:rsidRPr="006F796B">
        <w:rPr>
          <w:rStyle w:val="Reference"/>
        </w:rPr>
        <w:t>[FRD</w:t>
      </w:r>
      <w:r>
        <w:rPr>
          <w:rStyle w:val="Reference"/>
        </w:rPr>
        <w:t> </w:t>
      </w:r>
      <w:r w:rsidRPr="006F796B">
        <w:rPr>
          <w:rStyle w:val="Reference"/>
        </w:rPr>
        <w:t>119, AASB Interpretation 1038.7]</w:t>
      </w:r>
    </w:p>
    <w:p w14:paraId="53CFD069" w14:textId="77777777" w:rsidR="003719CD" w:rsidRDefault="003719CD" w:rsidP="00DC39DE">
      <w:r>
        <w:t xml:space="preserve">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w:t>
      </w:r>
      <w:r w:rsidRPr="006F796B">
        <w:rPr>
          <w:rStyle w:val="Reference"/>
        </w:rPr>
        <w:t>[AASB 101.122 and 101.125]</w:t>
      </w:r>
      <w:r>
        <w:t xml:space="preserve"> </w:t>
      </w:r>
    </w:p>
    <w:p w14:paraId="667B3558" w14:textId="77777777" w:rsidR="003719CD" w:rsidRDefault="003719CD" w:rsidP="00DC39DE">
      <w:r>
        <w:t xml:space="preserve">Revisions to accounting estimates are recognised in the period in which the estimate is revised and also in future periods that are affected by the revision. </w:t>
      </w:r>
      <w:r w:rsidRPr="006F796B">
        <w:rPr>
          <w:rStyle w:val="Reference"/>
        </w:rPr>
        <w:t>[AASB 108.36]</w:t>
      </w:r>
      <w:r>
        <w:t xml:space="preserve"> Judgements and assumptions made by management in applying AAS that have significant effects on the financial statements and estimates are disclosed in the notes under the heading: ‘Significant judgement or estimates’. </w:t>
      </w:r>
    </w:p>
    <w:p w14:paraId="1FBA4BB6" w14:textId="77777777" w:rsidR="003719CD" w:rsidRDefault="003719CD" w:rsidP="00DC39DE">
      <w:r>
        <w:t xml:space="preserve">These financial statements cover the Department of Technology as an individual reporting entity and include all the controlled activities of the Department. </w:t>
      </w:r>
    </w:p>
    <w:p w14:paraId="48F73752" w14:textId="0CC279AD" w:rsidR="003719CD" w:rsidRDefault="003719CD" w:rsidP="00DC39DE">
      <w:r>
        <w:t xml:space="preserve">The following agencies have been consolidated into the Department’s financial statements pursuant to a determination made by the </w:t>
      </w:r>
      <w:r w:rsidR="0046343B">
        <w:t>Minister for Finance</w:t>
      </w:r>
      <w:r>
        <w:t xml:space="preserve"> under section 53(1)(b) of the </w:t>
      </w:r>
      <w:r w:rsidRPr="006F796B">
        <w:rPr>
          <w:i/>
          <w:iCs/>
        </w:rPr>
        <w:t>Financial Management Act 1994</w:t>
      </w:r>
      <w:r>
        <w:t xml:space="preserve"> (FMA). These agencies are reported in aggregate and are not controlled by the Department:</w:t>
      </w:r>
    </w:p>
    <w:p w14:paraId="4F121317" w14:textId="77777777" w:rsidR="003719CD" w:rsidRDefault="003719CD" w:rsidP="00310F12">
      <w:pPr>
        <w:pStyle w:val="ListBullet"/>
      </w:pPr>
      <w:r w:rsidRPr="006F796B">
        <w:rPr>
          <w:b/>
          <w:bCs/>
        </w:rPr>
        <w:t>Gene Sciences Victoria</w:t>
      </w:r>
      <w:r>
        <w:t xml:space="preserve">, a business unit, established under the </w:t>
      </w:r>
      <w:r w:rsidRPr="006F796B">
        <w:rPr>
          <w:i/>
          <w:iCs/>
        </w:rPr>
        <w:t>Biological Technology Act 1998</w:t>
      </w:r>
      <w:r>
        <w:t>.</w:t>
      </w:r>
    </w:p>
    <w:p w14:paraId="03732C15" w14:textId="77777777" w:rsidR="003719CD" w:rsidRDefault="003719CD" w:rsidP="00310F12">
      <w:pPr>
        <w:pStyle w:val="ListBullet"/>
      </w:pPr>
      <w:r w:rsidRPr="006F796B">
        <w:rPr>
          <w:b/>
          <w:bCs/>
        </w:rPr>
        <w:t>The Office of the Commissioner of New Technology</w:t>
      </w:r>
      <w:r>
        <w:t xml:space="preserve"> is an administrative unit established under the </w:t>
      </w:r>
      <w:r w:rsidRPr="006F796B">
        <w:rPr>
          <w:i/>
          <w:iCs/>
        </w:rPr>
        <w:t>New Technology Act 1999</w:t>
      </w:r>
      <w:r>
        <w:t>.</w:t>
      </w:r>
    </w:p>
    <w:p w14:paraId="746EC31E" w14:textId="77777777" w:rsidR="003719CD" w:rsidRDefault="003719CD" w:rsidP="00310F12">
      <w:pPr>
        <w:pStyle w:val="ListBullet"/>
      </w:pPr>
      <w:r w:rsidRPr="006F796B">
        <w:rPr>
          <w:b/>
          <w:bCs/>
        </w:rPr>
        <w:t>Innovation Victoria</w:t>
      </w:r>
      <w:r>
        <w:t xml:space="preserve"> is an entity established under the </w:t>
      </w:r>
      <w:r w:rsidRPr="006F796B">
        <w:rPr>
          <w:i/>
          <w:iCs/>
        </w:rPr>
        <w:t>Innovation Victoria Act 2015</w:t>
      </w:r>
      <w:r>
        <w:t>.</w:t>
      </w:r>
    </w:p>
    <w:p w14:paraId="58405D84" w14:textId="77777777" w:rsidR="003719CD" w:rsidRDefault="003719CD" w:rsidP="00DC39DE">
      <w:r>
        <w:t>Where control of an entity is obtained during the financial period, its results are included in the comprehensive operating statement from the date on which control is demonstrated. Where control ceases during a financial period,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38508877" w14:textId="77777777" w:rsidR="003719CD" w:rsidRDefault="003719CD" w:rsidP="00DC39DE">
      <w:r>
        <w:lastRenderedPageBreak/>
        <w:t>In preparing consolidated financial statements for the Department, all material transactions and balances between consolidated entities are eliminated.</w:t>
      </w:r>
    </w:p>
    <w:p w14:paraId="04900C35" w14:textId="77777777" w:rsidR="003719CD" w:rsidRPr="00956D29" w:rsidRDefault="003719CD" w:rsidP="00DC39DE">
      <w:pPr>
        <w:rPr>
          <w:rStyle w:val="Reference"/>
        </w:rPr>
      </w:pPr>
      <w:r>
        <w:t xml:space="preserve">All amounts in the financial statements have been rounded to the nearest $1 000 unless otherwise stated. </w:t>
      </w:r>
      <w:r w:rsidRPr="00956D29">
        <w:rPr>
          <w:rStyle w:val="Reference"/>
        </w:rPr>
        <w:t>[AASB</w:t>
      </w:r>
      <w:r>
        <w:rPr>
          <w:rStyle w:val="Reference"/>
        </w:rPr>
        <w:t> </w:t>
      </w:r>
      <w:r w:rsidRPr="00956D29">
        <w:rPr>
          <w:rStyle w:val="Reference"/>
        </w:rPr>
        <w:t>101.51(e)]</w:t>
      </w:r>
    </w:p>
    <w:p w14:paraId="253111F7" w14:textId="45715088" w:rsidR="003719CD" w:rsidRDefault="003719CD" w:rsidP="007D536F">
      <w:pPr>
        <w:pStyle w:val="Heading2"/>
      </w:pPr>
      <w:r>
        <w:t>Compliance information</w:t>
      </w:r>
    </w:p>
    <w:p w14:paraId="668AF9DC" w14:textId="43D92938" w:rsidR="003719CD" w:rsidRDefault="003719CD" w:rsidP="00DC39DE">
      <w:r>
        <w:t xml:space="preserve">These general-purpose financial statements </w:t>
      </w:r>
      <w:r w:rsidR="00986E1A">
        <w:t xml:space="preserve">(Tier 1) </w:t>
      </w:r>
      <w:r>
        <w:t xml:space="preserve">have been prepared in accordance with the FMA and applicable Australian Accounting Standards (AASs), which include Interpretations, issued by the Australian Accounting Standards Board (AASB). In particular, they are presented in a manner consistent with the requirements of AASB 1049 </w:t>
      </w:r>
      <w:r w:rsidRPr="00956D29">
        <w:rPr>
          <w:i/>
          <w:iCs/>
        </w:rPr>
        <w:t>Whole of Government and General Government Sector Financial Reporting</w:t>
      </w:r>
      <w:r>
        <w:t xml:space="preserve">. </w:t>
      </w:r>
      <w:r w:rsidRPr="00956D29">
        <w:rPr>
          <w:rStyle w:val="Reference"/>
        </w:rPr>
        <w:t>[AASB 1054.7]</w:t>
      </w:r>
    </w:p>
    <w:p w14:paraId="7CA0518C" w14:textId="7000DD52" w:rsidR="003719CD" w:rsidRPr="00956D29" w:rsidRDefault="003719CD" w:rsidP="00DC39DE">
      <w:pPr>
        <w:rPr>
          <w:rStyle w:val="Reference"/>
        </w:rPr>
      </w:pPr>
      <w:r>
        <w:t xml:space="preserve">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 </w:t>
      </w:r>
      <w:r w:rsidRPr="00956D29">
        <w:rPr>
          <w:rStyle w:val="Reference"/>
        </w:rPr>
        <w:t>[AASB 101.17]</w:t>
      </w:r>
    </w:p>
    <w:p w14:paraId="2D6565E4" w14:textId="77777777" w:rsidR="003719CD" w:rsidRDefault="003719CD" w:rsidP="007D536F">
      <w:pPr>
        <w:pStyle w:val="GuidanceBlockHeading"/>
      </w:pPr>
      <w:r>
        <w:t>Guidance – Basis of preparation and compliance information</w:t>
      </w:r>
    </w:p>
    <w:p w14:paraId="2602A363" w14:textId="77777777" w:rsidR="003719CD" w:rsidRDefault="003719CD" w:rsidP="007D536F">
      <w:pPr>
        <w:pStyle w:val="GuidanceHeading"/>
      </w:pPr>
      <w:r>
        <w:t>Reporting entity</w:t>
      </w:r>
    </w:p>
    <w:p w14:paraId="4D5CEE77" w14:textId="1D17CA5C" w:rsidR="003719CD" w:rsidRPr="00956D29" w:rsidRDefault="003719CD" w:rsidP="00DC39DE">
      <w:pPr>
        <w:rPr>
          <w:rStyle w:val="Guidance"/>
        </w:rPr>
      </w:pPr>
      <w:r w:rsidRPr="00956D29">
        <w:rPr>
          <w:rStyle w:val="Guidance"/>
        </w:rPr>
        <w:t>Government departments may conduct activities through a variety of administrative and organisational structures. For example, they may manage commercial activities separately from non-commercial activities, operate one or more trust accounts and may undertake a number of activities.</w:t>
      </w:r>
      <w:r w:rsidR="00634AFF">
        <w:rPr>
          <w:rStyle w:val="Guidance"/>
        </w:rPr>
        <w:t xml:space="preserve"> </w:t>
      </w:r>
      <w:r w:rsidRPr="00956D29">
        <w:rPr>
          <w:rStyle w:val="Guidance"/>
        </w:rPr>
        <w:t>Where a department administers activities on behalf of parties external to the Victorian Government, the nature and amount of the funds under management should be disclosed separately from income, expenses, assets and liabilities in the notes.</w:t>
      </w:r>
      <w:r w:rsidRPr="00956D29">
        <w:rPr>
          <w:rStyle w:val="Reference"/>
        </w:rPr>
        <w:t xml:space="preserve"> [AASB 1050.25]</w:t>
      </w:r>
    </w:p>
    <w:p w14:paraId="01352646" w14:textId="77777777" w:rsidR="003719CD" w:rsidRDefault="003719CD" w:rsidP="007D536F">
      <w:pPr>
        <w:pStyle w:val="GuidanceHeading"/>
      </w:pPr>
      <w:r>
        <w:t>Judgements, estimates and assumptions</w:t>
      </w:r>
    </w:p>
    <w:p w14:paraId="6F09F324" w14:textId="77777777" w:rsidR="003719CD" w:rsidRPr="00956D29" w:rsidRDefault="003719CD" w:rsidP="00DC39DE">
      <w:pPr>
        <w:rPr>
          <w:rStyle w:val="Guidance"/>
        </w:rPr>
      </w:pPr>
      <w:r w:rsidRPr="00956D29">
        <w:rPr>
          <w:rStyle w:val="Guidance"/>
        </w:rPr>
        <w:t>In preparing financial statements, the nature of significant judgements, estimates and assumptions made by management need to be disclosed. The following disclosures are required:</w:t>
      </w:r>
    </w:p>
    <w:p w14:paraId="6BC19042" w14:textId="1BC291BB" w:rsidR="003719CD" w:rsidRPr="00956D29" w:rsidRDefault="00841025" w:rsidP="00310F12">
      <w:pPr>
        <w:pStyle w:val="ListBullet"/>
        <w:rPr>
          <w:rStyle w:val="Guidance"/>
        </w:rPr>
      </w:pPr>
      <w:r>
        <w:rPr>
          <w:rStyle w:val="Guidance"/>
        </w:rPr>
        <w:t>T</w:t>
      </w:r>
      <w:r w:rsidR="003719CD" w:rsidRPr="00956D29">
        <w:rPr>
          <w:rStyle w:val="Guidance"/>
        </w:rPr>
        <w:t>he fact that significant assumptions, judgements and estimates were made</w:t>
      </w:r>
    </w:p>
    <w:p w14:paraId="7BC813CE" w14:textId="125D6909" w:rsidR="003719CD" w:rsidRPr="00956D29" w:rsidRDefault="00841025" w:rsidP="00310F12">
      <w:pPr>
        <w:pStyle w:val="ListBullet"/>
        <w:rPr>
          <w:rStyle w:val="Guidance"/>
        </w:rPr>
      </w:pPr>
      <w:r>
        <w:rPr>
          <w:rStyle w:val="Guidance"/>
        </w:rPr>
        <w:t>T</w:t>
      </w:r>
      <w:r w:rsidR="003719CD" w:rsidRPr="00956D29">
        <w:rPr>
          <w:rStyle w:val="Guidance"/>
        </w:rPr>
        <w:t>he nature of the significant assumptions, judgements and estimates</w:t>
      </w:r>
    </w:p>
    <w:p w14:paraId="45ACD254" w14:textId="2493374B" w:rsidR="003719CD" w:rsidRPr="00956D29" w:rsidRDefault="00841025" w:rsidP="00310F12">
      <w:pPr>
        <w:pStyle w:val="ListBullet"/>
        <w:rPr>
          <w:rStyle w:val="Guidance"/>
        </w:rPr>
      </w:pPr>
      <w:r>
        <w:rPr>
          <w:rStyle w:val="Guidance"/>
        </w:rPr>
        <w:t>H</w:t>
      </w:r>
      <w:r w:rsidR="003719CD" w:rsidRPr="00956D29">
        <w:rPr>
          <w:rStyle w:val="Guidance"/>
        </w:rPr>
        <w:t xml:space="preserve">ow these were made (the method used). </w:t>
      </w:r>
    </w:p>
    <w:p w14:paraId="120DAA2C" w14:textId="77777777" w:rsidR="003719CD" w:rsidRPr="00956D29" w:rsidRDefault="003719CD" w:rsidP="00DC39DE">
      <w:pPr>
        <w:rPr>
          <w:rStyle w:val="Guidance"/>
        </w:rPr>
      </w:pPr>
      <w:r w:rsidRPr="00956D29">
        <w:rPr>
          <w:rStyle w:val="Guidance"/>
        </w:rPr>
        <w:t>Examples include valuation of investments, impairment of property, plant and equipment etc.</w:t>
      </w:r>
      <w:r w:rsidRPr="00956D29">
        <w:rPr>
          <w:rStyle w:val="Reference"/>
        </w:rPr>
        <w:t xml:space="preserve"> [AASB 101.122 and 101.125]</w:t>
      </w:r>
    </w:p>
    <w:p w14:paraId="314622AB" w14:textId="77777777" w:rsidR="003719CD" w:rsidRDefault="003719CD" w:rsidP="007D536F">
      <w:pPr>
        <w:pStyle w:val="GuidanceHeading"/>
      </w:pPr>
      <w:r>
        <w:t xml:space="preserve">Key sources of estimation uncertainty </w:t>
      </w:r>
      <w:r w:rsidRPr="00956D29">
        <w:rPr>
          <w:rStyle w:val="Reference"/>
        </w:rPr>
        <w:t>[AASB 101.125]</w:t>
      </w:r>
    </w:p>
    <w:p w14:paraId="4CAE584A" w14:textId="57C1E35F" w:rsidR="003719CD" w:rsidRPr="00956D29" w:rsidRDefault="003719CD" w:rsidP="00CD06B1">
      <w:pPr>
        <w:rPr>
          <w:rStyle w:val="Guidance"/>
        </w:rPr>
      </w:pPr>
      <w:r w:rsidRPr="00956D29">
        <w:rPr>
          <w:rStyle w:val="Guidance"/>
        </w:rPr>
        <w:t>An entity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r w:rsidR="00904EC6">
        <w:rPr>
          <w:rStyle w:val="Guidance"/>
        </w:rPr>
        <w:t xml:space="preserve"> </w:t>
      </w:r>
      <w:r w:rsidRPr="00956D29">
        <w:rPr>
          <w:rStyle w:val="Guidance"/>
        </w:rPr>
        <w:t>their nature</w:t>
      </w:r>
      <w:r w:rsidR="00904EC6">
        <w:rPr>
          <w:rStyle w:val="Guidance"/>
        </w:rPr>
        <w:t xml:space="preserve"> and </w:t>
      </w:r>
      <w:r w:rsidRPr="00956D29">
        <w:rPr>
          <w:rStyle w:val="Guidance"/>
        </w:rPr>
        <w:t>their carrying amount at the end of the reporting period.</w:t>
      </w:r>
    </w:p>
    <w:p w14:paraId="577DDB89" w14:textId="77777777" w:rsidR="003719CD" w:rsidRPr="00956D29" w:rsidRDefault="003719CD" w:rsidP="00DC39DE">
      <w:pPr>
        <w:rPr>
          <w:rStyle w:val="Guidance"/>
        </w:rPr>
      </w:pPr>
      <w:r w:rsidRPr="00956D29">
        <w:rPr>
          <w:rStyle w:val="Guidance"/>
        </w:rPr>
        <w:t xml:space="preserve">Determining the carrying amounts of some assets and liabilities requires estimation of the effects of uncertain future events on those assets and liabilities at the end of the reporting period. </w:t>
      </w:r>
      <w:r w:rsidRPr="00956D29">
        <w:rPr>
          <w:rStyle w:val="Reference"/>
        </w:rPr>
        <w:t>[AASB 101.126]</w:t>
      </w:r>
    </w:p>
    <w:p w14:paraId="125BE9A5" w14:textId="77777777" w:rsidR="003719CD" w:rsidRPr="00956D29" w:rsidRDefault="003719CD" w:rsidP="00DC39DE">
      <w:pPr>
        <w:rPr>
          <w:rStyle w:val="Guidance"/>
        </w:rPr>
      </w:pPr>
      <w:r w:rsidRPr="00956D29">
        <w:rPr>
          <w:rStyle w:val="Guidance"/>
        </w:rPr>
        <w:t xml:space="preserve">The disclosures in the paragraph above are not required for assets and liabilities with a significant risk that their carrying amounts might change materially within the next financial year if, at the end of the reporting period, they are measured at fair value based on recently observed market prices. </w:t>
      </w:r>
      <w:r w:rsidRPr="00956D29">
        <w:rPr>
          <w:rStyle w:val="Reference"/>
        </w:rPr>
        <w:t>[AASB 101.128]</w:t>
      </w:r>
    </w:p>
    <w:p w14:paraId="17CC873B" w14:textId="77777777" w:rsidR="00FA4323" w:rsidRDefault="00FA4323">
      <w:pPr>
        <w:keepLines w:val="0"/>
        <w:rPr>
          <w:rStyle w:val="Guidance"/>
          <w:b/>
          <w:sz w:val="20"/>
        </w:rPr>
      </w:pPr>
      <w:r>
        <w:rPr>
          <w:rStyle w:val="Guidance"/>
        </w:rPr>
        <w:br w:type="page"/>
      </w:r>
    </w:p>
    <w:p w14:paraId="6B1F0E5E" w14:textId="54E2B1D1" w:rsidR="003719CD" w:rsidRPr="00956D29" w:rsidRDefault="003719CD" w:rsidP="007D536F">
      <w:pPr>
        <w:pStyle w:val="GuidanceHeading"/>
        <w:rPr>
          <w:rStyle w:val="Guidance"/>
        </w:rPr>
      </w:pPr>
      <w:r w:rsidRPr="00956D29">
        <w:rPr>
          <w:rStyle w:val="Guidance"/>
        </w:rPr>
        <w:lastRenderedPageBreak/>
        <w:t>Other significant judgements</w:t>
      </w:r>
    </w:p>
    <w:p w14:paraId="21772B87" w14:textId="77777777" w:rsidR="003719CD" w:rsidRPr="00956D29" w:rsidRDefault="003719CD" w:rsidP="00DC39DE">
      <w:pPr>
        <w:rPr>
          <w:rStyle w:val="Guidance"/>
        </w:rPr>
      </w:pPr>
      <w:r w:rsidRPr="00956D29">
        <w:rPr>
          <w:rStyle w:val="Guidance"/>
        </w:rPr>
        <w:t>In addition, significant judgements and assumptions made (and changes to those judgements and assumptions) need to be disclosed in determining:</w:t>
      </w:r>
    </w:p>
    <w:p w14:paraId="73CDABC9" w14:textId="3EBCF47D" w:rsidR="003719CD" w:rsidRPr="00956D29" w:rsidRDefault="003719CD" w:rsidP="00310F12">
      <w:pPr>
        <w:pStyle w:val="ListBullet"/>
        <w:rPr>
          <w:rStyle w:val="Guidance"/>
        </w:rPr>
      </w:pPr>
      <w:r w:rsidRPr="00956D29">
        <w:rPr>
          <w:rStyle w:val="Guidance"/>
        </w:rPr>
        <w:t>whether it controls another entity</w:t>
      </w:r>
      <w:r w:rsidR="00C24ED6">
        <w:rPr>
          <w:rStyle w:val="Guidance"/>
        </w:rPr>
        <w:t xml:space="preserve"> </w:t>
      </w:r>
      <w:r w:rsidR="00C24ED6" w:rsidRPr="007F307D">
        <w:rPr>
          <w:rStyle w:val="Reference"/>
        </w:rPr>
        <w:t>[AASB 12.7</w:t>
      </w:r>
      <w:r w:rsidR="00C24ED6">
        <w:rPr>
          <w:rStyle w:val="Reference"/>
        </w:rPr>
        <w:t>(a</w:t>
      </w:r>
      <w:r w:rsidR="3187054C" w:rsidRPr="68561F87">
        <w:rPr>
          <w:rStyle w:val="Reference"/>
        </w:rPr>
        <w:t>)</w:t>
      </w:r>
      <w:r w:rsidR="29DE3F37" w:rsidRPr="68561F87">
        <w:rPr>
          <w:rStyle w:val="Reference"/>
        </w:rPr>
        <w:t>]</w:t>
      </w:r>
      <w:r w:rsidR="7641110B" w:rsidRPr="68561F87">
        <w:rPr>
          <w:rStyle w:val="Reference"/>
        </w:rPr>
        <w:t>, [AASB10.5 and 6]</w:t>
      </w:r>
    </w:p>
    <w:p w14:paraId="344444BE" w14:textId="71FC3ABF" w:rsidR="003719CD" w:rsidRPr="00956D29" w:rsidRDefault="003719CD" w:rsidP="00310F12">
      <w:pPr>
        <w:pStyle w:val="ListBullet"/>
        <w:rPr>
          <w:rStyle w:val="Guidance"/>
        </w:rPr>
      </w:pPr>
      <w:r w:rsidRPr="00956D29">
        <w:rPr>
          <w:rStyle w:val="Guidance"/>
        </w:rPr>
        <w:t>whether it has joint control of an arrangement or significant influence over another entity</w:t>
      </w:r>
      <w:r w:rsidR="004F3AA2">
        <w:rPr>
          <w:rStyle w:val="Guidance"/>
        </w:rPr>
        <w:t xml:space="preserve"> </w:t>
      </w:r>
      <w:r w:rsidR="004F3AA2" w:rsidRPr="007F307D">
        <w:rPr>
          <w:rStyle w:val="Reference"/>
        </w:rPr>
        <w:t>[AASB 12.7</w:t>
      </w:r>
      <w:r w:rsidR="004F3AA2">
        <w:rPr>
          <w:rStyle w:val="Reference"/>
        </w:rPr>
        <w:t>(b</w:t>
      </w:r>
      <w:r w:rsidR="29DE3F37" w:rsidRPr="68561F87">
        <w:rPr>
          <w:rStyle w:val="Reference"/>
        </w:rPr>
        <w:t>)]</w:t>
      </w:r>
      <w:r w:rsidR="51F1C6E0" w:rsidRPr="68561F87">
        <w:rPr>
          <w:rStyle w:val="Reference"/>
        </w:rPr>
        <w:t>, [AASB11.4 and 5]</w:t>
      </w:r>
    </w:p>
    <w:p w14:paraId="3A0DF747" w14:textId="622FF2A4" w:rsidR="003719CD" w:rsidRPr="00956D29" w:rsidRDefault="003719CD" w:rsidP="00310F12">
      <w:pPr>
        <w:pStyle w:val="ListBullet"/>
        <w:rPr>
          <w:rStyle w:val="Guidance"/>
        </w:rPr>
      </w:pPr>
      <w:r w:rsidRPr="00956D29">
        <w:rPr>
          <w:rStyle w:val="Guidance"/>
        </w:rPr>
        <w:t>the type of joint arrangement (i.e. joint operation or joint venture) when the arrangement has been structured through a separate vehicle</w:t>
      </w:r>
      <w:r w:rsidR="00904EC6">
        <w:rPr>
          <w:rStyle w:val="Guidance"/>
        </w:rPr>
        <w:t xml:space="preserve"> </w:t>
      </w:r>
      <w:r w:rsidRPr="007F307D">
        <w:rPr>
          <w:rStyle w:val="Reference"/>
        </w:rPr>
        <w:t>[AASB 12.7</w:t>
      </w:r>
      <w:r w:rsidR="004F3AA2">
        <w:rPr>
          <w:rStyle w:val="Reference"/>
        </w:rPr>
        <w:t>(c</w:t>
      </w:r>
      <w:r w:rsidR="29DE3F37" w:rsidRPr="68561F87">
        <w:rPr>
          <w:rStyle w:val="Reference"/>
        </w:rPr>
        <w:t>)</w:t>
      </w:r>
      <w:r w:rsidR="75307E47" w:rsidRPr="68561F87">
        <w:rPr>
          <w:rStyle w:val="Reference"/>
        </w:rPr>
        <w:t>]</w:t>
      </w:r>
      <w:r w:rsidR="66619C7D" w:rsidRPr="68561F87">
        <w:rPr>
          <w:rStyle w:val="Reference"/>
        </w:rPr>
        <w:t>, [AASB11.14-16]</w:t>
      </w:r>
    </w:p>
    <w:p w14:paraId="1C961023" w14:textId="74669B55" w:rsidR="003719CD" w:rsidRPr="00956D29" w:rsidRDefault="003719CD" w:rsidP="00310F12">
      <w:pPr>
        <w:pStyle w:val="ListBullet"/>
        <w:rPr>
          <w:rStyle w:val="Guidance"/>
        </w:rPr>
      </w:pPr>
      <w:r w:rsidRPr="00956D29">
        <w:rPr>
          <w:rStyle w:val="Guidance"/>
        </w:rPr>
        <w:t xml:space="preserve">when substantially all the significant risks and rewards of ownership of financial assets and </w:t>
      </w:r>
      <w:r w:rsidR="00721846" w:rsidRPr="00721846">
        <w:rPr>
          <w:rStyle w:val="Guidance"/>
        </w:rPr>
        <w:t>for lessors, assets subject to leases</w:t>
      </w:r>
      <w:r w:rsidR="00721846" w:rsidRPr="00721846" w:rsidDel="00721846">
        <w:rPr>
          <w:rStyle w:val="Guidance"/>
        </w:rPr>
        <w:t xml:space="preserve"> </w:t>
      </w:r>
      <w:r w:rsidRPr="00956D29">
        <w:rPr>
          <w:rStyle w:val="Guidance"/>
        </w:rPr>
        <w:t>are transferred to other entities</w:t>
      </w:r>
      <w:r w:rsidR="003B7CED">
        <w:rPr>
          <w:rStyle w:val="Guidance"/>
        </w:rPr>
        <w:t xml:space="preserve"> </w:t>
      </w:r>
      <w:r w:rsidR="003B7CED" w:rsidRPr="007F307D">
        <w:rPr>
          <w:rStyle w:val="Reference"/>
        </w:rPr>
        <w:t xml:space="preserve">[AASB </w:t>
      </w:r>
      <w:r w:rsidR="00CF7FA5">
        <w:rPr>
          <w:rStyle w:val="Reference"/>
        </w:rPr>
        <w:t>16.62</w:t>
      </w:r>
      <w:r w:rsidR="003B7CED" w:rsidRPr="007F307D">
        <w:rPr>
          <w:rStyle w:val="Reference"/>
        </w:rPr>
        <w:t>]</w:t>
      </w:r>
    </w:p>
    <w:p w14:paraId="43F5DBBE" w14:textId="1DA8F73D" w:rsidR="003719CD" w:rsidRPr="00956D29" w:rsidRDefault="003719CD" w:rsidP="00310F12">
      <w:pPr>
        <w:pStyle w:val="ListBullet"/>
        <w:rPr>
          <w:rStyle w:val="Guidance"/>
        </w:rPr>
      </w:pPr>
      <w:r w:rsidRPr="00956D29">
        <w:rPr>
          <w:rStyle w:val="Guidance"/>
        </w:rPr>
        <w:t>whether, in substance, particular sales of goods are financing arrangements and therefore do not give rise to income</w:t>
      </w:r>
      <w:r w:rsidR="00660223">
        <w:rPr>
          <w:rStyle w:val="Guidance"/>
        </w:rPr>
        <w:t>.</w:t>
      </w:r>
      <w:r w:rsidR="0049714B">
        <w:rPr>
          <w:rStyle w:val="Guidance"/>
        </w:rPr>
        <w:t xml:space="preserve"> </w:t>
      </w:r>
      <w:r w:rsidR="0049714B" w:rsidRPr="007F307D">
        <w:rPr>
          <w:rStyle w:val="Reference"/>
        </w:rPr>
        <w:t xml:space="preserve">[AASB </w:t>
      </w:r>
      <w:r w:rsidR="008F7809">
        <w:rPr>
          <w:rStyle w:val="Reference"/>
        </w:rPr>
        <w:t>15</w:t>
      </w:r>
      <w:r w:rsidR="004A1AB1">
        <w:rPr>
          <w:rStyle w:val="Reference"/>
        </w:rPr>
        <w:t>.B66.b]</w:t>
      </w:r>
    </w:p>
    <w:p w14:paraId="5D823F10" w14:textId="77777777" w:rsidR="003719CD" w:rsidRDefault="003719CD" w:rsidP="007D536F">
      <w:pPr>
        <w:pStyle w:val="GuidanceHeading"/>
      </w:pPr>
      <w:r>
        <w:t>Basis of consolidation</w:t>
      </w:r>
    </w:p>
    <w:p w14:paraId="68BA23B3" w14:textId="0E905DBA" w:rsidR="003719CD" w:rsidRPr="00956D29" w:rsidRDefault="003719CD" w:rsidP="00DC39DE">
      <w:pPr>
        <w:rPr>
          <w:rStyle w:val="Guidance"/>
        </w:rPr>
      </w:pPr>
      <w:r w:rsidRPr="724D5A46">
        <w:rPr>
          <w:rStyle w:val="Guidance"/>
        </w:rPr>
        <w:t xml:space="preserve">AASB 10 </w:t>
      </w:r>
      <w:r w:rsidRPr="724D5A46">
        <w:rPr>
          <w:rStyle w:val="Guidance"/>
          <w:i/>
          <w:iCs/>
        </w:rPr>
        <w:t>Consolidated Financial Statements</w:t>
      </w:r>
      <w:r w:rsidRPr="724D5A46">
        <w:rPr>
          <w:rStyle w:val="Guidance"/>
        </w:rPr>
        <w:t xml:space="preserve"> defines the principle of control and establishes control as the basis for consolidation. Please refer to the </w:t>
      </w:r>
      <w:hyperlink r:id="rId34">
        <w:r w:rsidRPr="724D5A46">
          <w:rPr>
            <w:rStyle w:val="Hyperlink"/>
            <w:i/>
            <w:iCs/>
          </w:rPr>
          <w:t>Control analysis for Victorian Public Sector Entities</w:t>
        </w:r>
        <w:r w:rsidRPr="724D5A46">
          <w:rPr>
            <w:rStyle w:val="Hyperlink"/>
          </w:rPr>
          <w:t xml:space="preserve"> checklist</w:t>
        </w:r>
      </w:hyperlink>
      <w:r w:rsidRPr="724D5A46">
        <w:rPr>
          <w:rStyle w:val="Guidance"/>
        </w:rPr>
        <w:t xml:space="preserve"> on the DTF website for detailed guidance for application of AASB 10 in the not-for-profit context.</w:t>
      </w:r>
    </w:p>
    <w:p w14:paraId="2101D777" w14:textId="77777777" w:rsidR="003719CD" w:rsidRPr="00956D29" w:rsidRDefault="003719CD" w:rsidP="00DC39DE">
      <w:pPr>
        <w:rPr>
          <w:rStyle w:val="Guidance"/>
        </w:rPr>
      </w:pPr>
      <w:r w:rsidRPr="00956D29">
        <w:rPr>
          <w:rStyle w:val="Guidance"/>
        </w:rPr>
        <w:t xml:space="preserve">An entity shall disclose information about significant judgements and assumptions it has made (and changes to those judgements and assumptions) in determining that it has control of another entity (e.g. an investee as described in paragraphs 5 and 6 of AASB 10). </w:t>
      </w:r>
    </w:p>
    <w:p w14:paraId="5EB3C3B3" w14:textId="77777777" w:rsidR="003719CD" w:rsidRPr="00956D29" w:rsidRDefault="003719CD" w:rsidP="00DC39DE">
      <w:pPr>
        <w:rPr>
          <w:rStyle w:val="Guidance"/>
        </w:rPr>
      </w:pPr>
      <w:r w:rsidRPr="00956D29">
        <w:rPr>
          <w:rStyle w:val="Guidance"/>
        </w:rPr>
        <w:t xml:space="preserve">For departments that aggregate entities under section 53(1)(b) of the </w:t>
      </w:r>
      <w:r w:rsidRPr="00956D29">
        <w:rPr>
          <w:rStyle w:val="Guidance"/>
          <w:i/>
          <w:iCs/>
        </w:rPr>
        <w:t>Financial Management Act 1994</w:t>
      </w:r>
      <w:r w:rsidRPr="00956D29">
        <w:rPr>
          <w:rStyle w:val="Guidance"/>
        </w:rPr>
        <w:t xml:space="preserve"> in their annual report, this following guidance has been provided for use in the relevant note: </w:t>
      </w:r>
    </w:p>
    <w:p w14:paraId="31679134" w14:textId="70CE0407" w:rsidR="003719CD" w:rsidRPr="00956D29" w:rsidRDefault="003719CD" w:rsidP="00DC39DE">
      <w:pPr>
        <w:rPr>
          <w:rStyle w:val="Guidance"/>
        </w:rPr>
      </w:pPr>
      <w:r w:rsidRPr="00956D29">
        <w:rPr>
          <w:rStyle w:val="Guidance"/>
        </w:rPr>
        <w:t xml:space="preserve">Pursuant to section 53(1)(b) of the </w:t>
      </w:r>
      <w:r w:rsidRPr="00956D29">
        <w:rPr>
          <w:rStyle w:val="Guidance"/>
          <w:i/>
          <w:iCs/>
        </w:rPr>
        <w:t>Financial Management Act 1994</w:t>
      </w:r>
      <w:r w:rsidRPr="00956D29">
        <w:rPr>
          <w:rStyle w:val="Guidance"/>
        </w:rPr>
        <w:t xml:space="preserve">, the results of the following entities are reported in aggregate as part of the department’s financial statements. These entities are not controlled by the </w:t>
      </w:r>
      <w:r w:rsidR="00F353E5">
        <w:rPr>
          <w:rStyle w:val="Guidance"/>
        </w:rPr>
        <w:t>D</w:t>
      </w:r>
      <w:r w:rsidR="00F353E5" w:rsidRPr="00956D29">
        <w:rPr>
          <w:rStyle w:val="Guidance"/>
        </w:rPr>
        <w:t>epartment</w:t>
      </w:r>
      <w:r w:rsidRPr="00956D29">
        <w:rPr>
          <w:rStyle w:val="Guidance"/>
        </w:rPr>
        <w:t xml:space="preserve">. </w:t>
      </w:r>
    </w:p>
    <w:p w14:paraId="6D3A564C" w14:textId="7EB81A7E" w:rsidR="003719CD" w:rsidRPr="00956D29" w:rsidRDefault="003719CD" w:rsidP="00DC39DE">
      <w:pPr>
        <w:rPr>
          <w:rStyle w:val="Guidance"/>
        </w:rPr>
      </w:pPr>
      <w:r w:rsidRPr="00956D29">
        <w:rPr>
          <w:rStyle w:val="Guidance"/>
        </w:rPr>
        <w:t>[insert names]</w:t>
      </w:r>
    </w:p>
    <w:p w14:paraId="720D9CB7" w14:textId="53763E03" w:rsidR="003719CD" w:rsidRDefault="003719CD" w:rsidP="007D536F">
      <w:pPr>
        <w:pStyle w:val="GuidanceHeading"/>
      </w:pPr>
      <w:r>
        <w:t xml:space="preserve">Rounding of amounts </w:t>
      </w:r>
      <w:r w:rsidRPr="00956D29">
        <w:rPr>
          <w:rStyle w:val="Reference"/>
        </w:rPr>
        <w:t>[AASB</w:t>
      </w:r>
      <w:r w:rsidR="00432E83">
        <w:rPr>
          <w:rStyle w:val="Reference"/>
        </w:rPr>
        <w:t xml:space="preserve"> </w:t>
      </w:r>
      <w:r w:rsidRPr="00956D29">
        <w:rPr>
          <w:rStyle w:val="Reference"/>
        </w:rPr>
        <w:t>101.51(e)]</w:t>
      </w:r>
    </w:p>
    <w:p w14:paraId="0F42031B" w14:textId="536852FB" w:rsidR="003719CD" w:rsidRPr="00956D29" w:rsidRDefault="003719CD" w:rsidP="00DC39DE">
      <w:pPr>
        <w:rPr>
          <w:rStyle w:val="Guidance"/>
        </w:rPr>
      </w:pPr>
      <w:r w:rsidRPr="00956D29">
        <w:rPr>
          <w:rStyle w:val="Guidance"/>
        </w:rPr>
        <w:t>The rounding used in the presentation of amounts in this model financial statements must be prominently displayed. Amounts in the financial statements have been rounded to the nearest $1 000, unless otherwise stated. Figures in the financial statements may not equate due to rounding. Refer to Note 9.1</w:t>
      </w:r>
      <w:r w:rsidR="00232495">
        <w:rPr>
          <w:rStyle w:val="Guidance"/>
        </w:rPr>
        <w:t>4</w:t>
      </w:r>
      <w:r w:rsidRPr="00956D29">
        <w:rPr>
          <w:rStyle w:val="Guidance"/>
        </w:rPr>
        <w:t xml:space="preserve"> for a style convention guide and explanation of minor discrepancies resulting from rounding.</w:t>
      </w:r>
    </w:p>
    <w:p w14:paraId="727DE890" w14:textId="77777777" w:rsidR="003719CD" w:rsidRDefault="003719CD" w:rsidP="007D536F">
      <w:pPr>
        <w:pStyle w:val="GuidanceEnd"/>
      </w:pPr>
    </w:p>
    <w:p w14:paraId="0DD06218" w14:textId="77777777" w:rsidR="008D7702" w:rsidRDefault="003719CD" w:rsidP="00DC39DE">
      <w:pPr>
        <w:sectPr w:rsidR="008D7702" w:rsidSect="006E0E99">
          <w:headerReference w:type="even" r:id="rId35"/>
          <w:type w:val="continuous"/>
          <w:pgSz w:w="11906" w:h="16838" w:code="9"/>
          <w:pgMar w:top="1134" w:right="1134" w:bottom="1134" w:left="1134" w:header="624" w:footer="567" w:gutter="0"/>
          <w:cols w:space="708"/>
          <w:titlePg/>
          <w:docGrid w:linePitch="360"/>
        </w:sectPr>
      </w:pPr>
      <w:r>
        <w:t xml:space="preserve"> </w:t>
      </w:r>
    </w:p>
    <w:p w14:paraId="10F8A43F" w14:textId="7CC8D069" w:rsidR="003719CD" w:rsidRPr="003E2FB4" w:rsidRDefault="003719CD" w:rsidP="00BB40F7">
      <w:pPr>
        <w:pStyle w:val="Heading1numbered"/>
        <w:sectPr w:rsidR="003719CD" w:rsidRPr="003E2FB4" w:rsidSect="006E0E99">
          <w:footerReference w:type="first" r:id="rId36"/>
          <w:pgSz w:w="11906" w:h="16838" w:code="9"/>
          <w:pgMar w:top="1134" w:right="1134" w:bottom="1134" w:left="1134" w:header="624" w:footer="567" w:gutter="0"/>
          <w:cols w:space="708"/>
          <w:titlePg/>
          <w:docGrid w:linePitch="360"/>
        </w:sectPr>
      </w:pPr>
      <w:r>
        <w:lastRenderedPageBreak/>
        <w:t>FUNDING DELIVERY OF OUR SERVICES</w:t>
      </w:r>
    </w:p>
    <w:p w14:paraId="2DC1B91D" w14:textId="77777777" w:rsidR="003719CD" w:rsidRDefault="003719CD" w:rsidP="007D536F">
      <w:pPr>
        <w:pStyle w:val="Heading3"/>
      </w:pPr>
      <w:r>
        <w:t>Introduction</w:t>
      </w:r>
    </w:p>
    <w:p w14:paraId="7BE75829" w14:textId="3E087170" w:rsidR="003719CD" w:rsidRDefault="003719CD" w:rsidP="00DC39DE">
      <w:r>
        <w:t xml:space="preserve">The Department of Technology’s (the Department) overall objective is to research, develop, promote and support the use of leading-edge information, biological technology and telecommunications that bring improvements to the efficiency and effectiveness of government operation, and improvements to the quality of life of Victorians. </w:t>
      </w:r>
      <w:r w:rsidRPr="007F307D">
        <w:rPr>
          <w:rStyle w:val="Reference"/>
        </w:rPr>
        <w:t>[FRD 9, AASB 1052.15(b), AASB</w:t>
      </w:r>
      <w:r w:rsidR="008600D8">
        <w:rPr>
          <w:rStyle w:val="Reference"/>
        </w:rPr>
        <w:t> </w:t>
      </w:r>
      <w:r w:rsidRPr="007F307D">
        <w:rPr>
          <w:rStyle w:val="Reference"/>
        </w:rPr>
        <w:t>1050.7]</w:t>
      </w:r>
    </w:p>
    <w:p w14:paraId="752E19CC" w14:textId="10CFBD32" w:rsidR="003719CD" w:rsidRDefault="003719CD" w:rsidP="00DC39DE">
      <w:r>
        <w:t xml:space="preserve">To enable the Department to fulfil its objective and provide outputs as described in Section 4, it receives income (predominantly </w:t>
      </w:r>
      <w:r w:rsidR="00612D9A">
        <w:t xml:space="preserve">from </w:t>
      </w:r>
      <w:r>
        <w:t xml:space="preserve">accrual based parliamentary appropriations). The Department also receives </w:t>
      </w:r>
      <w:r w:rsidRPr="2856114A">
        <w:t>market</w:t>
      </w:r>
      <w:r w:rsidR="00A97E46">
        <w:t>-</w:t>
      </w:r>
      <w:r w:rsidRPr="2856114A">
        <w:t>based</w:t>
      </w:r>
      <w:r>
        <w:t xml:space="preserve"> fees providing advice and other services in relation to information technology and telecommunications.</w:t>
      </w:r>
    </w:p>
    <w:p w14:paraId="04A09F86" w14:textId="270C873F" w:rsidR="003719CD" w:rsidRPr="007F307D" w:rsidRDefault="003719CD" w:rsidP="007D536F">
      <w:pPr>
        <w:pStyle w:val="GuidanceEnd"/>
        <w:rPr>
          <w:b/>
          <w:bCs/>
        </w:rPr>
      </w:pPr>
      <w:r w:rsidRPr="007F307D">
        <w:rPr>
          <w:b/>
          <w:bCs/>
        </w:rPr>
        <w:t>Significant judgement: Grants revenue</w:t>
      </w:r>
    </w:p>
    <w:p w14:paraId="21148743" w14:textId="77777777" w:rsidR="003719CD" w:rsidRPr="00AF446B" w:rsidRDefault="003719CD" w:rsidP="007D536F">
      <w:pPr>
        <w:rPr>
          <w:rStyle w:val="Guidance"/>
        </w:rPr>
      </w:pPr>
      <w:r w:rsidRPr="00AF446B">
        <w:rPr>
          <w:rStyle w:val="Guidance"/>
        </w:rPr>
        <w:t>[Department to include specific information on judgements made in the application of the standard]</w:t>
      </w:r>
    </w:p>
    <w:p w14:paraId="2B95D5EE" w14:textId="77777777" w:rsidR="003719CD" w:rsidRDefault="003719CD" w:rsidP="00DC39DE">
      <w:r>
        <w:t xml:space="preserve">The Department has made the judgement that amounts received in relation to </w:t>
      </w:r>
      <w:r w:rsidRPr="00AF446B">
        <w:rPr>
          <w:rStyle w:val="Guidance"/>
        </w:rPr>
        <w:t>[provide details]</w:t>
      </w:r>
      <w:r>
        <w:t xml:space="preserve"> should be recognised under </w:t>
      </w:r>
      <w:r w:rsidRPr="00AF446B">
        <w:rPr>
          <w:rStyle w:val="Guidance"/>
        </w:rPr>
        <w:t xml:space="preserve">[AASB 1058 / AASB 15] </w:t>
      </w:r>
      <w:r>
        <w:t xml:space="preserve">on the basis that </w:t>
      </w:r>
      <w:r w:rsidRPr="00423699">
        <w:rPr>
          <w:color w:val="0070C0"/>
        </w:rPr>
        <w:t>[include details of reasons why a specific treatment was deemed to be judgemental in nature</w:t>
      </w:r>
      <w:r>
        <w:t>].</w:t>
      </w:r>
    </w:p>
    <w:p w14:paraId="2E3CD4F8" w14:textId="77777777" w:rsidR="003719CD" w:rsidRDefault="003719CD" w:rsidP="007D536F">
      <w:pPr>
        <w:pStyle w:val="GuidanceEnd"/>
      </w:pPr>
    </w:p>
    <w:p w14:paraId="6EC2E8D6" w14:textId="77777777" w:rsidR="003719CD" w:rsidRDefault="003719CD" w:rsidP="007D536F">
      <w:pPr>
        <w:pStyle w:val="Heading3"/>
      </w:pPr>
      <w:r>
        <w:br w:type="column"/>
      </w:r>
      <w:r>
        <w:t>Structure</w:t>
      </w:r>
    </w:p>
    <w:p w14:paraId="3496D753" w14:textId="72099574" w:rsidR="004B496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w:instrText>
      </w:r>
      <w:r w:rsidRPr="00940E38">
        <w:instrText xml:space="preserve">2 \* MERGEFORMAT </w:instrText>
      </w:r>
      <w:r w:rsidRPr="00940E38">
        <w:fldChar w:fldCharType="separate"/>
      </w:r>
      <w:hyperlink w:anchor="_Toc96704851" w:history="1">
        <w:r w:rsidR="004B4963" w:rsidRPr="00D06341">
          <w:rPr>
            <w:rStyle w:val="Hyperlink"/>
            <w:noProof/>
          </w:rPr>
          <w:t>2.1</w:t>
        </w:r>
        <w:r w:rsidR="004B4963">
          <w:rPr>
            <w:noProof/>
            <w:sz w:val="22"/>
          </w:rPr>
          <w:tab/>
        </w:r>
        <w:r w:rsidR="004B4963" w:rsidRPr="00D06341">
          <w:rPr>
            <w:rStyle w:val="Hyperlink"/>
            <w:noProof/>
          </w:rPr>
          <w:t xml:space="preserve">Summary of revenue and income that </w:t>
        </w:r>
        <w:r w:rsidR="00705C8B">
          <w:rPr>
            <w:rStyle w:val="Hyperlink"/>
            <w:noProof/>
          </w:rPr>
          <w:br/>
        </w:r>
        <w:r w:rsidR="004B4963" w:rsidRPr="00D06341">
          <w:rPr>
            <w:rStyle w:val="Hyperlink"/>
            <w:noProof/>
          </w:rPr>
          <w:t>funds the delivery of our services</w:t>
        </w:r>
        <w:r w:rsidR="004B4963">
          <w:rPr>
            <w:noProof/>
            <w:webHidden/>
          </w:rPr>
          <w:tab/>
        </w:r>
        <w:r w:rsidR="004B4963">
          <w:rPr>
            <w:noProof/>
            <w:webHidden/>
          </w:rPr>
          <w:fldChar w:fldCharType="begin"/>
        </w:r>
        <w:r w:rsidR="004B4963">
          <w:rPr>
            <w:noProof/>
            <w:webHidden/>
          </w:rPr>
          <w:instrText xml:space="preserve"> PAGEREF _Toc96704851 \h </w:instrText>
        </w:r>
        <w:r w:rsidR="004B4963">
          <w:rPr>
            <w:noProof/>
            <w:webHidden/>
          </w:rPr>
        </w:r>
        <w:r w:rsidR="004B4963">
          <w:rPr>
            <w:noProof/>
            <w:webHidden/>
          </w:rPr>
          <w:fldChar w:fldCharType="separate"/>
        </w:r>
        <w:r w:rsidR="00D26320">
          <w:rPr>
            <w:noProof/>
            <w:webHidden/>
          </w:rPr>
          <w:t>22</w:t>
        </w:r>
        <w:r w:rsidR="004B4963">
          <w:rPr>
            <w:noProof/>
            <w:webHidden/>
          </w:rPr>
          <w:fldChar w:fldCharType="end"/>
        </w:r>
      </w:hyperlink>
    </w:p>
    <w:p w14:paraId="19CF6BBD" w14:textId="3E732183" w:rsidR="004B4963" w:rsidRDefault="004B4963" w:rsidP="00C70938">
      <w:pPr>
        <w:pStyle w:val="TOC9"/>
        <w:rPr>
          <w:noProof/>
          <w:sz w:val="22"/>
        </w:rPr>
      </w:pPr>
      <w:hyperlink w:anchor="_Toc96704852" w:history="1">
        <w:r w:rsidRPr="00D06341">
          <w:rPr>
            <w:rStyle w:val="Hyperlink"/>
            <w:noProof/>
          </w:rPr>
          <w:t>2.2</w:t>
        </w:r>
        <w:r>
          <w:rPr>
            <w:noProof/>
            <w:sz w:val="22"/>
          </w:rPr>
          <w:tab/>
        </w:r>
        <w:r w:rsidRPr="00D06341">
          <w:rPr>
            <w:rStyle w:val="Hyperlink"/>
            <w:noProof/>
          </w:rPr>
          <w:t>Appropriations</w:t>
        </w:r>
        <w:r>
          <w:rPr>
            <w:noProof/>
            <w:webHidden/>
          </w:rPr>
          <w:tab/>
        </w:r>
        <w:r>
          <w:rPr>
            <w:noProof/>
            <w:webHidden/>
          </w:rPr>
          <w:fldChar w:fldCharType="begin"/>
        </w:r>
        <w:r>
          <w:rPr>
            <w:noProof/>
            <w:webHidden/>
          </w:rPr>
          <w:instrText xml:space="preserve"> PAGEREF _Toc96704852 \h </w:instrText>
        </w:r>
        <w:r>
          <w:rPr>
            <w:noProof/>
            <w:webHidden/>
          </w:rPr>
        </w:r>
        <w:r>
          <w:rPr>
            <w:noProof/>
            <w:webHidden/>
          </w:rPr>
          <w:fldChar w:fldCharType="separate"/>
        </w:r>
        <w:r w:rsidR="00D26320">
          <w:rPr>
            <w:noProof/>
            <w:webHidden/>
          </w:rPr>
          <w:t>23</w:t>
        </w:r>
        <w:r>
          <w:rPr>
            <w:noProof/>
            <w:webHidden/>
          </w:rPr>
          <w:fldChar w:fldCharType="end"/>
        </w:r>
      </w:hyperlink>
    </w:p>
    <w:p w14:paraId="4564EA4E" w14:textId="6BEB884A" w:rsidR="004B4963" w:rsidRDefault="004B4963" w:rsidP="00C70938">
      <w:pPr>
        <w:pStyle w:val="TOC9"/>
        <w:rPr>
          <w:noProof/>
          <w:sz w:val="22"/>
        </w:rPr>
      </w:pPr>
      <w:hyperlink w:anchor="_Toc96704853" w:history="1">
        <w:r w:rsidRPr="00D06341">
          <w:rPr>
            <w:rStyle w:val="Hyperlink"/>
            <w:noProof/>
          </w:rPr>
          <w:t>2.3</w:t>
        </w:r>
        <w:r>
          <w:rPr>
            <w:noProof/>
            <w:sz w:val="22"/>
          </w:rPr>
          <w:tab/>
        </w:r>
        <w:r w:rsidRPr="00D06341">
          <w:rPr>
            <w:rStyle w:val="Hyperlink"/>
            <w:noProof/>
          </w:rPr>
          <w:t>Summary of compliance with annual Parliamentary and special appropriations</w:t>
        </w:r>
        <w:r>
          <w:rPr>
            <w:noProof/>
            <w:webHidden/>
          </w:rPr>
          <w:tab/>
        </w:r>
        <w:r>
          <w:rPr>
            <w:noProof/>
            <w:webHidden/>
          </w:rPr>
          <w:fldChar w:fldCharType="begin"/>
        </w:r>
        <w:r>
          <w:rPr>
            <w:noProof/>
            <w:webHidden/>
          </w:rPr>
          <w:instrText xml:space="preserve"> PAGEREF _Toc96704853 \h </w:instrText>
        </w:r>
        <w:r>
          <w:rPr>
            <w:noProof/>
            <w:webHidden/>
          </w:rPr>
        </w:r>
        <w:r>
          <w:rPr>
            <w:noProof/>
            <w:webHidden/>
          </w:rPr>
          <w:fldChar w:fldCharType="separate"/>
        </w:r>
        <w:r w:rsidR="00D26320">
          <w:rPr>
            <w:noProof/>
            <w:webHidden/>
          </w:rPr>
          <w:t>24</w:t>
        </w:r>
        <w:r>
          <w:rPr>
            <w:noProof/>
            <w:webHidden/>
          </w:rPr>
          <w:fldChar w:fldCharType="end"/>
        </w:r>
      </w:hyperlink>
    </w:p>
    <w:p w14:paraId="4B7D9876" w14:textId="1C488F7C" w:rsidR="004B4963" w:rsidRDefault="004B4963" w:rsidP="00C70938">
      <w:pPr>
        <w:pStyle w:val="TOC9"/>
        <w:rPr>
          <w:noProof/>
          <w:sz w:val="22"/>
        </w:rPr>
      </w:pPr>
      <w:hyperlink w:anchor="_Toc96704854" w:history="1">
        <w:r w:rsidRPr="00D06341">
          <w:rPr>
            <w:rStyle w:val="Hyperlink"/>
            <w:noProof/>
          </w:rPr>
          <w:t>2.4</w:t>
        </w:r>
        <w:r>
          <w:rPr>
            <w:noProof/>
            <w:sz w:val="22"/>
          </w:rPr>
          <w:tab/>
        </w:r>
        <w:r w:rsidRPr="00D06341">
          <w:rPr>
            <w:rStyle w:val="Hyperlink"/>
            <w:noProof/>
          </w:rPr>
          <w:t>Income from transactions</w:t>
        </w:r>
        <w:r>
          <w:rPr>
            <w:noProof/>
            <w:webHidden/>
          </w:rPr>
          <w:tab/>
        </w:r>
        <w:r>
          <w:rPr>
            <w:noProof/>
            <w:webHidden/>
          </w:rPr>
          <w:fldChar w:fldCharType="begin"/>
        </w:r>
        <w:r>
          <w:rPr>
            <w:noProof/>
            <w:webHidden/>
          </w:rPr>
          <w:instrText xml:space="preserve"> PAGEREF _Toc96704854 \h </w:instrText>
        </w:r>
        <w:r>
          <w:rPr>
            <w:noProof/>
            <w:webHidden/>
          </w:rPr>
        </w:r>
        <w:r>
          <w:rPr>
            <w:noProof/>
            <w:webHidden/>
          </w:rPr>
          <w:fldChar w:fldCharType="separate"/>
        </w:r>
        <w:r w:rsidR="00D26320">
          <w:rPr>
            <w:noProof/>
            <w:webHidden/>
          </w:rPr>
          <w:t>26</w:t>
        </w:r>
        <w:r>
          <w:rPr>
            <w:noProof/>
            <w:webHidden/>
          </w:rPr>
          <w:fldChar w:fldCharType="end"/>
        </w:r>
      </w:hyperlink>
    </w:p>
    <w:p w14:paraId="2C4ED6D0" w14:textId="141D99CF" w:rsidR="004B4963" w:rsidRDefault="004B4963" w:rsidP="00C70938">
      <w:pPr>
        <w:pStyle w:val="TOC9"/>
        <w:rPr>
          <w:noProof/>
          <w:sz w:val="22"/>
        </w:rPr>
      </w:pPr>
      <w:hyperlink w:anchor="_Toc96704855" w:history="1">
        <w:r w:rsidRPr="00D06341">
          <w:rPr>
            <w:rStyle w:val="Hyperlink"/>
            <w:noProof/>
          </w:rPr>
          <w:t>2.5</w:t>
        </w:r>
        <w:r>
          <w:rPr>
            <w:noProof/>
            <w:sz w:val="22"/>
          </w:rPr>
          <w:tab/>
        </w:r>
        <w:r w:rsidRPr="00D06341">
          <w:rPr>
            <w:rStyle w:val="Hyperlink"/>
            <w:noProof/>
          </w:rPr>
          <w:t>Annotated income agreements</w:t>
        </w:r>
        <w:r>
          <w:rPr>
            <w:noProof/>
            <w:webHidden/>
          </w:rPr>
          <w:tab/>
        </w:r>
        <w:r>
          <w:rPr>
            <w:noProof/>
            <w:webHidden/>
          </w:rPr>
          <w:fldChar w:fldCharType="begin"/>
        </w:r>
        <w:r>
          <w:rPr>
            <w:noProof/>
            <w:webHidden/>
          </w:rPr>
          <w:instrText xml:space="preserve"> PAGEREF _Toc96704855 \h </w:instrText>
        </w:r>
        <w:r>
          <w:rPr>
            <w:noProof/>
            <w:webHidden/>
          </w:rPr>
        </w:r>
        <w:r>
          <w:rPr>
            <w:noProof/>
            <w:webHidden/>
          </w:rPr>
          <w:fldChar w:fldCharType="separate"/>
        </w:r>
        <w:r w:rsidR="00D26320">
          <w:rPr>
            <w:noProof/>
            <w:webHidden/>
          </w:rPr>
          <w:t>32</w:t>
        </w:r>
        <w:r>
          <w:rPr>
            <w:noProof/>
            <w:webHidden/>
          </w:rPr>
          <w:fldChar w:fldCharType="end"/>
        </w:r>
      </w:hyperlink>
    </w:p>
    <w:p w14:paraId="067955DC" w14:textId="6793AB46" w:rsidR="003719CD" w:rsidRPr="003E2FB4" w:rsidRDefault="003719CD" w:rsidP="007D536F">
      <w:r w:rsidRPr="00940E38">
        <w:fldChar w:fldCharType="end"/>
      </w:r>
    </w:p>
    <w:p w14:paraId="77DF84D4" w14:textId="77777777" w:rsidR="003719CD" w:rsidRPr="003E2FB4" w:rsidRDefault="003719CD" w:rsidP="007D536F">
      <w:pPr>
        <w:sectPr w:rsidR="003719CD" w:rsidRPr="003E2FB4" w:rsidSect="006E0E99">
          <w:type w:val="continuous"/>
          <w:pgSz w:w="11906" w:h="16838" w:code="9"/>
          <w:pgMar w:top="1134" w:right="1134" w:bottom="1134" w:left="1134" w:header="624" w:footer="567" w:gutter="0"/>
          <w:cols w:num="2" w:space="708"/>
          <w:titlePg/>
          <w:docGrid w:linePitch="360"/>
        </w:sectPr>
      </w:pPr>
    </w:p>
    <w:p w14:paraId="0633E4FD" w14:textId="77777777" w:rsidR="003719CD" w:rsidRDefault="003719CD" w:rsidP="00AD7DA5">
      <w:pPr>
        <w:pStyle w:val="Heading2numbered"/>
      </w:pPr>
      <w:bookmarkStart w:id="10" w:name="_Toc96704851"/>
      <w:bookmarkStart w:id="11" w:name="_Toc130225926"/>
      <w:bookmarkStart w:id="12" w:name="_Toc64983249"/>
      <w:bookmarkStart w:id="13" w:name="Section_2"/>
      <w:r>
        <w:t>Summary of revenue and income that funds the delivery of our services</w:t>
      </w:r>
      <w:bookmarkEnd w:id="10"/>
      <w:bookmarkEnd w:id="11"/>
      <w:bookmarkEnd w:id="12"/>
    </w:p>
    <w:p w14:paraId="0FE46999" w14:textId="77777777" w:rsidR="003719CD" w:rsidRPr="007F307D" w:rsidRDefault="003719CD" w:rsidP="007D536F">
      <w:pPr>
        <w:pStyle w:val="TableUnits"/>
      </w:pPr>
      <w:r>
        <w:tab/>
      </w:r>
      <w:r>
        <w:tab/>
      </w:r>
      <w:r w:rsidRPr="007F307D">
        <w:t>($ thousand)</w:t>
      </w:r>
    </w:p>
    <w:tbl>
      <w:tblPr>
        <w:tblStyle w:val="DTFTable"/>
        <w:tblW w:w="9639" w:type="dxa"/>
        <w:tblLayout w:type="fixed"/>
        <w:tblLook w:val="0620" w:firstRow="1" w:lastRow="0" w:firstColumn="0" w:lastColumn="0" w:noHBand="1" w:noVBand="1"/>
      </w:tblPr>
      <w:tblGrid>
        <w:gridCol w:w="1349"/>
        <w:gridCol w:w="5739"/>
        <w:gridCol w:w="821"/>
        <w:gridCol w:w="865"/>
        <w:gridCol w:w="865"/>
      </w:tblGrid>
      <w:tr w:rsidR="00E20A3B" w14:paraId="4FA1D69D" w14:textId="77777777" w:rsidTr="00E71E36">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74947F9E" w14:textId="77777777" w:rsidR="00E20A3B" w:rsidRDefault="00E20A3B" w:rsidP="00E20A3B">
            <w:pPr>
              <w:keepNext/>
              <w:jc w:val="left"/>
            </w:pPr>
            <w:r>
              <w:rPr>
                <w:color w:val="4472C4"/>
                <w:sz w:val="13"/>
              </w:rPr>
              <w:t>Source reference</w:t>
            </w:r>
          </w:p>
        </w:tc>
        <w:tc>
          <w:tcPr>
            <w:tcW w:w="5739" w:type="dxa"/>
          </w:tcPr>
          <w:p w14:paraId="7FF0CF66" w14:textId="77777777" w:rsidR="00E20A3B" w:rsidRDefault="00E20A3B" w:rsidP="00E20A3B">
            <w:pPr>
              <w:keepNext/>
              <w:jc w:val="left"/>
            </w:pPr>
          </w:p>
        </w:tc>
        <w:tc>
          <w:tcPr>
            <w:tcW w:w="821" w:type="dxa"/>
          </w:tcPr>
          <w:p w14:paraId="545177C3" w14:textId="77777777" w:rsidR="00E20A3B" w:rsidRDefault="00E20A3B" w:rsidP="00E20A3B">
            <w:pPr>
              <w:keepNext/>
              <w:jc w:val="center"/>
            </w:pPr>
            <w:r>
              <w:t>Notes</w:t>
            </w:r>
          </w:p>
        </w:tc>
        <w:tc>
          <w:tcPr>
            <w:tcW w:w="865" w:type="dxa"/>
          </w:tcPr>
          <w:p w14:paraId="546C497B" w14:textId="35F42AB1" w:rsidR="00E20A3B" w:rsidRPr="00E20A3B" w:rsidRDefault="00E20A3B" w:rsidP="00E20A3B">
            <w:pPr>
              <w:keepNext/>
              <w:rPr>
                <w:iCs/>
              </w:rPr>
            </w:pPr>
            <w:r w:rsidRPr="00E20A3B">
              <w:rPr>
                <w:iCs/>
              </w:rPr>
              <w:fldChar w:fldCharType="begin"/>
            </w:r>
            <w:r w:rsidRPr="00E20A3B">
              <w:rPr>
                <w:bCs w:val="0"/>
                <w:iCs/>
              </w:rPr>
              <w:instrText>DOCPROPERTY  YearCurrent \* MERGEFORMAT</w:instrText>
            </w:r>
            <w:r w:rsidRPr="00E20A3B">
              <w:rPr>
                <w:iCs/>
              </w:rPr>
              <w:fldChar w:fldCharType="separate"/>
            </w:r>
            <w:r w:rsidRPr="00E20A3B">
              <w:rPr>
                <w:bCs w:val="0"/>
                <w:iCs/>
              </w:rPr>
              <w:t>20X2</w:t>
            </w:r>
            <w:r w:rsidRPr="00E20A3B">
              <w:rPr>
                <w:iCs/>
              </w:rPr>
              <w:fldChar w:fldCharType="end"/>
            </w:r>
          </w:p>
        </w:tc>
        <w:tc>
          <w:tcPr>
            <w:tcW w:w="865" w:type="dxa"/>
          </w:tcPr>
          <w:p w14:paraId="594BE520" w14:textId="45293E54" w:rsidR="00E20A3B" w:rsidRPr="00E20A3B" w:rsidRDefault="00E20A3B" w:rsidP="00E20A3B">
            <w:pPr>
              <w:keepNext/>
              <w:rPr>
                <w:iCs/>
              </w:rPr>
            </w:pPr>
            <w:r w:rsidRPr="00E20A3B">
              <w:rPr>
                <w:iCs/>
              </w:rPr>
              <w:fldChar w:fldCharType="begin"/>
            </w:r>
            <w:r w:rsidRPr="00E20A3B">
              <w:rPr>
                <w:bCs w:val="0"/>
                <w:iCs/>
              </w:rPr>
              <w:instrText>DOCPROPERTY  YearPrevious \* MERGEFORMAT</w:instrText>
            </w:r>
            <w:r w:rsidRPr="00E20A3B">
              <w:rPr>
                <w:iCs/>
              </w:rPr>
              <w:fldChar w:fldCharType="separate"/>
            </w:r>
            <w:r w:rsidRPr="00E20A3B">
              <w:rPr>
                <w:bCs w:val="0"/>
                <w:iCs/>
              </w:rPr>
              <w:t>20X1</w:t>
            </w:r>
            <w:r w:rsidRPr="00E20A3B">
              <w:rPr>
                <w:iCs/>
              </w:rPr>
              <w:fldChar w:fldCharType="end"/>
            </w:r>
          </w:p>
        </w:tc>
      </w:tr>
      <w:tr w:rsidR="00182709" w14:paraId="26DE2A2E" w14:textId="77777777" w:rsidTr="00E71E36">
        <w:tc>
          <w:tcPr>
            <w:tcW w:w="1349" w:type="dxa"/>
          </w:tcPr>
          <w:p w14:paraId="0EB324A6" w14:textId="77777777" w:rsidR="00182709" w:rsidRDefault="00182709">
            <w:pPr>
              <w:jc w:val="left"/>
            </w:pPr>
          </w:p>
        </w:tc>
        <w:tc>
          <w:tcPr>
            <w:tcW w:w="5739" w:type="dxa"/>
          </w:tcPr>
          <w:p w14:paraId="09919F18" w14:textId="77777777" w:rsidR="00182709" w:rsidRDefault="0044097C">
            <w:pPr>
              <w:jc w:val="left"/>
            </w:pPr>
            <w:r>
              <w:t>Output appropriations</w:t>
            </w:r>
          </w:p>
        </w:tc>
        <w:tc>
          <w:tcPr>
            <w:tcW w:w="821" w:type="dxa"/>
          </w:tcPr>
          <w:p w14:paraId="32910455" w14:textId="77777777" w:rsidR="00182709" w:rsidRDefault="0044097C">
            <w:pPr>
              <w:jc w:val="center"/>
            </w:pPr>
            <w:r>
              <w:t>2.2 &amp; 2.3</w:t>
            </w:r>
          </w:p>
        </w:tc>
        <w:tc>
          <w:tcPr>
            <w:tcW w:w="865" w:type="dxa"/>
          </w:tcPr>
          <w:p w14:paraId="005FF598" w14:textId="77777777" w:rsidR="00182709" w:rsidRDefault="0044097C">
            <w:r>
              <w:t>85 535</w:t>
            </w:r>
          </w:p>
        </w:tc>
        <w:tc>
          <w:tcPr>
            <w:tcW w:w="865" w:type="dxa"/>
          </w:tcPr>
          <w:p w14:paraId="7C5D6AFB" w14:textId="77777777" w:rsidR="00182709" w:rsidRDefault="0044097C">
            <w:r>
              <w:t>63 682</w:t>
            </w:r>
          </w:p>
        </w:tc>
      </w:tr>
      <w:tr w:rsidR="00182709" w14:paraId="74381018" w14:textId="77777777" w:rsidTr="00E71E36">
        <w:tc>
          <w:tcPr>
            <w:tcW w:w="1349" w:type="dxa"/>
          </w:tcPr>
          <w:p w14:paraId="3404E67A" w14:textId="77777777" w:rsidR="00182709" w:rsidRDefault="00182709">
            <w:pPr>
              <w:jc w:val="left"/>
            </w:pPr>
          </w:p>
        </w:tc>
        <w:tc>
          <w:tcPr>
            <w:tcW w:w="5739" w:type="dxa"/>
          </w:tcPr>
          <w:p w14:paraId="3B0A9FE7" w14:textId="77777777" w:rsidR="00182709" w:rsidRDefault="0044097C">
            <w:pPr>
              <w:jc w:val="left"/>
            </w:pPr>
            <w:r>
              <w:t>Special appropriations</w:t>
            </w:r>
          </w:p>
        </w:tc>
        <w:tc>
          <w:tcPr>
            <w:tcW w:w="821" w:type="dxa"/>
          </w:tcPr>
          <w:p w14:paraId="21A522A2" w14:textId="77777777" w:rsidR="00182709" w:rsidRDefault="0044097C">
            <w:pPr>
              <w:jc w:val="center"/>
            </w:pPr>
            <w:r>
              <w:t>2.2 &amp; 2.3</w:t>
            </w:r>
          </w:p>
        </w:tc>
        <w:tc>
          <w:tcPr>
            <w:tcW w:w="865" w:type="dxa"/>
          </w:tcPr>
          <w:p w14:paraId="572E5FCA" w14:textId="77777777" w:rsidR="00182709" w:rsidRDefault="0044097C">
            <w:r>
              <w:t>8 128</w:t>
            </w:r>
          </w:p>
        </w:tc>
        <w:tc>
          <w:tcPr>
            <w:tcW w:w="865" w:type="dxa"/>
          </w:tcPr>
          <w:p w14:paraId="291DB867" w14:textId="77777777" w:rsidR="00182709" w:rsidRDefault="0044097C">
            <w:r>
              <w:t>11 396</w:t>
            </w:r>
          </w:p>
        </w:tc>
      </w:tr>
      <w:tr w:rsidR="00182709" w14:paraId="6CAEDBB0" w14:textId="77777777" w:rsidTr="00E71E36">
        <w:tc>
          <w:tcPr>
            <w:tcW w:w="1349" w:type="dxa"/>
          </w:tcPr>
          <w:p w14:paraId="25CE7044" w14:textId="77777777" w:rsidR="00182709" w:rsidRDefault="00182709">
            <w:pPr>
              <w:jc w:val="left"/>
            </w:pPr>
          </w:p>
        </w:tc>
        <w:tc>
          <w:tcPr>
            <w:tcW w:w="5739" w:type="dxa"/>
          </w:tcPr>
          <w:p w14:paraId="7BB5AACE" w14:textId="77777777" w:rsidR="00182709" w:rsidRDefault="0044097C">
            <w:pPr>
              <w:jc w:val="left"/>
            </w:pPr>
            <w:r>
              <w:t>Interest income</w:t>
            </w:r>
          </w:p>
        </w:tc>
        <w:tc>
          <w:tcPr>
            <w:tcW w:w="821" w:type="dxa"/>
          </w:tcPr>
          <w:p w14:paraId="03669355" w14:textId="77777777" w:rsidR="00182709" w:rsidRDefault="0044097C">
            <w:pPr>
              <w:jc w:val="center"/>
            </w:pPr>
            <w:r>
              <w:t>2.4.1</w:t>
            </w:r>
          </w:p>
        </w:tc>
        <w:tc>
          <w:tcPr>
            <w:tcW w:w="865" w:type="dxa"/>
          </w:tcPr>
          <w:p w14:paraId="112EC5F9" w14:textId="77777777" w:rsidR="00182709" w:rsidRDefault="0044097C">
            <w:r>
              <w:t>3 864</w:t>
            </w:r>
          </w:p>
        </w:tc>
        <w:tc>
          <w:tcPr>
            <w:tcW w:w="865" w:type="dxa"/>
          </w:tcPr>
          <w:p w14:paraId="4A6DADBC" w14:textId="77777777" w:rsidR="00182709" w:rsidRDefault="0044097C">
            <w:r>
              <w:t>2 897</w:t>
            </w:r>
          </w:p>
        </w:tc>
      </w:tr>
      <w:tr w:rsidR="00182709" w14:paraId="11A7BB90" w14:textId="77777777" w:rsidTr="00E71E36">
        <w:tc>
          <w:tcPr>
            <w:tcW w:w="1349" w:type="dxa"/>
          </w:tcPr>
          <w:p w14:paraId="0B2ED957" w14:textId="77777777" w:rsidR="00182709" w:rsidRDefault="00182709">
            <w:pPr>
              <w:jc w:val="left"/>
            </w:pPr>
          </w:p>
        </w:tc>
        <w:tc>
          <w:tcPr>
            <w:tcW w:w="5739" w:type="dxa"/>
          </w:tcPr>
          <w:p w14:paraId="1F548F63" w14:textId="77777777" w:rsidR="00182709" w:rsidRDefault="0044097C">
            <w:pPr>
              <w:jc w:val="left"/>
            </w:pPr>
            <w:r>
              <w:t>Sale of goods and services</w:t>
            </w:r>
          </w:p>
        </w:tc>
        <w:tc>
          <w:tcPr>
            <w:tcW w:w="821" w:type="dxa"/>
          </w:tcPr>
          <w:p w14:paraId="0A0D85F6" w14:textId="77777777" w:rsidR="00182709" w:rsidRDefault="0044097C">
            <w:pPr>
              <w:jc w:val="center"/>
            </w:pPr>
            <w:r>
              <w:t>2.4.2</w:t>
            </w:r>
          </w:p>
        </w:tc>
        <w:tc>
          <w:tcPr>
            <w:tcW w:w="865" w:type="dxa"/>
          </w:tcPr>
          <w:p w14:paraId="43D8DC4C" w14:textId="77777777" w:rsidR="00182709" w:rsidRDefault="0044097C">
            <w:r>
              <w:t>1 779</w:t>
            </w:r>
          </w:p>
        </w:tc>
        <w:tc>
          <w:tcPr>
            <w:tcW w:w="865" w:type="dxa"/>
          </w:tcPr>
          <w:p w14:paraId="718836B5" w14:textId="77777777" w:rsidR="00182709" w:rsidRDefault="0044097C">
            <w:r>
              <w:t>1 346</w:t>
            </w:r>
          </w:p>
        </w:tc>
      </w:tr>
      <w:tr w:rsidR="00182709" w14:paraId="083B838B" w14:textId="77777777" w:rsidTr="00E71E36">
        <w:tc>
          <w:tcPr>
            <w:tcW w:w="1349" w:type="dxa"/>
          </w:tcPr>
          <w:p w14:paraId="6AD335E3" w14:textId="77777777" w:rsidR="00182709" w:rsidRDefault="00182709">
            <w:pPr>
              <w:jc w:val="left"/>
            </w:pPr>
          </w:p>
        </w:tc>
        <w:tc>
          <w:tcPr>
            <w:tcW w:w="5739" w:type="dxa"/>
          </w:tcPr>
          <w:p w14:paraId="43C7369B" w14:textId="77777777" w:rsidR="00182709" w:rsidRDefault="0044097C">
            <w:pPr>
              <w:jc w:val="left"/>
            </w:pPr>
            <w:r>
              <w:t>Grants</w:t>
            </w:r>
          </w:p>
        </w:tc>
        <w:tc>
          <w:tcPr>
            <w:tcW w:w="821" w:type="dxa"/>
          </w:tcPr>
          <w:p w14:paraId="4C86BCF0" w14:textId="77777777" w:rsidR="00182709" w:rsidRDefault="0044097C">
            <w:pPr>
              <w:jc w:val="center"/>
            </w:pPr>
            <w:r>
              <w:t>2.4.3</w:t>
            </w:r>
          </w:p>
        </w:tc>
        <w:tc>
          <w:tcPr>
            <w:tcW w:w="865" w:type="dxa"/>
          </w:tcPr>
          <w:p w14:paraId="680B1ADA" w14:textId="77777777" w:rsidR="00182709" w:rsidRDefault="0044097C">
            <w:r>
              <w:t>288</w:t>
            </w:r>
          </w:p>
        </w:tc>
        <w:tc>
          <w:tcPr>
            <w:tcW w:w="865" w:type="dxa"/>
          </w:tcPr>
          <w:p w14:paraId="0D120AF8" w14:textId="77777777" w:rsidR="00182709" w:rsidRDefault="0044097C">
            <w:r>
              <w:t>255</w:t>
            </w:r>
          </w:p>
        </w:tc>
      </w:tr>
      <w:tr w:rsidR="00182709" w14:paraId="72078618" w14:textId="77777777" w:rsidTr="00E71E36">
        <w:tc>
          <w:tcPr>
            <w:tcW w:w="1349" w:type="dxa"/>
          </w:tcPr>
          <w:p w14:paraId="6E322EDB" w14:textId="77777777" w:rsidR="00182709" w:rsidRDefault="00182709">
            <w:pPr>
              <w:jc w:val="left"/>
            </w:pPr>
          </w:p>
        </w:tc>
        <w:tc>
          <w:tcPr>
            <w:tcW w:w="5739" w:type="dxa"/>
          </w:tcPr>
          <w:p w14:paraId="163C6CB7" w14:textId="77777777" w:rsidR="00182709" w:rsidRDefault="0044097C">
            <w:pPr>
              <w:jc w:val="left"/>
            </w:pPr>
            <w:r>
              <w:t>Fair value of assets and services received free of charge or for nominal consideration</w:t>
            </w:r>
          </w:p>
        </w:tc>
        <w:tc>
          <w:tcPr>
            <w:tcW w:w="821" w:type="dxa"/>
          </w:tcPr>
          <w:p w14:paraId="2723645A" w14:textId="77777777" w:rsidR="00182709" w:rsidRDefault="0044097C">
            <w:pPr>
              <w:jc w:val="center"/>
            </w:pPr>
            <w:r>
              <w:t>2.4.4</w:t>
            </w:r>
          </w:p>
        </w:tc>
        <w:tc>
          <w:tcPr>
            <w:tcW w:w="865" w:type="dxa"/>
          </w:tcPr>
          <w:p w14:paraId="13CD8932" w14:textId="77777777" w:rsidR="00182709" w:rsidRDefault="0044097C">
            <w:r>
              <w:t>1 589</w:t>
            </w:r>
          </w:p>
        </w:tc>
        <w:tc>
          <w:tcPr>
            <w:tcW w:w="865" w:type="dxa"/>
          </w:tcPr>
          <w:p w14:paraId="4F14F4FE" w14:textId="77777777" w:rsidR="00182709" w:rsidRDefault="0044097C">
            <w:r>
              <w:t>1 708</w:t>
            </w:r>
          </w:p>
        </w:tc>
      </w:tr>
      <w:tr w:rsidR="00182709" w14:paraId="5499D3DA" w14:textId="77777777" w:rsidTr="00E71E36">
        <w:tc>
          <w:tcPr>
            <w:tcW w:w="1349" w:type="dxa"/>
          </w:tcPr>
          <w:p w14:paraId="25B02E0C" w14:textId="77777777" w:rsidR="00182709" w:rsidRDefault="00182709">
            <w:pPr>
              <w:jc w:val="left"/>
            </w:pPr>
          </w:p>
        </w:tc>
        <w:tc>
          <w:tcPr>
            <w:tcW w:w="5739" w:type="dxa"/>
            <w:tcBorders>
              <w:bottom w:val="single" w:sz="12" w:space="0" w:color="auto"/>
            </w:tcBorders>
          </w:tcPr>
          <w:p w14:paraId="72E3486A" w14:textId="77777777" w:rsidR="00182709" w:rsidRDefault="0044097C">
            <w:pPr>
              <w:jc w:val="left"/>
            </w:pPr>
            <w:r>
              <w:t>Other income</w:t>
            </w:r>
          </w:p>
        </w:tc>
        <w:tc>
          <w:tcPr>
            <w:tcW w:w="821" w:type="dxa"/>
            <w:tcBorders>
              <w:bottom w:val="single" w:sz="12" w:space="0" w:color="auto"/>
            </w:tcBorders>
          </w:tcPr>
          <w:p w14:paraId="145E0458" w14:textId="77777777" w:rsidR="00182709" w:rsidRDefault="0044097C">
            <w:pPr>
              <w:jc w:val="center"/>
            </w:pPr>
            <w:r>
              <w:t>2.4.5</w:t>
            </w:r>
          </w:p>
        </w:tc>
        <w:tc>
          <w:tcPr>
            <w:tcW w:w="865" w:type="dxa"/>
            <w:tcBorders>
              <w:bottom w:val="single" w:sz="12" w:space="0" w:color="auto"/>
            </w:tcBorders>
          </w:tcPr>
          <w:p w14:paraId="75D964EE" w14:textId="77777777" w:rsidR="00182709" w:rsidRDefault="0044097C">
            <w:r>
              <w:t>7 213</w:t>
            </w:r>
          </w:p>
        </w:tc>
        <w:tc>
          <w:tcPr>
            <w:tcW w:w="865" w:type="dxa"/>
            <w:tcBorders>
              <w:bottom w:val="single" w:sz="12" w:space="0" w:color="auto"/>
            </w:tcBorders>
          </w:tcPr>
          <w:p w14:paraId="3001EACF" w14:textId="77777777" w:rsidR="00182709" w:rsidRDefault="0044097C">
            <w:r>
              <w:t>5 826</w:t>
            </w:r>
          </w:p>
        </w:tc>
      </w:tr>
      <w:tr w:rsidR="00671D55" w14:paraId="4AE9AA1E" w14:textId="77777777" w:rsidTr="00E71E36">
        <w:tc>
          <w:tcPr>
            <w:tcW w:w="1349" w:type="dxa"/>
            <w:tcBorders>
              <w:bottom w:val="nil"/>
            </w:tcBorders>
          </w:tcPr>
          <w:p w14:paraId="2C612511" w14:textId="77777777" w:rsidR="00182709" w:rsidRDefault="0044097C">
            <w:pPr>
              <w:jc w:val="left"/>
            </w:pPr>
            <w:r>
              <w:rPr>
                <w:color w:val="4472C4"/>
                <w:sz w:val="13"/>
              </w:rPr>
              <w:t>AASB 101.97</w:t>
            </w:r>
          </w:p>
        </w:tc>
        <w:tc>
          <w:tcPr>
            <w:tcW w:w="5739" w:type="dxa"/>
          </w:tcPr>
          <w:p w14:paraId="25D7D2F8" w14:textId="77777777" w:rsidR="00182709" w:rsidRDefault="0044097C">
            <w:pPr>
              <w:jc w:val="left"/>
            </w:pPr>
            <w:r>
              <w:rPr>
                <w:b/>
              </w:rPr>
              <w:t>Total revenue and income from transactions</w:t>
            </w:r>
          </w:p>
        </w:tc>
        <w:tc>
          <w:tcPr>
            <w:tcW w:w="821" w:type="dxa"/>
          </w:tcPr>
          <w:p w14:paraId="63C54D1B" w14:textId="77777777" w:rsidR="00182709" w:rsidRDefault="00182709">
            <w:pPr>
              <w:jc w:val="center"/>
            </w:pPr>
          </w:p>
        </w:tc>
        <w:tc>
          <w:tcPr>
            <w:tcW w:w="865" w:type="dxa"/>
          </w:tcPr>
          <w:p w14:paraId="232BFCEC" w14:textId="77777777" w:rsidR="00182709" w:rsidRDefault="0044097C">
            <w:r>
              <w:rPr>
                <w:b/>
              </w:rPr>
              <w:t>108 396</w:t>
            </w:r>
          </w:p>
        </w:tc>
        <w:tc>
          <w:tcPr>
            <w:tcW w:w="865" w:type="dxa"/>
          </w:tcPr>
          <w:p w14:paraId="6992A3BA" w14:textId="77777777" w:rsidR="00182709" w:rsidRDefault="0044097C">
            <w:r>
              <w:rPr>
                <w:b/>
              </w:rPr>
              <w:t>87 110</w:t>
            </w:r>
          </w:p>
        </w:tc>
      </w:tr>
    </w:tbl>
    <w:p w14:paraId="4BD4F05A" w14:textId="77777777" w:rsidR="003719CD" w:rsidRDefault="003719CD" w:rsidP="007D536F">
      <w:r>
        <w:t xml:space="preserve">Revenue and income that fund delivery of the Department’s services are accounted for consistently with the requirements of the relevant accounting standards disclosed in the following notes. </w:t>
      </w:r>
    </w:p>
    <w:p w14:paraId="3814D463" w14:textId="77777777" w:rsidR="006F25E9" w:rsidRDefault="006F25E9">
      <w:pPr>
        <w:keepLines w:val="0"/>
        <w:rPr>
          <w:rFonts w:asciiTheme="majorHAnsi" w:eastAsiaTheme="majorEastAsia" w:hAnsiTheme="majorHAnsi" w:cstheme="majorBidi"/>
          <w:b/>
          <w:sz w:val="26"/>
          <w:szCs w:val="26"/>
        </w:rPr>
      </w:pPr>
      <w:bookmarkStart w:id="14" w:name="INDEX_ParApprop"/>
      <w:bookmarkStart w:id="15" w:name="_Toc64983250"/>
      <w:bookmarkEnd w:id="14"/>
      <w:r>
        <w:br w:type="page"/>
      </w:r>
    </w:p>
    <w:p w14:paraId="43158EC7" w14:textId="0F4729A2" w:rsidR="003719CD" w:rsidRDefault="003719CD" w:rsidP="00BB40F7">
      <w:pPr>
        <w:pStyle w:val="Heading2numbered"/>
      </w:pPr>
      <w:bookmarkStart w:id="16" w:name="_Toc96704852"/>
      <w:bookmarkStart w:id="17" w:name="_Toc130225927"/>
      <w:r>
        <w:lastRenderedPageBreak/>
        <w:t>Appropriations</w:t>
      </w:r>
      <w:bookmarkEnd w:id="15"/>
      <w:bookmarkEnd w:id="16"/>
      <w:bookmarkEnd w:id="17"/>
    </w:p>
    <w:p w14:paraId="2D133938" w14:textId="77777777" w:rsidR="003719CD" w:rsidRDefault="003719CD" w:rsidP="007D536F">
      <w:pPr>
        <w:keepNext/>
      </w:pPr>
      <w:r>
        <w:t xml:space="preserve">Once annual Parliamentary appropriations are applied by the Treasurer, they become controlled by the Department and is recognised as income when applied for the purposes defined under the relevant Appropriations Act. </w:t>
      </w:r>
      <w:r w:rsidRPr="00956D29">
        <w:rPr>
          <w:rStyle w:val="Reference"/>
        </w:rPr>
        <w:t>[1058.9(a) and 10]</w:t>
      </w:r>
      <w:r>
        <w:t xml:space="preserve"> </w:t>
      </w:r>
    </w:p>
    <w:p w14:paraId="5586D36A" w14:textId="77777777" w:rsidR="003719CD" w:rsidRDefault="003719CD" w:rsidP="00DC39DE">
      <w:r w:rsidRPr="00956D29">
        <w:rPr>
          <w:b/>
          <w:bCs/>
        </w:rPr>
        <w:t>Output appropriations</w:t>
      </w:r>
      <w:r>
        <w:t>: Income from the outputs the Department provides to the Government is recognised when those outputs have been delivered and the relevant minister has certified delivery of those outputs in accordance with specified performance criteria.</w:t>
      </w:r>
    </w:p>
    <w:p w14:paraId="54C4CE22" w14:textId="1503AD8C" w:rsidR="003719CD" w:rsidRDefault="003719CD" w:rsidP="00DC39DE">
      <w:r w:rsidRPr="00956D29">
        <w:rPr>
          <w:b/>
          <w:bCs/>
        </w:rPr>
        <w:t>Special appropriations</w:t>
      </w:r>
      <w:r>
        <w:t xml:space="preserve">: Under section [x] of the </w:t>
      </w:r>
      <w:r w:rsidRPr="00432865">
        <w:rPr>
          <w:i/>
          <w:iCs/>
        </w:rPr>
        <w:t>[Appropriations] Act</w:t>
      </w:r>
      <w:r>
        <w:t>, income related to [special appropriation] is recognised when the amount appropriated for that purpose is due and payable by the Department.</w:t>
      </w:r>
    </w:p>
    <w:p w14:paraId="1D24DD8C" w14:textId="77777777" w:rsidR="003719CD" w:rsidRDefault="003719CD" w:rsidP="00DC39DE">
      <w:pPr>
        <w:sectPr w:rsidR="003719CD" w:rsidSect="006E0E99">
          <w:type w:val="continuous"/>
          <w:pgSz w:w="11906" w:h="16838" w:code="9"/>
          <w:pgMar w:top="1134" w:right="1134" w:bottom="1134" w:left="1134" w:header="624" w:footer="567" w:gutter="0"/>
          <w:cols w:space="708"/>
          <w:titlePg/>
          <w:docGrid w:linePitch="360"/>
        </w:sectPr>
      </w:pPr>
    </w:p>
    <w:p w14:paraId="2A540C9E" w14:textId="38901D69" w:rsidR="003719CD" w:rsidRDefault="003719CD" w:rsidP="00BB40F7">
      <w:pPr>
        <w:pStyle w:val="Heading2numbered"/>
      </w:pPr>
      <w:bookmarkStart w:id="18" w:name="_Toc96704853"/>
      <w:bookmarkStart w:id="19" w:name="_Toc130225928"/>
      <w:bookmarkStart w:id="20" w:name="_Toc64983251"/>
      <w:r>
        <w:lastRenderedPageBreak/>
        <w:t>Summary of compliance with annual Parliamentary and special appropriations</w:t>
      </w:r>
      <w:bookmarkEnd w:id="18"/>
      <w:bookmarkEnd w:id="19"/>
      <w:bookmarkEnd w:id="20"/>
      <w:r w:rsidR="0087592C">
        <w:t xml:space="preserve"> </w:t>
      </w:r>
    </w:p>
    <w:p w14:paraId="7574CB2F" w14:textId="77321F5A" w:rsidR="003719CD" w:rsidRDefault="003719CD" w:rsidP="00DC39DE">
      <w:r>
        <w:t xml:space="preserve">The following table discloses the details of the various annual Parliamentary appropriations received by the Department for the year. </w:t>
      </w:r>
      <w:r w:rsidRPr="00956D29">
        <w:rPr>
          <w:rStyle w:val="Reference"/>
        </w:rPr>
        <w:t>[FRD 13, AASB 1058.39]</w:t>
      </w:r>
    </w:p>
    <w:p w14:paraId="1CA3B659" w14:textId="77777777" w:rsidR="003719CD" w:rsidRDefault="003719CD" w:rsidP="00DC39DE">
      <w:r>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w:t>
      </w:r>
    </w:p>
    <w:p w14:paraId="4F9739F1" w14:textId="77777777" w:rsidR="003719CD" w:rsidRDefault="003719CD" w:rsidP="007D536F">
      <w:pPr>
        <w:pStyle w:val="TableUnits"/>
      </w:pPr>
      <w:r>
        <w:t>($ thousand)</w:t>
      </w:r>
    </w:p>
    <w:tbl>
      <w:tblPr>
        <w:tblStyle w:val="DTFTable"/>
        <w:tblW w:w="14629" w:type="dxa"/>
        <w:tblLayout w:type="fixed"/>
        <w:tblLook w:val="06A0" w:firstRow="1" w:lastRow="0" w:firstColumn="1" w:lastColumn="0" w:noHBand="1" w:noVBand="1"/>
      </w:tblPr>
      <w:tblGrid>
        <w:gridCol w:w="3261"/>
        <w:gridCol w:w="1414"/>
        <w:gridCol w:w="1246"/>
        <w:gridCol w:w="1092"/>
        <w:gridCol w:w="1028"/>
        <w:gridCol w:w="1028"/>
        <w:gridCol w:w="1028"/>
        <w:gridCol w:w="960"/>
        <w:gridCol w:w="1276"/>
        <w:gridCol w:w="1275"/>
        <w:gridCol w:w="1021"/>
      </w:tblGrid>
      <w:tr w:rsidR="008E5233" w14:paraId="013D4BCD" w14:textId="77777777" w:rsidTr="00292B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14:paraId="4B3AD6C2" w14:textId="77777777" w:rsidR="008E5233" w:rsidRDefault="008E5233">
            <w:pPr>
              <w:keepNext/>
            </w:pPr>
          </w:p>
        </w:tc>
        <w:tc>
          <w:tcPr>
            <w:tcW w:w="3752" w:type="dxa"/>
            <w:gridSpan w:val="3"/>
          </w:tcPr>
          <w:p w14:paraId="2B4DBF4C"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Appropriations Act</w:t>
            </w:r>
          </w:p>
        </w:tc>
        <w:tc>
          <w:tcPr>
            <w:tcW w:w="4044" w:type="dxa"/>
            <w:gridSpan w:val="4"/>
          </w:tcPr>
          <w:p w14:paraId="60B092E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Financial Management Act</w:t>
            </w:r>
          </w:p>
        </w:tc>
        <w:tc>
          <w:tcPr>
            <w:tcW w:w="1276" w:type="dxa"/>
          </w:tcPr>
          <w:p w14:paraId="70FFE4DB"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c>
          <w:tcPr>
            <w:tcW w:w="1275" w:type="dxa"/>
          </w:tcPr>
          <w:p w14:paraId="23FB8FF5"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c>
          <w:tcPr>
            <w:tcW w:w="1021" w:type="dxa"/>
          </w:tcPr>
          <w:p w14:paraId="04CE8126" w14:textId="77777777" w:rsidR="008E5233" w:rsidRDefault="008E5233">
            <w:pPr>
              <w:keepNext/>
              <w:cnfStyle w:val="100000000000" w:firstRow="1" w:lastRow="0" w:firstColumn="0" w:lastColumn="0" w:oddVBand="0" w:evenVBand="0" w:oddHBand="0" w:evenHBand="0" w:firstRowFirstColumn="0" w:firstRowLastColumn="0" w:lastRowFirstColumn="0" w:lastRowLastColumn="0"/>
            </w:pPr>
          </w:p>
        </w:tc>
      </w:tr>
      <w:tr w:rsidR="008E5233" w14:paraId="1E36A483" w14:textId="77777777" w:rsidTr="00292B9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14:paraId="2791A568" w14:textId="242B5D4E" w:rsidR="008E5233" w:rsidRDefault="00985565">
            <w:pPr>
              <w:keepNext/>
            </w:pPr>
            <w:fldSimple w:instr="DOCPROPERTY  YearCurrent  \* MERGEFORMAT">
              <w:r>
                <w:t>20X2</w:t>
              </w:r>
            </w:fldSimple>
          </w:p>
        </w:tc>
        <w:tc>
          <w:tcPr>
            <w:tcW w:w="1414" w:type="dxa"/>
          </w:tcPr>
          <w:p w14:paraId="1983478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Annual appropriation</w:t>
            </w:r>
          </w:p>
        </w:tc>
        <w:tc>
          <w:tcPr>
            <w:tcW w:w="1246" w:type="dxa"/>
          </w:tcPr>
          <w:p w14:paraId="5C5B9C42" w14:textId="5DF27F4C" w:rsidR="008E5233" w:rsidRDefault="005648A9">
            <w:pPr>
              <w:keepNext/>
              <w:cnfStyle w:val="100000000000" w:firstRow="1" w:lastRow="0" w:firstColumn="0" w:lastColumn="0" w:oddVBand="0" w:evenVBand="0" w:oddHBand="0" w:evenHBand="0" w:firstRowFirstColumn="0" w:firstRowLastColumn="0" w:lastRowFirstColumn="0" w:lastRowLastColumn="0"/>
            </w:pPr>
            <w:r>
              <w:t>Advance from Treasurer</w:t>
            </w:r>
            <w:r w:rsidR="00F56EE3">
              <w:t xml:space="preserve"> </w:t>
            </w:r>
            <w:r w:rsidR="003F0F94" w:rsidRPr="00EC0B6B">
              <w:rPr>
                <w:vertAlign w:val="superscript"/>
              </w:rPr>
              <w:t>(</w:t>
            </w:r>
            <w:r w:rsidR="001519DD">
              <w:rPr>
                <w:vertAlign w:val="superscript"/>
              </w:rPr>
              <w:t>a</w:t>
            </w:r>
            <w:r w:rsidR="003F0F94" w:rsidRPr="00EC0B6B">
              <w:rPr>
                <w:vertAlign w:val="superscript"/>
              </w:rPr>
              <w:t>)</w:t>
            </w:r>
          </w:p>
        </w:tc>
        <w:tc>
          <w:tcPr>
            <w:tcW w:w="1092" w:type="dxa"/>
          </w:tcPr>
          <w:p w14:paraId="4186777D"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3(2)</w:t>
            </w:r>
          </w:p>
        </w:tc>
        <w:tc>
          <w:tcPr>
            <w:tcW w:w="1028" w:type="dxa"/>
          </w:tcPr>
          <w:p w14:paraId="5EA2E0F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29</w:t>
            </w:r>
          </w:p>
        </w:tc>
        <w:tc>
          <w:tcPr>
            <w:tcW w:w="1028" w:type="dxa"/>
          </w:tcPr>
          <w:p w14:paraId="299CFC15"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30</w:t>
            </w:r>
          </w:p>
        </w:tc>
        <w:tc>
          <w:tcPr>
            <w:tcW w:w="1028" w:type="dxa"/>
          </w:tcPr>
          <w:p w14:paraId="067F8CB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32</w:t>
            </w:r>
          </w:p>
        </w:tc>
        <w:tc>
          <w:tcPr>
            <w:tcW w:w="960" w:type="dxa"/>
          </w:tcPr>
          <w:p w14:paraId="66472A1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Section 35</w:t>
            </w:r>
          </w:p>
        </w:tc>
        <w:tc>
          <w:tcPr>
            <w:tcW w:w="1276" w:type="dxa"/>
          </w:tcPr>
          <w:p w14:paraId="5325AE3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Parliamentary authority</w:t>
            </w:r>
          </w:p>
        </w:tc>
        <w:tc>
          <w:tcPr>
            <w:tcW w:w="1275" w:type="dxa"/>
          </w:tcPr>
          <w:p w14:paraId="679A086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Appropriations applied</w:t>
            </w:r>
          </w:p>
        </w:tc>
        <w:tc>
          <w:tcPr>
            <w:tcW w:w="1021" w:type="dxa"/>
          </w:tcPr>
          <w:p w14:paraId="1B40C0F1" w14:textId="3B0A7CD9" w:rsidR="008E5233" w:rsidRDefault="005648A9">
            <w:pPr>
              <w:keepNext/>
              <w:cnfStyle w:val="100000000000" w:firstRow="1" w:lastRow="0" w:firstColumn="0" w:lastColumn="0" w:oddVBand="0" w:evenVBand="0" w:oddHBand="0" w:evenHBand="0" w:firstRowFirstColumn="0" w:firstRowLastColumn="0" w:lastRowFirstColumn="0" w:lastRowLastColumn="0"/>
            </w:pPr>
            <w:r>
              <w:t>Variance</w:t>
            </w:r>
            <w:r>
              <w:rPr>
                <w:vertAlign w:val="superscript"/>
              </w:rPr>
              <w:t xml:space="preserve"> (</w:t>
            </w:r>
            <w:r w:rsidR="004041F3">
              <w:rPr>
                <w:vertAlign w:val="superscript"/>
              </w:rPr>
              <w:t>b</w:t>
            </w:r>
            <w:r>
              <w:rPr>
                <w:vertAlign w:val="superscript"/>
              </w:rPr>
              <w:t>)</w:t>
            </w:r>
          </w:p>
        </w:tc>
      </w:tr>
      <w:tr w:rsidR="008E5233" w14:paraId="4C1C3CC9" w14:textId="77777777">
        <w:tc>
          <w:tcPr>
            <w:cnfStyle w:val="001000000000" w:firstRow="0" w:lastRow="0" w:firstColumn="1" w:lastColumn="0" w:oddVBand="0" w:evenVBand="0" w:oddHBand="0" w:evenHBand="0" w:firstRowFirstColumn="0" w:firstRowLastColumn="0" w:lastRowFirstColumn="0" w:lastRowLastColumn="0"/>
            <w:tcW w:w="3261" w:type="dxa"/>
          </w:tcPr>
          <w:p w14:paraId="06FEE5D2" w14:textId="77777777" w:rsidR="008E5233" w:rsidRDefault="005648A9">
            <w:r>
              <w:rPr>
                <w:b/>
              </w:rPr>
              <w:t>Controlled</w:t>
            </w:r>
          </w:p>
        </w:tc>
        <w:tc>
          <w:tcPr>
            <w:tcW w:w="1414" w:type="dxa"/>
          </w:tcPr>
          <w:p w14:paraId="7BC3639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11D0311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7AF8BA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33268DC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6918DF2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7A36DF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261B7CD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0790007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3A6ECB5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477AC67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B3FC5E0" w14:textId="77777777">
        <w:tc>
          <w:tcPr>
            <w:cnfStyle w:val="001000000000" w:firstRow="0" w:lastRow="0" w:firstColumn="1" w:lastColumn="0" w:oddVBand="0" w:evenVBand="0" w:oddHBand="0" w:evenHBand="0" w:firstRowFirstColumn="0" w:firstRowLastColumn="0" w:lastRowFirstColumn="0" w:lastRowLastColumn="0"/>
            <w:tcW w:w="3261" w:type="dxa"/>
          </w:tcPr>
          <w:p w14:paraId="7254D364" w14:textId="77777777" w:rsidR="008E5233" w:rsidRDefault="005648A9">
            <w:r>
              <w:t>Provision for outputs</w:t>
            </w:r>
          </w:p>
        </w:tc>
        <w:tc>
          <w:tcPr>
            <w:tcW w:w="1414" w:type="dxa"/>
          </w:tcPr>
          <w:p w14:paraId="3B3EA481"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110 889</w:t>
            </w:r>
          </w:p>
        </w:tc>
        <w:tc>
          <w:tcPr>
            <w:tcW w:w="1246" w:type="dxa"/>
          </w:tcPr>
          <w:p w14:paraId="6D39C865" w14:textId="77777777" w:rsidR="008E5233" w:rsidRDefault="005648A9">
            <w:pPr>
              <w:cnfStyle w:val="000000000000" w:firstRow="0" w:lastRow="0" w:firstColumn="0" w:lastColumn="0" w:oddVBand="0" w:evenVBand="0" w:oddHBand="0" w:evenHBand="0" w:firstRowFirstColumn="0" w:firstRowLastColumn="0" w:lastRowFirstColumn="0" w:lastRowLastColumn="0"/>
            </w:pPr>
            <w:r>
              <w:t>1 963</w:t>
            </w:r>
          </w:p>
        </w:tc>
        <w:tc>
          <w:tcPr>
            <w:tcW w:w="1092" w:type="dxa"/>
          </w:tcPr>
          <w:p w14:paraId="5CC9BB3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4220C00B" w14:textId="77777777" w:rsidR="008E5233" w:rsidRDefault="005648A9">
            <w:pPr>
              <w:cnfStyle w:val="000000000000" w:firstRow="0" w:lastRow="0" w:firstColumn="0" w:lastColumn="0" w:oddVBand="0" w:evenVBand="0" w:oddHBand="0" w:evenHBand="0" w:firstRowFirstColumn="0" w:firstRowLastColumn="0" w:lastRowFirstColumn="0" w:lastRowLastColumn="0"/>
            </w:pPr>
            <w:r>
              <w:t>10 037</w:t>
            </w:r>
          </w:p>
        </w:tc>
        <w:tc>
          <w:tcPr>
            <w:tcW w:w="1028" w:type="dxa"/>
          </w:tcPr>
          <w:p w14:paraId="7D743844"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8" w:type="dxa"/>
          </w:tcPr>
          <w:p w14:paraId="6E9F737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761DE30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739AE63E"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110 870</w:t>
            </w:r>
          </w:p>
        </w:tc>
        <w:tc>
          <w:tcPr>
            <w:tcW w:w="1275" w:type="dxa"/>
          </w:tcPr>
          <w:p w14:paraId="187FD7FB" w14:textId="77777777" w:rsidR="008E5233" w:rsidRDefault="005648A9">
            <w:pPr>
              <w:cnfStyle w:val="000000000000" w:firstRow="0" w:lastRow="0" w:firstColumn="0" w:lastColumn="0" w:oddVBand="0" w:evenVBand="0" w:oddHBand="0" w:evenHBand="0" w:firstRowFirstColumn="0" w:firstRowLastColumn="0" w:lastRowFirstColumn="0" w:lastRowLastColumn="0"/>
            </w:pPr>
            <w:r>
              <w:t>93 663</w:t>
            </w:r>
          </w:p>
        </w:tc>
        <w:tc>
          <w:tcPr>
            <w:tcW w:w="1021" w:type="dxa"/>
          </w:tcPr>
          <w:p w14:paraId="7B8D6A9B" w14:textId="77777777" w:rsidR="008E5233" w:rsidRDefault="005648A9">
            <w:pPr>
              <w:cnfStyle w:val="000000000000" w:firstRow="0" w:lastRow="0" w:firstColumn="0" w:lastColumn="0" w:oddVBand="0" w:evenVBand="0" w:oddHBand="0" w:evenHBand="0" w:firstRowFirstColumn="0" w:firstRowLastColumn="0" w:lastRowFirstColumn="0" w:lastRowLastColumn="0"/>
            </w:pPr>
            <w:r>
              <w:t>17 207</w:t>
            </w:r>
          </w:p>
        </w:tc>
      </w:tr>
      <w:tr w:rsidR="008E5233" w14:paraId="559CD3C7" w14:textId="77777777">
        <w:tc>
          <w:tcPr>
            <w:cnfStyle w:val="001000000000" w:firstRow="0" w:lastRow="0" w:firstColumn="1" w:lastColumn="0" w:oddVBand="0" w:evenVBand="0" w:oddHBand="0" w:evenHBand="0" w:firstRowFirstColumn="0" w:firstRowLastColumn="0" w:lastRowFirstColumn="0" w:lastRowLastColumn="0"/>
            <w:tcW w:w="3261" w:type="dxa"/>
          </w:tcPr>
          <w:p w14:paraId="58970F18" w14:textId="77777777" w:rsidR="008E5233" w:rsidRDefault="005648A9">
            <w:r>
              <w:t>Addition to net assets</w:t>
            </w:r>
          </w:p>
        </w:tc>
        <w:tc>
          <w:tcPr>
            <w:tcW w:w="1414" w:type="dxa"/>
          </w:tcPr>
          <w:p w14:paraId="362AFB23" w14:textId="77777777" w:rsidR="008E5233" w:rsidRDefault="005648A9">
            <w:pPr>
              <w:cnfStyle w:val="000000000000" w:firstRow="0" w:lastRow="0" w:firstColumn="0" w:lastColumn="0" w:oddVBand="0" w:evenVBand="0" w:oddHBand="0" w:evenHBand="0" w:firstRowFirstColumn="0" w:firstRowLastColumn="0" w:lastRowFirstColumn="0" w:lastRowLastColumn="0"/>
            </w:pPr>
            <w:r>
              <w:t>6 210</w:t>
            </w:r>
          </w:p>
        </w:tc>
        <w:tc>
          <w:tcPr>
            <w:tcW w:w="1246" w:type="dxa"/>
          </w:tcPr>
          <w:p w14:paraId="29F14B6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28E57DA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0712A9C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72088BB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4CE4C3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7F2ACFD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8746CBC" w14:textId="77777777" w:rsidR="008E5233" w:rsidRDefault="005648A9">
            <w:pPr>
              <w:cnfStyle w:val="000000000000" w:firstRow="0" w:lastRow="0" w:firstColumn="0" w:lastColumn="0" w:oddVBand="0" w:evenVBand="0" w:oddHBand="0" w:evenHBand="0" w:firstRowFirstColumn="0" w:firstRowLastColumn="0" w:lastRowFirstColumn="0" w:lastRowLastColumn="0"/>
            </w:pPr>
            <w:r>
              <w:t>6 210</w:t>
            </w:r>
          </w:p>
        </w:tc>
        <w:tc>
          <w:tcPr>
            <w:tcW w:w="1275" w:type="dxa"/>
          </w:tcPr>
          <w:p w14:paraId="157C2511" w14:textId="77777777" w:rsidR="008E5233" w:rsidRDefault="005648A9">
            <w:pPr>
              <w:cnfStyle w:val="000000000000" w:firstRow="0" w:lastRow="0" w:firstColumn="0" w:lastColumn="0" w:oddVBand="0" w:evenVBand="0" w:oddHBand="0" w:evenHBand="0" w:firstRowFirstColumn="0" w:firstRowLastColumn="0" w:lastRowFirstColumn="0" w:lastRowLastColumn="0"/>
            </w:pPr>
            <w:r>
              <w:t>5 750</w:t>
            </w:r>
          </w:p>
        </w:tc>
        <w:tc>
          <w:tcPr>
            <w:tcW w:w="1021" w:type="dxa"/>
          </w:tcPr>
          <w:p w14:paraId="56A6BC90" w14:textId="77777777" w:rsidR="008E5233" w:rsidRDefault="005648A9">
            <w:pPr>
              <w:cnfStyle w:val="000000000000" w:firstRow="0" w:lastRow="0" w:firstColumn="0" w:lastColumn="0" w:oddVBand="0" w:evenVBand="0" w:oddHBand="0" w:evenHBand="0" w:firstRowFirstColumn="0" w:firstRowLastColumn="0" w:lastRowFirstColumn="0" w:lastRowLastColumn="0"/>
            </w:pPr>
            <w:r>
              <w:t>460</w:t>
            </w:r>
          </w:p>
        </w:tc>
      </w:tr>
      <w:tr w:rsidR="008E5233" w14:paraId="48501BFC" w14:textId="77777777">
        <w:tc>
          <w:tcPr>
            <w:cnfStyle w:val="001000000000" w:firstRow="0" w:lastRow="0" w:firstColumn="1" w:lastColumn="0" w:oddVBand="0" w:evenVBand="0" w:oddHBand="0" w:evenHBand="0" w:firstRowFirstColumn="0" w:firstRowLastColumn="0" w:lastRowFirstColumn="0" w:lastRowLastColumn="0"/>
            <w:tcW w:w="3261" w:type="dxa"/>
          </w:tcPr>
          <w:p w14:paraId="7C754F9B" w14:textId="77777777" w:rsidR="008E5233" w:rsidRDefault="005648A9">
            <w:r>
              <w:rPr>
                <w:b/>
              </w:rPr>
              <w:t>Administered</w:t>
            </w:r>
          </w:p>
        </w:tc>
        <w:tc>
          <w:tcPr>
            <w:tcW w:w="1414" w:type="dxa"/>
          </w:tcPr>
          <w:p w14:paraId="3B7BF71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1DC37BC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F70919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4C8EBB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1AA8EB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5D52368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36036A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3C1D9CA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5710163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1F317B3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043F3B2" w14:textId="77777777" w:rsidTr="008E5233">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444E5ED3" w14:textId="77777777" w:rsidR="008E5233" w:rsidRDefault="005648A9">
            <w:r>
              <w:t>Payments made on behalf of the State</w:t>
            </w:r>
          </w:p>
        </w:tc>
        <w:tc>
          <w:tcPr>
            <w:tcW w:w="1414" w:type="dxa"/>
            <w:tcBorders>
              <w:bottom w:val="single" w:sz="12" w:space="0" w:color="auto"/>
            </w:tcBorders>
          </w:tcPr>
          <w:p w14:paraId="0D989B0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Borders>
              <w:bottom w:val="single" w:sz="12" w:space="0" w:color="auto"/>
            </w:tcBorders>
          </w:tcPr>
          <w:p w14:paraId="3280DF6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Borders>
              <w:bottom w:val="single" w:sz="12" w:space="0" w:color="auto"/>
            </w:tcBorders>
          </w:tcPr>
          <w:p w14:paraId="1506FC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481E5AB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4F8BB297"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8" w:type="dxa"/>
            <w:tcBorders>
              <w:bottom w:val="single" w:sz="12" w:space="0" w:color="auto"/>
            </w:tcBorders>
          </w:tcPr>
          <w:p w14:paraId="3D4F31F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Borders>
              <w:bottom w:val="single" w:sz="12" w:space="0" w:color="auto"/>
            </w:tcBorders>
          </w:tcPr>
          <w:p w14:paraId="223C5B7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12" w:space="0" w:color="auto"/>
            </w:tcBorders>
          </w:tcPr>
          <w:p w14:paraId="008CFD49"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275" w:type="dxa"/>
            <w:tcBorders>
              <w:bottom w:val="single" w:sz="12" w:space="0" w:color="auto"/>
            </w:tcBorders>
          </w:tcPr>
          <w:p w14:paraId="3BDD76F8"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12 019</w:t>
            </w:r>
          </w:p>
        </w:tc>
        <w:tc>
          <w:tcPr>
            <w:tcW w:w="1021" w:type="dxa"/>
            <w:tcBorders>
              <w:bottom w:val="single" w:sz="12" w:space="0" w:color="auto"/>
            </w:tcBorders>
          </w:tcPr>
          <w:p w14:paraId="3A29CA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2F1C83B6" w14:textId="77777777" w:rsidTr="008E5233">
        <w:tc>
          <w:tcPr>
            <w:cnfStyle w:val="001000000000" w:firstRow="0" w:lastRow="0" w:firstColumn="1" w:lastColumn="0" w:oddVBand="0" w:evenVBand="0" w:oddHBand="0" w:evenHBand="0" w:firstRowFirstColumn="0" w:firstRowLastColumn="0" w:lastRowFirstColumn="0" w:lastRowLastColumn="0"/>
            <w:tcW w:w="3261" w:type="dxa"/>
          </w:tcPr>
          <w:p w14:paraId="79E8E52D" w14:textId="77777777" w:rsidR="008E5233" w:rsidRDefault="005648A9">
            <w:r>
              <w:rPr>
                <w:b/>
              </w:rPr>
              <w:t>20X2 total</w:t>
            </w:r>
          </w:p>
        </w:tc>
        <w:tc>
          <w:tcPr>
            <w:tcW w:w="1414" w:type="dxa"/>
          </w:tcPr>
          <w:p w14:paraId="76ACF6B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117 099</w:t>
            </w:r>
          </w:p>
        </w:tc>
        <w:tc>
          <w:tcPr>
            <w:tcW w:w="1246" w:type="dxa"/>
          </w:tcPr>
          <w:p w14:paraId="6482B98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1 963</w:t>
            </w:r>
          </w:p>
        </w:tc>
        <w:tc>
          <w:tcPr>
            <w:tcW w:w="1092" w:type="dxa"/>
          </w:tcPr>
          <w:p w14:paraId="0615510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Pr>
          <w:p w14:paraId="7AD26E9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10 037</w:t>
            </w:r>
          </w:p>
        </w:tc>
        <w:tc>
          <w:tcPr>
            <w:tcW w:w="1028" w:type="dxa"/>
          </w:tcPr>
          <w:p w14:paraId="75E9195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Pr>
          <w:p w14:paraId="0A7D853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960" w:type="dxa"/>
          </w:tcPr>
          <w:p w14:paraId="0C6C061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Pr>
          <w:p w14:paraId="27317C6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129 099</w:t>
            </w:r>
          </w:p>
        </w:tc>
        <w:tc>
          <w:tcPr>
            <w:tcW w:w="1275" w:type="dxa"/>
          </w:tcPr>
          <w:p w14:paraId="307EB7D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111 432</w:t>
            </w:r>
          </w:p>
        </w:tc>
        <w:tc>
          <w:tcPr>
            <w:tcW w:w="1021" w:type="dxa"/>
          </w:tcPr>
          <w:p w14:paraId="08606C7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17 667</w:t>
            </w:r>
          </w:p>
        </w:tc>
      </w:tr>
      <w:tr w:rsidR="00671D55" w14:paraId="31B591FE" w14:textId="77777777" w:rsidTr="00292B99">
        <w:tc>
          <w:tcPr>
            <w:cnfStyle w:val="001000000000" w:firstRow="0" w:lastRow="0" w:firstColumn="1" w:lastColumn="0" w:oddVBand="0" w:evenVBand="0" w:oddHBand="0" w:evenHBand="0" w:firstRowFirstColumn="0" w:firstRowLastColumn="0" w:lastRowFirstColumn="0" w:lastRowLastColumn="0"/>
            <w:tcW w:w="3261" w:type="dxa"/>
          </w:tcPr>
          <w:p w14:paraId="48D57B3C" w14:textId="77777777" w:rsidR="00292B99" w:rsidRDefault="00292B99">
            <w:pPr>
              <w:rPr>
                <w:b/>
                <w:i/>
              </w:rPr>
            </w:pPr>
          </w:p>
        </w:tc>
        <w:tc>
          <w:tcPr>
            <w:tcW w:w="1414" w:type="dxa"/>
          </w:tcPr>
          <w:p w14:paraId="40E591CD"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46" w:type="dxa"/>
          </w:tcPr>
          <w:p w14:paraId="4217399E"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92" w:type="dxa"/>
          </w:tcPr>
          <w:p w14:paraId="100A3B91"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Pr>
          <w:p w14:paraId="739BE2FE"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Pr>
          <w:p w14:paraId="3E6028C1"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8" w:type="dxa"/>
          </w:tcPr>
          <w:p w14:paraId="0A083EF8"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960" w:type="dxa"/>
          </w:tcPr>
          <w:p w14:paraId="7964752D"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76" w:type="dxa"/>
          </w:tcPr>
          <w:p w14:paraId="1DF02B52"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275" w:type="dxa"/>
          </w:tcPr>
          <w:p w14:paraId="21BAB8E4"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c>
          <w:tcPr>
            <w:tcW w:w="1021" w:type="dxa"/>
          </w:tcPr>
          <w:p w14:paraId="1353BCFA" w14:textId="77777777" w:rsidR="00292B99" w:rsidRDefault="00292B99">
            <w:pPr>
              <w:cnfStyle w:val="000000000000" w:firstRow="0" w:lastRow="0" w:firstColumn="0" w:lastColumn="0" w:oddVBand="0" w:evenVBand="0" w:oddHBand="0" w:evenHBand="0" w:firstRowFirstColumn="0" w:firstRowLastColumn="0" w:lastRowFirstColumn="0" w:lastRowLastColumn="0"/>
            </w:pPr>
          </w:p>
        </w:tc>
      </w:tr>
      <w:tr w:rsidR="00FD4461" w14:paraId="7200C398" w14:textId="77777777" w:rsidTr="00292B99">
        <w:tc>
          <w:tcPr>
            <w:cnfStyle w:val="001000000000" w:firstRow="0" w:lastRow="0" w:firstColumn="1" w:lastColumn="0" w:oddVBand="0" w:evenVBand="0" w:oddHBand="0" w:evenHBand="0" w:firstRowFirstColumn="0" w:firstRowLastColumn="0" w:lastRowFirstColumn="0" w:lastRowLastColumn="0"/>
            <w:tcW w:w="3261" w:type="dxa"/>
            <w:tcBorders>
              <w:top w:val="single" w:sz="2" w:space="0" w:color="auto"/>
              <w:bottom w:val="nil"/>
            </w:tcBorders>
            <w:shd w:val="clear" w:color="auto" w:fill="000000" w:themeFill="text1"/>
          </w:tcPr>
          <w:p w14:paraId="4CF2C0BB" w14:textId="52B18CE7" w:rsidR="008E5233" w:rsidRPr="00292B99" w:rsidRDefault="00985565">
            <w:pPr>
              <w:rPr>
                <w:i/>
                <w:iCs/>
              </w:rPr>
            </w:pPr>
            <w:fldSimple w:instr="DOCPROPERTY  YearPrevious  \* MERGEFORMAT">
              <w:r>
                <w:t>20X1</w:t>
              </w:r>
            </w:fldSimple>
          </w:p>
        </w:tc>
        <w:tc>
          <w:tcPr>
            <w:tcW w:w="1414" w:type="dxa"/>
            <w:tcBorders>
              <w:top w:val="single" w:sz="2" w:space="0" w:color="auto"/>
              <w:bottom w:val="nil"/>
            </w:tcBorders>
            <w:shd w:val="clear" w:color="auto" w:fill="000000" w:themeFill="text1"/>
          </w:tcPr>
          <w:p w14:paraId="17D8992F"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46" w:type="dxa"/>
            <w:tcBorders>
              <w:top w:val="single" w:sz="2" w:space="0" w:color="auto"/>
              <w:bottom w:val="nil"/>
            </w:tcBorders>
            <w:shd w:val="clear" w:color="auto" w:fill="000000" w:themeFill="text1"/>
          </w:tcPr>
          <w:p w14:paraId="6B794BFB"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92" w:type="dxa"/>
            <w:tcBorders>
              <w:top w:val="single" w:sz="2" w:space="0" w:color="auto"/>
              <w:bottom w:val="nil"/>
            </w:tcBorders>
            <w:shd w:val="clear" w:color="auto" w:fill="000000" w:themeFill="text1"/>
          </w:tcPr>
          <w:p w14:paraId="2764C6F5"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03178B2"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4F040B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8" w:type="dxa"/>
            <w:tcBorders>
              <w:top w:val="single" w:sz="2" w:space="0" w:color="auto"/>
              <w:bottom w:val="nil"/>
            </w:tcBorders>
            <w:shd w:val="clear" w:color="auto" w:fill="000000" w:themeFill="text1"/>
          </w:tcPr>
          <w:p w14:paraId="6FF0B16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960" w:type="dxa"/>
            <w:tcBorders>
              <w:top w:val="single" w:sz="2" w:space="0" w:color="auto"/>
              <w:bottom w:val="nil"/>
            </w:tcBorders>
            <w:shd w:val="clear" w:color="auto" w:fill="000000" w:themeFill="text1"/>
          </w:tcPr>
          <w:p w14:paraId="7FD3C530"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76" w:type="dxa"/>
            <w:tcBorders>
              <w:top w:val="single" w:sz="2" w:space="0" w:color="auto"/>
              <w:bottom w:val="nil"/>
            </w:tcBorders>
            <w:shd w:val="clear" w:color="auto" w:fill="000000" w:themeFill="text1"/>
          </w:tcPr>
          <w:p w14:paraId="7A40C8EE"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275" w:type="dxa"/>
            <w:tcBorders>
              <w:top w:val="single" w:sz="2" w:space="0" w:color="auto"/>
              <w:bottom w:val="nil"/>
            </w:tcBorders>
            <w:shd w:val="clear" w:color="auto" w:fill="000000" w:themeFill="text1"/>
          </w:tcPr>
          <w:p w14:paraId="22695477"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c>
          <w:tcPr>
            <w:tcW w:w="1021" w:type="dxa"/>
            <w:tcBorders>
              <w:top w:val="single" w:sz="2" w:space="0" w:color="auto"/>
              <w:bottom w:val="nil"/>
            </w:tcBorders>
            <w:shd w:val="clear" w:color="auto" w:fill="000000" w:themeFill="text1"/>
          </w:tcPr>
          <w:p w14:paraId="3DDA1267" w14:textId="77777777" w:rsidR="008E5233" w:rsidRPr="00292B99" w:rsidRDefault="008E5233">
            <w:pPr>
              <w:cnfStyle w:val="000000000000" w:firstRow="0" w:lastRow="0" w:firstColumn="0" w:lastColumn="0" w:oddVBand="0" w:evenVBand="0" w:oddHBand="0" w:evenHBand="0" w:firstRowFirstColumn="0" w:firstRowLastColumn="0" w:lastRowFirstColumn="0" w:lastRowLastColumn="0"/>
              <w:rPr>
                <w:i/>
                <w:iCs/>
              </w:rPr>
            </w:pPr>
          </w:p>
        </w:tc>
      </w:tr>
      <w:tr w:rsidR="008E5233" w14:paraId="3D1F3F6A" w14:textId="77777777" w:rsidTr="00292B99">
        <w:tc>
          <w:tcPr>
            <w:cnfStyle w:val="001000000000" w:firstRow="0" w:lastRow="0" w:firstColumn="1" w:lastColumn="0" w:oddVBand="0" w:evenVBand="0" w:oddHBand="0" w:evenHBand="0" w:firstRowFirstColumn="0" w:firstRowLastColumn="0" w:lastRowFirstColumn="0" w:lastRowLastColumn="0"/>
            <w:tcW w:w="3261" w:type="dxa"/>
            <w:tcBorders>
              <w:top w:val="nil"/>
            </w:tcBorders>
          </w:tcPr>
          <w:p w14:paraId="225C97AE" w14:textId="77777777" w:rsidR="008E5233" w:rsidRDefault="005648A9">
            <w:r>
              <w:rPr>
                <w:b/>
              </w:rPr>
              <w:t>Controlled</w:t>
            </w:r>
          </w:p>
        </w:tc>
        <w:tc>
          <w:tcPr>
            <w:tcW w:w="1414" w:type="dxa"/>
            <w:tcBorders>
              <w:top w:val="nil"/>
            </w:tcBorders>
          </w:tcPr>
          <w:p w14:paraId="5533B2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Borders>
              <w:top w:val="nil"/>
            </w:tcBorders>
          </w:tcPr>
          <w:p w14:paraId="3B58516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top w:val="nil"/>
            </w:tcBorders>
          </w:tcPr>
          <w:p w14:paraId="4636EB5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43EFB1D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5D8740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Borders>
              <w:top w:val="nil"/>
            </w:tcBorders>
          </w:tcPr>
          <w:p w14:paraId="28CCF5C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Borders>
              <w:top w:val="nil"/>
            </w:tcBorders>
          </w:tcPr>
          <w:p w14:paraId="59FE755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Borders>
              <w:top w:val="nil"/>
            </w:tcBorders>
          </w:tcPr>
          <w:p w14:paraId="11E8697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Borders>
              <w:top w:val="nil"/>
            </w:tcBorders>
          </w:tcPr>
          <w:p w14:paraId="1C22D2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Borders>
              <w:top w:val="nil"/>
            </w:tcBorders>
          </w:tcPr>
          <w:p w14:paraId="7EEF4B0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9BA368" w14:textId="77777777">
        <w:tc>
          <w:tcPr>
            <w:cnfStyle w:val="001000000000" w:firstRow="0" w:lastRow="0" w:firstColumn="1" w:lastColumn="0" w:oddVBand="0" w:evenVBand="0" w:oddHBand="0" w:evenHBand="0" w:firstRowFirstColumn="0" w:firstRowLastColumn="0" w:lastRowFirstColumn="0" w:lastRowLastColumn="0"/>
            <w:tcW w:w="3261" w:type="dxa"/>
          </w:tcPr>
          <w:p w14:paraId="72D08B90" w14:textId="77777777" w:rsidR="008E5233" w:rsidRDefault="005648A9">
            <w:r>
              <w:t>Provision for outputs</w:t>
            </w:r>
          </w:p>
        </w:tc>
        <w:tc>
          <w:tcPr>
            <w:tcW w:w="1414" w:type="dxa"/>
          </w:tcPr>
          <w:p w14:paraId="45870D25" w14:textId="77777777" w:rsidR="008E5233" w:rsidRDefault="005648A9">
            <w:pPr>
              <w:cnfStyle w:val="000000000000" w:firstRow="0" w:lastRow="0" w:firstColumn="0" w:lastColumn="0" w:oddVBand="0" w:evenVBand="0" w:oddHBand="0" w:evenHBand="0" w:firstRowFirstColumn="0" w:firstRowLastColumn="0" w:lastRowFirstColumn="0" w:lastRowLastColumn="0"/>
            </w:pPr>
            <w:r>
              <w:t>79 854</w:t>
            </w:r>
          </w:p>
        </w:tc>
        <w:tc>
          <w:tcPr>
            <w:tcW w:w="1246" w:type="dxa"/>
          </w:tcPr>
          <w:p w14:paraId="69102B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2C6BEA8D" w14:textId="77777777" w:rsidR="008E5233" w:rsidRDefault="005648A9">
            <w:pPr>
              <w:cnfStyle w:val="000000000000" w:firstRow="0" w:lastRow="0" w:firstColumn="0" w:lastColumn="0" w:oddVBand="0" w:evenVBand="0" w:oddHBand="0" w:evenHBand="0" w:firstRowFirstColumn="0" w:firstRowLastColumn="0" w:lastRowFirstColumn="0" w:lastRowLastColumn="0"/>
            </w:pPr>
            <w:r>
              <w:t>1 000</w:t>
            </w:r>
          </w:p>
        </w:tc>
        <w:tc>
          <w:tcPr>
            <w:tcW w:w="1028" w:type="dxa"/>
          </w:tcPr>
          <w:p w14:paraId="4311EFB9" w14:textId="77777777" w:rsidR="008E5233" w:rsidRDefault="005648A9">
            <w:pPr>
              <w:cnfStyle w:val="000000000000" w:firstRow="0" w:lastRow="0" w:firstColumn="0" w:lastColumn="0" w:oddVBand="0" w:evenVBand="0" w:oddHBand="0" w:evenHBand="0" w:firstRowFirstColumn="0" w:firstRowLastColumn="0" w:lastRowFirstColumn="0" w:lastRowLastColumn="0"/>
            </w:pPr>
            <w:r>
              <w:t>11 403</w:t>
            </w:r>
          </w:p>
        </w:tc>
        <w:tc>
          <w:tcPr>
            <w:tcW w:w="1028" w:type="dxa"/>
          </w:tcPr>
          <w:p w14:paraId="22267782"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8" w:type="dxa"/>
          </w:tcPr>
          <w:p w14:paraId="38C36DE6" w14:textId="77777777" w:rsidR="008E5233" w:rsidRDefault="005648A9">
            <w:pPr>
              <w:cnfStyle w:val="000000000000" w:firstRow="0" w:lastRow="0" w:firstColumn="0" w:lastColumn="0" w:oddVBand="0" w:evenVBand="0" w:oddHBand="0" w:evenHBand="0" w:firstRowFirstColumn="0" w:firstRowLastColumn="0" w:lastRowFirstColumn="0" w:lastRowLastColumn="0"/>
            </w:pPr>
            <w:r>
              <w:t>697</w:t>
            </w:r>
          </w:p>
        </w:tc>
        <w:tc>
          <w:tcPr>
            <w:tcW w:w="960" w:type="dxa"/>
          </w:tcPr>
          <w:p w14:paraId="3C5BE8D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2CFF9915" w14:textId="77777777" w:rsidR="008E5233" w:rsidRDefault="005648A9">
            <w:pPr>
              <w:cnfStyle w:val="000000000000" w:firstRow="0" w:lastRow="0" w:firstColumn="0" w:lastColumn="0" w:oddVBand="0" w:evenVBand="0" w:oddHBand="0" w:evenHBand="0" w:firstRowFirstColumn="0" w:firstRowLastColumn="0" w:lastRowFirstColumn="0" w:lastRowLastColumn="0"/>
            </w:pPr>
            <w:r>
              <w:t>82 084</w:t>
            </w:r>
          </w:p>
        </w:tc>
        <w:tc>
          <w:tcPr>
            <w:tcW w:w="1275" w:type="dxa"/>
          </w:tcPr>
          <w:p w14:paraId="64A07778" w14:textId="77777777" w:rsidR="008E5233" w:rsidRDefault="005648A9">
            <w:pPr>
              <w:cnfStyle w:val="000000000000" w:firstRow="0" w:lastRow="0" w:firstColumn="0" w:lastColumn="0" w:oddVBand="0" w:evenVBand="0" w:oddHBand="0" w:evenHBand="0" w:firstRowFirstColumn="0" w:firstRowLastColumn="0" w:lastRowFirstColumn="0" w:lastRowLastColumn="0"/>
            </w:pPr>
            <w:r>
              <w:t>75 078</w:t>
            </w:r>
          </w:p>
        </w:tc>
        <w:tc>
          <w:tcPr>
            <w:tcW w:w="1021" w:type="dxa"/>
          </w:tcPr>
          <w:p w14:paraId="7B142350" w14:textId="77777777" w:rsidR="008E5233" w:rsidRDefault="005648A9">
            <w:pPr>
              <w:cnfStyle w:val="000000000000" w:firstRow="0" w:lastRow="0" w:firstColumn="0" w:lastColumn="0" w:oddVBand="0" w:evenVBand="0" w:oddHBand="0" w:evenHBand="0" w:firstRowFirstColumn="0" w:firstRowLastColumn="0" w:lastRowFirstColumn="0" w:lastRowLastColumn="0"/>
            </w:pPr>
            <w:r>
              <w:t>7 006</w:t>
            </w:r>
          </w:p>
        </w:tc>
      </w:tr>
      <w:tr w:rsidR="008E5233" w14:paraId="09AE10A5" w14:textId="77777777">
        <w:tc>
          <w:tcPr>
            <w:cnfStyle w:val="001000000000" w:firstRow="0" w:lastRow="0" w:firstColumn="1" w:lastColumn="0" w:oddVBand="0" w:evenVBand="0" w:oddHBand="0" w:evenHBand="0" w:firstRowFirstColumn="0" w:firstRowLastColumn="0" w:lastRowFirstColumn="0" w:lastRowLastColumn="0"/>
            <w:tcW w:w="3261" w:type="dxa"/>
          </w:tcPr>
          <w:p w14:paraId="43D8A3A0" w14:textId="77777777" w:rsidR="008E5233" w:rsidRDefault="005648A9">
            <w:r>
              <w:t>Addition to net assets</w:t>
            </w:r>
          </w:p>
        </w:tc>
        <w:tc>
          <w:tcPr>
            <w:tcW w:w="1414" w:type="dxa"/>
          </w:tcPr>
          <w:p w14:paraId="6909F89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Pr>
          <w:p w14:paraId="3E93371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30B52C9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317CA8B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166285F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Pr>
          <w:p w14:paraId="5CB9779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Pr>
          <w:p w14:paraId="522DE48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Pr>
          <w:p w14:paraId="45A4CE8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5" w:type="dxa"/>
          </w:tcPr>
          <w:p w14:paraId="5E93254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1" w:type="dxa"/>
          </w:tcPr>
          <w:p w14:paraId="4E0AA6C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49B494A" w14:textId="77777777">
        <w:tc>
          <w:tcPr>
            <w:cnfStyle w:val="001000000000" w:firstRow="0" w:lastRow="0" w:firstColumn="1" w:lastColumn="0" w:oddVBand="0" w:evenVBand="0" w:oddHBand="0" w:evenHBand="0" w:firstRowFirstColumn="0" w:firstRowLastColumn="0" w:lastRowFirstColumn="0" w:lastRowLastColumn="0"/>
            <w:tcW w:w="3261" w:type="dxa"/>
          </w:tcPr>
          <w:p w14:paraId="75C13B51" w14:textId="77777777" w:rsidR="008E5233" w:rsidRDefault="005648A9">
            <w:r>
              <w:rPr>
                <w:b/>
              </w:rPr>
              <w:t>Administered</w:t>
            </w:r>
          </w:p>
        </w:tc>
        <w:tc>
          <w:tcPr>
            <w:tcW w:w="1414" w:type="dxa"/>
          </w:tcPr>
          <w:p w14:paraId="110D872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46" w:type="dxa"/>
          </w:tcPr>
          <w:p w14:paraId="4F07301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1CD00C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10A2C58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4F7FB41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8" w:type="dxa"/>
          </w:tcPr>
          <w:p w14:paraId="712CA2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60" w:type="dxa"/>
          </w:tcPr>
          <w:p w14:paraId="5853D82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6" w:type="dxa"/>
          </w:tcPr>
          <w:p w14:paraId="23980AD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275" w:type="dxa"/>
          </w:tcPr>
          <w:p w14:paraId="1AE4963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21" w:type="dxa"/>
          </w:tcPr>
          <w:p w14:paraId="4E62EF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844F19C" w14:textId="77777777" w:rsidTr="008E5233">
        <w:tc>
          <w:tcPr>
            <w:cnfStyle w:val="001000000000" w:firstRow="0" w:lastRow="0" w:firstColumn="1" w:lastColumn="0" w:oddVBand="0" w:evenVBand="0" w:oddHBand="0" w:evenHBand="0" w:firstRowFirstColumn="0" w:firstRowLastColumn="0" w:lastRowFirstColumn="0" w:lastRowLastColumn="0"/>
            <w:tcW w:w="3261" w:type="dxa"/>
            <w:tcBorders>
              <w:bottom w:val="single" w:sz="12" w:space="0" w:color="auto"/>
            </w:tcBorders>
          </w:tcPr>
          <w:p w14:paraId="14576ED5" w14:textId="77777777" w:rsidR="008E5233" w:rsidRDefault="005648A9">
            <w:r>
              <w:t>Payments made on behalf of the State</w:t>
            </w:r>
          </w:p>
        </w:tc>
        <w:tc>
          <w:tcPr>
            <w:tcW w:w="1414" w:type="dxa"/>
            <w:tcBorders>
              <w:bottom w:val="single" w:sz="12" w:space="0" w:color="auto"/>
            </w:tcBorders>
          </w:tcPr>
          <w:p w14:paraId="794397C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46" w:type="dxa"/>
            <w:tcBorders>
              <w:bottom w:val="single" w:sz="12" w:space="0" w:color="auto"/>
            </w:tcBorders>
          </w:tcPr>
          <w:p w14:paraId="3122823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Borders>
              <w:bottom w:val="single" w:sz="12" w:space="0" w:color="auto"/>
            </w:tcBorders>
          </w:tcPr>
          <w:p w14:paraId="13E93DA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75EE53A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28" w:type="dxa"/>
            <w:tcBorders>
              <w:bottom w:val="single" w:sz="12" w:space="0" w:color="auto"/>
            </w:tcBorders>
          </w:tcPr>
          <w:p w14:paraId="530C2BC5"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8" w:type="dxa"/>
            <w:tcBorders>
              <w:bottom w:val="single" w:sz="12" w:space="0" w:color="auto"/>
            </w:tcBorders>
          </w:tcPr>
          <w:p w14:paraId="14F8196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60" w:type="dxa"/>
            <w:tcBorders>
              <w:bottom w:val="single" w:sz="12" w:space="0" w:color="auto"/>
            </w:tcBorders>
          </w:tcPr>
          <w:p w14:paraId="0CF27EE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276" w:type="dxa"/>
            <w:tcBorders>
              <w:bottom w:val="single" w:sz="12" w:space="0" w:color="auto"/>
            </w:tcBorders>
          </w:tcPr>
          <w:p w14:paraId="4DFAFD2B"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275" w:type="dxa"/>
            <w:tcBorders>
              <w:bottom w:val="single" w:sz="12" w:space="0" w:color="auto"/>
            </w:tcBorders>
          </w:tcPr>
          <w:p w14:paraId="30CF3CA1"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10 869</w:t>
            </w:r>
          </w:p>
        </w:tc>
        <w:tc>
          <w:tcPr>
            <w:tcW w:w="1021" w:type="dxa"/>
            <w:tcBorders>
              <w:bottom w:val="single" w:sz="12" w:space="0" w:color="auto"/>
            </w:tcBorders>
          </w:tcPr>
          <w:p w14:paraId="1955B6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4CBD12A8" w14:textId="77777777" w:rsidTr="00182709">
        <w:tc>
          <w:tcPr>
            <w:cnfStyle w:val="001000000000" w:firstRow="0" w:lastRow="0" w:firstColumn="1" w:lastColumn="0" w:oddVBand="0" w:evenVBand="0" w:oddHBand="0" w:evenHBand="0" w:firstRowFirstColumn="0" w:firstRowLastColumn="0" w:lastRowFirstColumn="0" w:lastRowLastColumn="0"/>
            <w:tcW w:w="3261" w:type="dxa"/>
          </w:tcPr>
          <w:p w14:paraId="57F59801" w14:textId="77777777" w:rsidR="008E5233" w:rsidRDefault="005648A9">
            <w:r>
              <w:rPr>
                <w:b/>
              </w:rPr>
              <w:t>20X1 total</w:t>
            </w:r>
          </w:p>
        </w:tc>
        <w:tc>
          <w:tcPr>
            <w:tcW w:w="1414" w:type="dxa"/>
          </w:tcPr>
          <w:p w14:paraId="03D550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79 854</w:t>
            </w:r>
          </w:p>
        </w:tc>
        <w:tc>
          <w:tcPr>
            <w:tcW w:w="1246" w:type="dxa"/>
          </w:tcPr>
          <w:p w14:paraId="2974AB0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Pr>
          <w:p w14:paraId="7BD2D8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1 000</w:t>
            </w:r>
          </w:p>
        </w:tc>
        <w:tc>
          <w:tcPr>
            <w:tcW w:w="1028" w:type="dxa"/>
          </w:tcPr>
          <w:p w14:paraId="62CC85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11 403</w:t>
            </w:r>
          </w:p>
        </w:tc>
        <w:tc>
          <w:tcPr>
            <w:tcW w:w="1028" w:type="dxa"/>
          </w:tcPr>
          <w:p w14:paraId="5B322AA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28" w:type="dxa"/>
          </w:tcPr>
          <w:p w14:paraId="2E9BF1F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697</w:t>
            </w:r>
          </w:p>
        </w:tc>
        <w:tc>
          <w:tcPr>
            <w:tcW w:w="960" w:type="dxa"/>
          </w:tcPr>
          <w:p w14:paraId="2F9F20C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276" w:type="dxa"/>
          </w:tcPr>
          <w:p w14:paraId="06B9FA3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92 953</w:t>
            </w:r>
          </w:p>
        </w:tc>
        <w:tc>
          <w:tcPr>
            <w:tcW w:w="1275" w:type="dxa"/>
          </w:tcPr>
          <w:p w14:paraId="27BFF9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85 947</w:t>
            </w:r>
          </w:p>
        </w:tc>
        <w:tc>
          <w:tcPr>
            <w:tcW w:w="1021" w:type="dxa"/>
          </w:tcPr>
          <w:p w14:paraId="0AD74D9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7 006</w:t>
            </w:r>
          </w:p>
        </w:tc>
      </w:tr>
    </w:tbl>
    <w:p w14:paraId="0D4975FF" w14:textId="247F76AC" w:rsidR="003719CD" w:rsidRDefault="003719CD" w:rsidP="001931B1">
      <w:pPr>
        <w:pStyle w:val="Note"/>
      </w:pPr>
      <w:r>
        <w:t>Note</w:t>
      </w:r>
      <w:r w:rsidR="008218C4">
        <w:t>s</w:t>
      </w:r>
      <w:r>
        <w:t>:</w:t>
      </w:r>
      <w:r w:rsidR="007378C6">
        <w:tab/>
      </w:r>
      <w:r w:rsidR="007378C6">
        <w:tab/>
      </w:r>
    </w:p>
    <w:p w14:paraId="251D7FC4" w14:textId="487A558E" w:rsidR="003F0F94" w:rsidRDefault="001931B1" w:rsidP="001931B1">
      <w:pPr>
        <w:pStyle w:val="Note"/>
        <w:rPr>
          <w:rFonts w:ascii="Arial" w:hAnsi="Arial" w:cs="Arial"/>
          <w:iCs/>
          <w:szCs w:val="14"/>
        </w:rPr>
      </w:pPr>
      <w:r>
        <w:rPr>
          <w:iCs/>
          <w:szCs w:val="14"/>
        </w:rPr>
        <w:t>(a)</w:t>
      </w:r>
      <w:r>
        <w:rPr>
          <w:iCs/>
          <w:szCs w:val="14"/>
        </w:rPr>
        <w:tab/>
      </w:r>
      <w:r w:rsidR="003F0F94" w:rsidRPr="00432865">
        <w:rPr>
          <w:iCs/>
          <w:szCs w:val="14"/>
        </w:rPr>
        <w:t>The specific purpose</w:t>
      </w:r>
      <w:r w:rsidR="00787ECC" w:rsidRPr="00432865">
        <w:rPr>
          <w:iCs/>
          <w:szCs w:val="14"/>
        </w:rPr>
        <w:t>(</w:t>
      </w:r>
      <w:r w:rsidR="003F0F94" w:rsidRPr="00432865">
        <w:rPr>
          <w:iCs/>
          <w:szCs w:val="14"/>
        </w:rPr>
        <w:t>s</w:t>
      </w:r>
      <w:r w:rsidR="00787ECC" w:rsidRPr="00432865">
        <w:rPr>
          <w:iCs/>
          <w:szCs w:val="14"/>
        </w:rPr>
        <w:t>)</w:t>
      </w:r>
      <w:r w:rsidR="003F0F94" w:rsidRPr="00432865">
        <w:rPr>
          <w:iCs/>
          <w:szCs w:val="14"/>
        </w:rPr>
        <w:t xml:space="preserve"> of this supplementary funding has/have been disclosed in the </w:t>
      </w:r>
      <w:r w:rsidR="00787ECC" w:rsidRPr="00432865">
        <w:rPr>
          <w:iCs/>
          <w:szCs w:val="14"/>
        </w:rPr>
        <w:t>State</w:t>
      </w:r>
      <w:r w:rsidR="003F0F94" w:rsidRPr="00432865">
        <w:rPr>
          <w:iCs/>
          <w:szCs w:val="14"/>
        </w:rPr>
        <w:t xml:space="preserve">’s </w:t>
      </w:r>
      <w:r w:rsidR="003F0F94" w:rsidRPr="001931B1">
        <w:rPr>
          <w:i w:val="0"/>
          <w:iCs/>
          <w:szCs w:val="14"/>
        </w:rPr>
        <w:t>Annual Financial Report</w:t>
      </w:r>
      <w:r w:rsidR="003F0F94" w:rsidRPr="00432865">
        <w:rPr>
          <w:iCs/>
          <w:szCs w:val="14"/>
        </w:rPr>
        <w:t xml:space="preserve">. </w:t>
      </w:r>
      <w:r w:rsidR="00787ECC" w:rsidRPr="00432865">
        <w:rPr>
          <w:iCs/>
          <w:szCs w:val="14"/>
        </w:rPr>
        <w:t>T</w:t>
      </w:r>
      <w:r w:rsidR="003F0F94" w:rsidRPr="00432865">
        <w:rPr>
          <w:iCs/>
          <w:szCs w:val="14"/>
        </w:rPr>
        <w:t>his funding has been fully spent/applied in the current financial year &lt;or if not, please provide a summary of circumstances/rationale</w:t>
      </w:r>
      <w:r w:rsidR="006E0933" w:rsidRPr="00432865">
        <w:rPr>
          <w:iCs/>
          <w:szCs w:val="14"/>
        </w:rPr>
        <w:t>&gt;</w:t>
      </w:r>
      <w:r w:rsidR="003F0F94" w:rsidRPr="00432865">
        <w:rPr>
          <w:rFonts w:ascii="Arial" w:hAnsi="Arial" w:cs="Arial"/>
          <w:iCs/>
          <w:szCs w:val="14"/>
        </w:rPr>
        <w:t>.  </w:t>
      </w:r>
    </w:p>
    <w:p w14:paraId="49587E9B" w14:textId="21FEAC17" w:rsidR="004041F3" w:rsidRDefault="001931B1" w:rsidP="001931B1">
      <w:pPr>
        <w:pStyle w:val="Note"/>
      </w:pPr>
      <w:r>
        <w:t>(b)</w:t>
      </w:r>
      <w:r>
        <w:tab/>
      </w:r>
      <w:r w:rsidR="004041F3">
        <w:t>The variance is primarily related to agreed changes in committed projects being delivered in the next financial year.</w:t>
      </w:r>
    </w:p>
    <w:p w14:paraId="0D6F2B33" w14:textId="77777777" w:rsidR="004041F3" w:rsidRPr="00432865" w:rsidRDefault="004041F3" w:rsidP="00432865">
      <w:pPr>
        <w:pStyle w:val="ListParagraph"/>
        <w:keepLines w:val="0"/>
        <w:spacing w:before="0" w:after="160" w:line="259" w:lineRule="auto"/>
        <w:ind w:left="720"/>
        <w:contextualSpacing/>
        <w:rPr>
          <w:rFonts w:ascii="Arial" w:hAnsi="Arial" w:cs="Arial"/>
          <w:i/>
          <w:iCs/>
          <w:sz w:val="14"/>
          <w:szCs w:val="14"/>
        </w:rPr>
      </w:pPr>
    </w:p>
    <w:p w14:paraId="1341F100" w14:textId="77777777" w:rsidR="003F0F94" w:rsidRDefault="003F0F94" w:rsidP="00F56EE3">
      <w:pPr>
        <w:pStyle w:val="Note"/>
        <w:ind w:left="758" w:firstLine="0"/>
      </w:pPr>
    </w:p>
    <w:p w14:paraId="028A8FFE" w14:textId="77777777" w:rsidR="003719CD" w:rsidRDefault="003719CD" w:rsidP="00DC39DE"/>
    <w:p w14:paraId="77310767" w14:textId="77777777" w:rsidR="003719CD" w:rsidRDefault="003719CD" w:rsidP="00DC39DE"/>
    <w:p w14:paraId="0A4CA36F" w14:textId="77777777" w:rsidR="007378C6" w:rsidRDefault="007378C6" w:rsidP="00FC457C"/>
    <w:p w14:paraId="18C2B853" w14:textId="641B6709" w:rsidR="007378C6" w:rsidRPr="007378C6" w:rsidRDefault="007378C6" w:rsidP="007378C6">
      <w:pPr>
        <w:sectPr w:rsidR="007378C6" w:rsidRPr="007378C6" w:rsidSect="00EC0B6B">
          <w:headerReference w:type="even" r:id="rId37"/>
          <w:headerReference w:type="default" r:id="rId38"/>
          <w:footerReference w:type="even" r:id="rId39"/>
          <w:footerReference w:type="default" r:id="rId40"/>
          <w:headerReference w:type="first" r:id="rId41"/>
          <w:footerReference w:type="first" r:id="rId42"/>
          <w:pgSz w:w="16838" w:h="11906" w:orient="landscape" w:code="9"/>
          <w:pgMar w:top="1134" w:right="1134" w:bottom="1134" w:left="1134" w:header="624" w:footer="567" w:gutter="0"/>
          <w:cols w:space="708"/>
          <w:docGrid w:linePitch="360"/>
        </w:sectPr>
      </w:pPr>
    </w:p>
    <w:p w14:paraId="012612B6" w14:textId="77777777" w:rsidR="003719CD" w:rsidRDefault="003719CD" w:rsidP="00DC39DE">
      <w:r>
        <w:lastRenderedPageBreak/>
        <w:t>The following table discloses the details of compliance with special appropriations:</w:t>
      </w:r>
    </w:p>
    <w:p w14:paraId="2CA89055"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3828"/>
        <w:gridCol w:w="3827"/>
        <w:gridCol w:w="1077"/>
        <w:gridCol w:w="907"/>
      </w:tblGrid>
      <w:tr w:rsidR="008E5233" w14:paraId="3799638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Borders>
              <w:bottom w:val="single" w:sz="12" w:space="0" w:color="auto"/>
            </w:tcBorders>
          </w:tcPr>
          <w:p w14:paraId="5C520062" w14:textId="77777777" w:rsidR="008E5233" w:rsidRDefault="008E5233">
            <w:pPr>
              <w:keepNext/>
            </w:pPr>
          </w:p>
        </w:tc>
        <w:tc>
          <w:tcPr>
            <w:tcW w:w="3827" w:type="dxa"/>
            <w:tcBorders>
              <w:bottom w:val="single" w:sz="12" w:space="0" w:color="auto"/>
            </w:tcBorders>
          </w:tcPr>
          <w:p w14:paraId="50E5A22B" w14:textId="77777777" w:rsidR="008E5233" w:rsidRDefault="008E5233">
            <w:pPr>
              <w:keepNext/>
              <w:jc w:val="left"/>
              <w:cnfStyle w:val="100000000000" w:firstRow="1" w:lastRow="0" w:firstColumn="0" w:lastColumn="0" w:oddVBand="0" w:evenVBand="0" w:oddHBand="0" w:evenHBand="0" w:firstRowFirstColumn="0" w:firstRowLastColumn="0" w:lastRowFirstColumn="0" w:lastRowLastColumn="0"/>
            </w:pPr>
          </w:p>
        </w:tc>
        <w:tc>
          <w:tcPr>
            <w:tcW w:w="1984" w:type="dxa"/>
            <w:gridSpan w:val="2"/>
            <w:tcBorders>
              <w:bottom w:val="single" w:sz="12" w:space="0" w:color="auto"/>
            </w:tcBorders>
          </w:tcPr>
          <w:p w14:paraId="148B1B0C"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Appropriations applied</w:t>
            </w:r>
          </w:p>
        </w:tc>
      </w:tr>
      <w:tr w:rsidR="00671D55" w14:paraId="628B421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828" w:type="dxa"/>
          </w:tcPr>
          <w:p w14:paraId="128B95B9" w14:textId="77777777" w:rsidR="008E5233" w:rsidRDefault="005648A9">
            <w:pPr>
              <w:keepNext/>
            </w:pPr>
            <w:r>
              <w:t>Authority</w:t>
            </w:r>
          </w:p>
        </w:tc>
        <w:tc>
          <w:tcPr>
            <w:tcW w:w="3827" w:type="dxa"/>
          </w:tcPr>
          <w:p w14:paraId="0FFB9AB9" w14:textId="77777777" w:rsidR="008E5233" w:rsidRDefault="005648A9">
            <w:pPr>
              <w:keepNext/>
              <w:jc w:val="left"/>
              <w:cnfStyle w:val="100000000000" w:firstRow="1" w:lastRow="0" w:firstColumn="0" w:lastColumn="0" w:oddVBand="0" w:evenVBand="0" w:oddHBand="0" w:evenHBand="0" w:firstRowFirstColumn="0" w:firstRowLastColumn="0" w:lastRowFirstColumn="0" w:lastRowLastColumn="0"/>
            </w:pPr>
            <w:r>
              <w:t>Purpose</w:t>
            </w:r>
          </w:p>
        </w:tc>
        <w:tc>
          <w:tcPr>
            <w:tcW w:w="1077" w:type="dxa"/>
          </w:tcPr>
          <w:p w14:paraId="426B6DBE" w14:textId="40DFE4D2" w:rsidR="008E5233" w:rsidRDefault="001931B1">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t>20X2</w:t>
              </w:r>
            </w:fldSimple>
          </w:p>
        </w:tc>
        <w:tc>
          <w:tcPr>
            <w:tcW w:w="907" w:type="dxa"/>
          </w:tcPr>
          <w:p w14:paraId="2E5DF741" w14:textId="6D29C92A" w:rsidR="008E5233" w:rsidRDefault="001931B1">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t>20X1</w:t>
              </w:r>
            </w:fldSimple>
          </w:p>
        </w:tc>
      </w:tr>
      <w:tr w:rsidR="008E5233" w14:paraId="3CC5B84E" w14:textId="77777777">
        <w:tc>
          <w:tcPr>
            <w:cnfStyle w:val="001000000000" w:firstRow="0" w:lastRow="0" w:firstColumn="1" w:lastColumn="0" w:oddVBand="0" w:evenVBand="0" w:oddHBand="0" w:evenHBand="0" w:firstRowFirstColumn="0" w:firstRowLastColumn="0" w:lastRowFirstColumn="0" w:lastRowLastColumn="0"/>
            <w:tcW w:w="3828" w:type="dxa"/>
          </w:tcPr>
          <w:p w14:paraId="5966C5C6" w14:textId="77777777" w:rsidR="008E5233" w:rsidRDefault="005648A9">
            <w:r>
              <w:t xml:space="preserve">The </w:t>
            </w:r>
            <w:r>
              <w:rPr>
                <w:i/>
              </w:rPr>
              <w:t>Technology Act 1970</w:t>
            </w:r>
            <w:r>
              <w:t>, section 34</w:t>
            </w:r>
          </w:p>
        </w:tc>
        <w:tc>
          <w:tcPr>
            <w:tcW w:w="3827" w:type="dxa"/>
          </w:tcPr>
          <w:p w14:paraId="56BE1DBC" w14:textId="77777777" w:rsidR="008E5233" w:rsidRDefault="005648A9">
            <w:pPr>
              <w:jc w:val="left"/>
              <w:cnfStyle w:val="000000000000" w:firstRow="0" w:lastRow="0" w:firstColumn="0" w:lastColumn="0" w:oddVBand="0" w:evenVBand="0" w:oddHBand="0" w:evenHBand="0" w:firstRowFirstColumn="0" w:firstRowLastColumn="0" w:lastRowFirstColumn="0" w:lastRowLastColumn="0"/>
            </w:pPr>
            <w:r>
              <w:t>Data storage and security</w:t>
            </w:r>
          </w:p>
        </w:tc>
        <w:tc>
          <w:tcPr>
            <w:tcW w:w="1077" w:type="dxa"/>
          </w:tcPr>
          <w:p w14:paraId="5687A936" w14:textId="77777777" w:rsidR="008E5233" w:rsidRDefault="005648A9">
            <w:pPr>
              <w:cnfStyle w:val="000000000000" w:firstRow="0" w:lastRow="0" w:firstColumn="0" w:lastColumn="0" w:oddVBand="0" w:evenVBand="0" w:oddHBand="0" w:evenHBand="0" w:firstRowFirstColumn="0" w:firstRowLastColumn="0" w:lastRowFirstColumn="0" w:lastRowLastColumn="0"/>
            </w:pPr>
            <w:r>
              <w:t>3 251</w:t>
            </w:r>
          </w:p>
        </w:tc>
        <w:tc>
          <w:tcPr>
            <w:tcW w:w="907" w:type="dxa"/>
          </w:tcPr>
          <w:p w14:paraId="2D735662" w14:textId="77777777" w:rsidR="008E5233" w:rsidRDefault="005648A9">
            <w:pPr>
              <w:cnfStyle w:val="000000000000" w:firstRow="0" w:lastRow="0" w:firstColumn="0" w:lastColumn="0" w:oddVBand="0" w:evenVBand="0" w:oddHBand="0" w:evenHBand="0" w:firstRowFirstColumn="0" w:firstRowLastColumn="0" w:lastRowFirstColumn="0" w:lastRowLastColumn="0"/>
            </w:pPr>
            <w:r>
              <w:t>4 558</w:t>
            </w:r>
          </w:p>
        </w:tc>
      </w:tr>
      <w:tr w:rsidR="008E5233" w14:paraId="7E09C983" w14:textId="77777777" w:rsidTr="008E5233">
        <w:tc>
          <w:tcPr>
            <w:cnfStyle w:val="001000000000" w:firstRow="0" w:lastRow="0" w:firstColumn="1" w:lastColumn="0" w:oddVBand="0" w:evenVBand="0" w:oddHBand="0" w:evenHBand="0" w:firstRowFirstColumn="0" w:firstRowLastColumn="0" w:lastRowFirstColumn="0" w:lastRowLastColumn="0"/>
            <w:tcW w:w="3828" w:type="dxa"/>
            <w:tcBorders>
              <w:bottom w:val="single" w:sz="12" w:space="0" w:color="auto"/>
            </w:tcBorders>
          </w:tcPr>
          <w:p w14:paraId="083C65DA" w14:textId="77777777" w:rsidR="008E5233" w:rsidRDefault="005648A9">
            <w:r>
              <w:t xml:space="preserve">The </w:t>
            </w:r>
            <w:r>
              <w:rPr>
                <w:i/>
              </w:rPr>
              <w:t>New Technology Act 1998</w:t>
            </w:r>
            <w:r>
              <w:t>, section 45</w:t>
            </w:r>
          </w:p>
        </w:tc>
        <w:tc>
          <w:tcPr>
            <w:tcW w:w="3827" w:type="dxa"/>
            <w:tcBorders>
              <w:bottom w:val="single" w:sz="12" w:space="0" w:color="auto"/>
            </w:tcBorders>
          </w:tcPr>
          <w:p w14:paraId="101C03B0" w14:textId="77777777" w:rsidR="008E5233" w:rsidRDefault="005648A9">
            <w:pPr>
              <w:jc w:val="left"/>
              <w:cnfStyle w:val="000000000000" w:firstRow="0" w:lastRow="0" w:firstColumn="0" w:lastColumn="0" w:oddVBand="0" w:evenVBand="0" w:oddHBand="0" w:evenHBand="0" w:firstRowFirstColumn="0" w:firstRowLastColumn="0" w:lastRowFirstColumn="0" w:lastRowLastColumn="0"/>
            </w:pPr>
            <w:r>
              <w:t>Contributions to hospital research facilities</w:t>
            </w:r>
          </w:p>
        </w:tc>
        <w:tc>
          <w:tcPr>
            <w:tcW w:w="1077" w:type="dxa"/>
            <w:tcBorders>
              <w:bottom w:val="single" w:sz="12" w:space="0" w:color="auto"/>
            </w:tcBorders>
          </w:tcPr>
          <w:p w14:paraId="1DC61FDA" w14:textId="77777777" w:rsidR="008E5233" w:rsidRDefault="005648A9">
            <w:pPr>
              <w:cnfStyle w:val="000000000000" w:firstRow="0" w:lastRow="0" w:firstColumn="0" w:lastColumn="0" w:oddVBand="0" w:evenVBand="0" w:oddHBand="0" w:evenHBand="0" w:firstRowFirstColumn="0" w:firstRowLastColumn="0" w:lastRowFirstColumn="0" w:lastRowLastColumn="0"/>
            </w:pPr>
            <w:r>
              <w:t>4 877</w:t>
            </w:r>
          </w:p>
        </w:tc>
        <w:tc>
          <w:tcPr>
            <w:tcW w:w="907" w:type="dxa"/>
            <w:tcBorders>
              <w:bottom w:val="single" w:sz="12" w:space="0" w:color="auto"/>
            </w:tcBorders>
          </w:tcPr>
          <w:p w14:paraId="54C0A86A" w14:textId="77777777" w:rsidR="008E5233" w:rsidRDefault="005648A9">
            <w:pPr>
              <w:cnfStyle w:val="000000000000" w:firstRow="0" w:lastRow="0" w:firstColumn="0" w:lastColumn="0" w:oddVBand="0" w:evenVBand="0" w:oddHBand="0" w:evenHBand="0" w:firstRowFirstColumn="0" w:firstRowLastColumn="0" w:lastRowFirstColumn="0" w:lastRowLastColumn="0"/>
            </w:pPr>
            <w:r>
              <w:t>6 838</w:t>
            </w:r>
          </w:p>
        </w:tc>
      </w:tr>
      <w:tr w:rsidR="00671D55" w14:paraId="3821F895" w14:textId="77777777" w:rsidTr="00182709">
        <w:tc>
          <w:tcPr>
            <w:cnfStyle w:val="001000000000" w:firstRow="0" w:lastRow="0" w:firstColumn="1" w:lastColumn="0" w:oddVBand="0" w:evenVBand="0" w:oddHBand="0" w:evenHBand="0" w:firstRowFirstColumn="0" w:firstRowLastColumn="0" w:lastRowFirstColumn="0" w:lastRowLastColumn="0"/>
            <w:tcW w:w="3828" w:type="dxa"/>
          </w:tcPr>
          <w:p w14:paraId="5884B314" w14:textId="77777777" w:rsidR="008E5233" w:rsidRDefault="008E5233"/>
        </w:tc>
        <w:tc>
          <w:tcPr>
            <w:tcW w:w="3827" w:type="dxa"/>
          </w:tcPr>
          <w:p w14:paraId="75D6F648" w14:textId="77777777" w:rsidR="008E5233" w:rsidRDefault="008E5233">
            <w:pPr>
              <w:jc w:val="left"/>
              <w:cnfStyle w:val="000000000000" w:firstRow="0" w:lastRow="0" w:firstColumn="0" w:lastColumn="0" w:oddVBand="0" w:evenVBand="0" w:oddHBand="0" w:evenHBand="0" w:firstRowFirstColumn="0" w:firstRowLastColumn="0" w:lastRowFirstColumn="0" w:lastRowLastColumn="0"/>
            </w:pPr>
          </w:p>
        </w:tc>
        <w:tc>
          <w:tcPr>
            <w:tcW w:w="1077" w:type="dxa"/>
          </w:tcPr>
          <w:p w14:paraId="52B317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8 128</w:t>
            </w:r>
          </w:p>
        </w:tc>
        <w:tc>
          <w:tcPr>
            <w:tcW w:w="907" w:type="dxa"/>
          </w:tcPr>
          <w:p w14:paraId="3B8DE0D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11 396</w:t>
            </w:r>
          </w:p>
        </w:tc>
      </w:tr>
    </w:tbl>
    <w:p w14:paraId="645228F4" w14:textId="77777777" w:rsidR="003719CD" w:rsidRDefault="003719CD" w:rsidP="00DC39DE"/>
    <w:p w14:paraId="3EF9FAA6" w14:textId="77777777" w:rsidR="003719CD" w:rsidRDefault="003719CD" w:rsidP="007D536F">
      <w:pPr>
        <w:pStyle w:val="GuidanceBlockHeading"/>
      </w:pPr>
      <w:r>
        <w:t>Guidance – Summary of compliance with annual parliamentary and special appropriations</w:t>
      </w:r>
    </w:p>
    <w:p w14:paraId="3E09929C" w14:textId="31CFA7FA" w:rsidR="00E65A34" w:rsidRDefault="00E65A34" w:rsidP="00DC39DE">
      <w:pPr>
        <w:rPr>
          <w:rStyle w:val="Guidance"/>
        </w:rPr>
      </w:pPr>
      <w:r w:rsidRPr="00956D29">
        <w:rPr>
          <w:rStyle w:val="Guidance"/>
        </w:rPr>
        <w:t xml:space="preserve">In satisfying the disclosure requirements of AASB 1058.39, reference should be made to FRD 13 </w:t>
      </w:r>
      <w:r w:rsidRPr="002A3F69">
        <w:rPr>
          <w:rStyle w:val="Guidance"/>
          <w:i/>
          <w:iCs/>
        </w:rPr>
        <w:t xml:space="preserve">Disclosure of Parliamentary </w:t>
      </w:r>
      <w:r>
        <w:rPr>
          <w:rStyle w:val="Guidance"/>
          <w:i/>
          <w:iCs/>
        </w:rPr>
        <w:t>a</w:t>
      </w:r>
      <w:r w:rsidRPr="002A3F69">
        <w:rPr>
          <w:rStyle w:val="Guidance"/>
          <w:i/>
          <w:iCs/>
        </w:rPr>
        <w:t>ppropriations</w:t>
      </w:r>
      <w:r w:rsidRPr="00956D29">
        <w:rPr>
          <w:rStyle w:val="Guidance"/>
        </w:rPr>
        <w:t xml:space="preserve"> for the format to be followed in disclosing annual and special appropriations. </w:t>
      </w:r>
    </w:p>
    <w:p w14:paraId="17117C43" w14:textId="49B4F436" w:rsidR="003719CD" w:rsidRPr="00956D29" w:rsidRDefault="003719CD" w:rsidP="00DC39DE">
      <w:pPr>
        <w:rPr>
          <w:rStyle w:val="Guidance"/>
        </w:rPr>
      </w:pPr>
      <w:r w:rsidRPr="00956D29">
        <w:rPr>
          <w:rStyle w:val="Guidance"/>
        </w:rPr>
        <w:t>A government department shall disclose separately:</w:t>
      </w:r>
    </w:p>
    <w:p w14:paraId="14D8D489" w14:textId="77777777" w:rsidR="003719CD" w:rsidRPr="00956D29" w:rsidRDefault="003719CD" w:rsidP="5A2E01D0">
      <w:pPr>
        <w:pStyle w:val="ListAlpha"/>
        <w:rPr>
          <w:rStyle w:val="Guidance"/>
        </w:rPr>
      </w:pPr>
      <w:r w:rsidRPr="00956D29">
        <w:rPr>
          <w:rStyle w:val="Guidance"/>
        </w:rPr>
        <w:t>a summary of the recurrent, capital or other major categories of appropriations, disclosing separately:</w:t>
      </w:r>
    </w:p>
    <w:p w14:paraId="5D5E361A" w14:textId="2A577C28" w:rsidR="003719CD" w:rsidRPr="00956D29" w:rsidRDefault="003719CD" w:rsidP="00F25E72">
      <w:pPr>
        <w:pStyle w:val="ListBullet2"/>
        <w:rPr>
          <w:rStyle w:val="Guidance"/>
        </w:rPr>
      </w:pPr>
      <w:r w:rsidRPr="00956D29">
        <w:rPr>
          <w:rStyle w:val="Guidance"/>
        </w:rPr>
        <w:t>the original amounts appropriated for the reporting period</w:t>
      </w:r>
    </w:p>
    <w:p w14:paraId="024E7557" w14:textId="09975FF3" w:rsidR="003719CD" w:rsidRPr="00956D29" w:rsidRDefault="003719CD" w:rsidP="00F25E72">
      <w:pPr>
        <w:pStyle w:val="ListBullet2"/>
        <w:rPr>
          <w:rStyle w:val="Guidance"/>
        </w:rPr>
      </w:pPr>
      <w:r w:rsidRPr="00956D29">
        <w:rPr>
          <w:rStyle w:val="Guidance"/>
        </w:rPr>
        <w:t>the total amounts appropriated for the reporting period</w:t>
      </w:r>
      <w:r w:rsidR="007D751F">
        <w:rPr>
          <w:rStyle w:val="Guidance"/>
        </w:rPr>
        <w:t>.</w:t>
      </w:r>
    </w:p>
    <w:p w14:paraId="16F841AE" w14:textId="609A2A6F" w:rsidR="003719CD" w:rsidRPr="00956D29" w:rsidRDefault="003719CD" w:rsidP="00310F12">
      <w:pPr>
        <w:pStyle w:val="ListAlpha"/>
        <w:rPr>
          <w:rStyle w:val="Guidance"/>
        </w:rPr>
      </w:pPr>
      <w:r w:rsidRPr="00956D29">
        <w:rPr>
          <w:rStyle w:val="Guidance"/>
        </w:rPr>
        <w:t>amounts authorised other than by way of appropriation and advanced separately by the Treasurer, other Minister or other legislative authority for the reporting period</w:t>
      </w:r>
    </w:p>
    <w:p w14:paraId="4CFC7718" w14:textId="39525139" w:rsidR="003719CD" w:rsidRPr="00956D29" w:rsidRDefault="003719CD" w:rsidP="00310F12">
      <w:pPr>
        <w:pStyle w:val="ListAlpha"/>
        <w:rPr>
          <w:rStyle w:val="Guidance"/>
        </w:rPr>
      </w:pPr>
      <w:r w:rsidRPr="00956D29">
        <w:rPr>
          <w:rStyle w:val="Guidance"/>
        </w:rPr>
        <w:t xml:space="preserve">the expenditures for the reporting period in respect of each of the items </w:t>
      </w:r>
      <w:r w:rsidRPr="002A3F69">
        <w:rPr>
          <w:rStyle w:val="Guidance"/>
        </w:rPr>
        <w:t xml:space="preserve">disclosed in </w:t>
      </w:r>
      <w:r>
        <w:rPr>
          <w:rStyle w:val="Guidance"/>
        </w:rPr>
        <w:t>(a)</w:t>
      </w:r>
      <w:r w:rsidRPr="002A3F69">
        <w:rPr>
          <w:rStyle w:val="Guidance"/>
        </w:rPr>
        <w:t xml:space="preserve"> and </w:t>
      </w:r>
      <w:r>
        <w:rPr>
          <w:rStyle w:val="Guidance"/>
        </w:rPr>
        <w:t>(b)</w:t>
      </w:r>
      <w:r w:rsidRPr="002A3F69">
        <w:rPr>
          <w:rStyle w:val="Guidance"/>
        </w:rPr>
        <w:t xml:space="preserve"> above</w:t>
      </w:r>
    </w:p>
    <w:p w14:paraId="08AA883F" w14:textId="155AC103" w:rsidR="005439BA" w:rsidRPr="00956D29" w:rsidRDefault="003719CD" w:rsidP="005439BA">
      <w:pPr>
        <w:pStyle w:val="ListAlpha"/>
        <w:rPr>
          <w:rStyle w:val="Guidance"/>
        </w:rPr>
      </w:pPr>
      <w:r w:rsidRPr="00956D29">
        <w:rPr>
          <w:rStyle w:val="Guidance"/>
        </w:rPr>
        <w:t>the reasons for any material variances between the amounts appropriated or otherwise authorised and the associated expenditures for the reporting period</w:t>
      </w:r>
      <w:r w:rsidR="005439BA">
        <w:rPr>
          <w:rStyle w:val="Guidance"/>
        </w:rPr>
        <w:t>. This includes disclosing any financial consequences for the entity as a result of unauthorised expenditure</w:t>
      </w:r>
    </w:p>
    <w:p w14:paraId="02975C0B" w14:textId="68A3C2BE" w:rsidR="003719CD" w:rsidRPr="00956D29" w:rsidRDefault="005439BA" w:rsidP="005439BA">
      <w:pPr>
        <w:pStyle w:val="ListAlpha"/>
        <w:rPr>
          <w:rStyle w:val="Guidance"/>
        </w:rPr>
      </w:pPr>
      <w:r>
        <w:rPr>
          <w:rStyle w:val="Guidance"/>
        </w:rPr>
        <w:t xml:space="preserve">the </w:t>
      </w:r>
      <w:r w:rsidRPr="00956D29">
        <w:rPr>
          <w:rStyle w:val="Guidance"/>
        </w:rPr>
        <w:t>reasons</w:t>
      </w:r>
      <w:r w:rsidR="003719CD" w:rsidRPr="00956D29">
        <w:rPr>
          <w:rStyle w:val="Guidance"/>
        </w:rPr>
        <w:t xml:space="preserve"> for any transfers greater than $10 million between capital and operating expenditure, pursuant to section 30 of the </w:t>
      </w:r>
      <w:r w:rsidR="003719CD" w:rsidRPr="00956D29">
        <w:rPr>
          <w:rStyle w:val="Guidance"/>
          <w:i/>
          <w:iCs/>
        </w:rPr>
        <w:t>Financial Management Act 1994</w:t>
      </w:r>
      <w:r w:rsidR="003719CD" w:rsidRPr="00956D29">
        <w:rPr>
          <w:rStyle w:val="Guidance"/>
        </w:rPr>
        <w:t xml:space="preserve"> </w:t>
      </w:r>
      <w:r w:rsidR="003719CD" w:rsidRPr="00956D29">
        <w:rPr>
          <w:rStyle w:val="Reference"/>
        </w:rPr>
        <w:t>[based on the recommendation 5, PAEC Report on the 2013-14 and 2014 15 Financial and Performance Outcomes]</w:t>
      </w:r>
      <w:r w:rsidR="003719CD" w:rsidRPr="00956D29">
        <w:rPr>
          <w:rStyle w:val="Guidance"/>
        </w:rPr>
        <w:t xml:space="preserve"> </w:t>
      </w:r>
    </w:p>
    <w:p w14:paraId="2BE802B9" w14:textId="3537EF49" w:rsidR="00590389" w:rsidRPr="005439BA" w:rsidRDefault="003719CD" w:rsidP="00F56EE3">
      <w:pPr>
        <w:pStyle w:val="ListAlpha"/>
        <w:rPr>
          <w:rStyle w:val="Reference"/>
          <w:color w:val="4472C4" w:themeColor="accent1"/>
          <w:sz w:val="18"/>
        </w:rPr>
      </w:pPr>
      <w:r w:rsidRPr="00956D29">
        <w:rPr>
          <w:rStyle w:val="Guidance"/>
        </w:rPr>
        <w:t xml:space="preserve">the nature and probable financial effect of any non-compliance by the government department with externally imposed requirements for the reporting period, not already disclosed by virtue of (d) above, and that are relevant to assessments of the government department’s performance, financial position or financing and investing activities. </w:t>
      </w:r>
      <w:r w:rsidRPr="002A3F69">
        <w:rPr>
          <w:rStyle w:val="Reference"/>
        </w:rPr>
        <w:t>[AASB 1058.40]</w:t>
      </w:r>
    </w:p>
    <w:p w14:paraId="18714471" w14:textId="6246DF3E" w:rsidR="008A41A6" w:rsidRDefault="007A5D40" w:rsidP="007A5D40">
      <w:pPr>
        <w:pStyle w:val="ListAlpha"/>
        <w:numPr>
          <w:ilvl w:val="0"/>
          <w:numId w:val="0"/>
        </w:numPr>
        <w:rPr>
          <w:rStyle w:val="Reference"/>
          <w:color w:val="4472C4" w:themeColor="accent1"/>
          <w:sz w:val="18"/>
        </w:rPr>
      </w:pPr>
      <w:r>
        <w:rPr>
          <w:rStyle w:val="Reference"/>
          <w:color w:val="4472C4" w:themeColor="accent1"/>
          <w:sz w:val="18"/>
        </w:rPr>
        <w:t xml:space="preserve">FRD 13 requires departments </w:t>
      </w:r>
      <w:r w:rsidRPr="001D1C1E">
        <w:rPr>
          <w:rStyle w:val="Reference"/>
          <w:color w:val="4472C4" w:themeColor="accent1"/>
          <w:sz w:val="18"/>
        </w:rPr>
        <w:t>to provide a separate disclosure for each of their approved Treasurers Advance</w:t>
      </w:r>
      <w:r>
        <w:rPr>
          <w:rStyle w:val="Reference"/>
          <w:color w:val="4472C4" w:themeColor="accent1"/>
          <w:sz w:val="18"/>
        </w:rPr>
        <w:t>s</w:t>
      </w:r>
      <w:r w:rsidR="004E3726">
        <w:rPr>
          <w:rStyle w:val="Reference"/>
          <w:color w:val="4472C4" w:themeColor="accent1"/>
          <w:sz w:val="18"/>
        </w:rPr>
        <w:t xml:space="preserve"> (TA)</w:t>
      </w:r>
      <w:r>
        <w:rPr>
          <w:rStyle w:val="Reference"/>
          <w:color w:val="4472C4" w:themeColor="accent1"/>
          <w:sz w:val="18"/>
        </w:rPr>
        <w:t xml:space="preserve"> if</w:t>
      </w:r>
      <w:r w:rsidRPr="001D1C1E">
        <w:rPr>
          <w:rStyle w:val="Reference"/>
          <w:color w:val="4472C4" w:themeColor="accent1"/>
          <w:sz w:val="18"/>
        </w:rPr>
        <w:t xml:space="preserve"> </w:t>
      </w:r>
      <w:r>
        <w:rPr>
          <w:rStyle w:val="Reference"/>
          <w:color w:val="4472C4" w:themeColor="accent1"/>
          <w:sz w:val="18"/>
        </w:rPr>
        <w:t xml:space="preserve">they have not </w:t>
      </w:r>
      <w:r w:rsidRPr="001D1C1E">
        <w:rPr>
          <w:rStyle w:val="Reference"/>
          <w:color w:val="4472C4" w:themeColor="accent1"/>
          <w:sz w:val="18"/>
        </w:rPr>
        <w:t xml:space="preserve">been fully spent or applied in the current year. The objective of this additional disclosure is to </w:t>
      </w:r>
      <w:r w:rsidR="00436E90">
        <w:rPr>
          <w:rStyle w:val="Reference"/>
          <w:color w:val="4472C4" w:themeColor="accent1"/>
          <w:sz w:val="18"/>
        </w:rPr>
        <w:t>align</w:t>
      </w:r>
      <w:r w:rsidRPr="001D1C1E">
        <w:rPr>
          <w:rStyle w:val="Reference"/>
          <w:color w:val="4472C4" w:themeColor="accent1"/>
          <w:sz w:val="18"/>
        </w:rPr>
        <w:t xml:space="preserve"> the cash management and supplementary funding of departments with the Financial Management Framework principles.</w:t>
      </w:r>
      <w:r>
        <w:rPr>
          <w:rStyle w:val="Reference"/>
          <w:color w:val="4472C4" w:themeColor="accent1"/>
          <w:sz w:val="18"/>
        </w:rPr>
        <w:t xml:space="preserve"> This disclosure was also recommended by the Victorian Auditor-General’s Office.</w:t>
      </w:r>
      <w:r w:rsidR="008A41A6">
        <w:rPr>
          <w:rStyle w:val="Reference"/>
          <w:color w:val="4472C4" w:themeColor="accent1"/>
          <w:sz w:val="18"/>
        </w:rPr>
        <w:t xml:space="preserve"> </w:t>
      </w:r>
    </w:p>
    <w:p w14:paraId="79C3579F" w14:textId="49E2AF70" w:rsidR="008A41A6" w:rsidRDefault="008A41A6" w:rsidP="007A5D40">
      <w:pPr>
        <w:pStyle w:val="ListAlpha"/>
        <w:numPr>
          <w:ilvl w:val="0"/>
          <w:numId w:val="0"/>
        </w:numPr>
        <w:rPr>
          <w:rStyle w:val="Reference"/>
          <w:color w:val="4472C4" w:themeColor="accent1"/>
          <w:sz w:val="18"/>
        </w:rPr>
      </w:pPr>
      <w:r w:rsidRPr="00F56EE3">
        <w:rPr>
          <w:rStyle w:val="Reference"/>
          <w:b/>
          <w:bCs/>
          <w:color w:val="4472C4" w:themeColor="accent1"/>
          <w:sz w:val="18"/>
        </w:rPr>
        <w:t>Information to be disclosed:</w:t>
      </w:r>
      <w:r>
        <w:rPr>
          <w:rStyle w:val="Reference"/>
          <w:b/>
          <w:bCs/>
          <w:color w:val="4472C4" w:themeColor="accent1"/>
          <w:sz w:val="18"/>
        </w:rPr>
        <w:t xml:space="preserve"> </w:t>
      </w:r>
      <w:r w:rsidRPr="00F56EE3">
        <w:rPr>
          <w:rStyle w:val="Reference"/>
          <w:color w:val="4472C4" w:themeColor="accent1"/>
          <w:sz w:val="18"/>
        </w:rPr>
        <w:t xml:space="preserve">If the </w:t>
      </w:r>
      <w:r>
        <w:rPr>
          <w:rStyle w:val="Reference"/>
          <w:color w:val="4472C4" w:themeColor="accent1"/>
          <w:sz w:val="18"/>
        </w:rPr>
        <w:t xml:space="preserve">TA </w:t>
      </w:r>
      <w:r w:rsidRPr="00F56EE3">
        <w:rPr>
          <w:rStyle w:val="Reference"/>
          <w:color w:val="4472C4" w:themeColor="accent1"/>
          <w:sz w:val="18"/>
        </w:rPr>
        <w:t>funding hasn’t been fully spent or applied in the current</w:t>
      </w:r>
      <w:r>
        <w:rPr>
          <w:rStyle w:val="Reference"/>
          <w:color w:val="4472C4" w:themeColor="accent1"/>
          <w:sz w:val="18"/>
        </w:rPr>
        <w:t xml:space="preserve"> </w:t>
      </w:r>
      <w:r w:rsidRPr="00F56EE3">
        <w:rPr>
          <w:rStyle w:val="Reference"/>
          <w:color w:val="4472C4" w:themeColor="accent1"/>
          <w:sz w:val="18"/>
        </w:rPr>
        <w:t xml:space="preserve">year, </w:t>
      </w:r>
      <w:r>
        <w:rPr>
          <w:rStyle w:val="Reference"/>
          <w:color w:val="4472C4" w:themeColor="accent1"/>
          <w:sz w:val="18"/>
        </w:rPr>
        <w:t xml:space="preserve">entities are required to disclose </w:t>
      </w:r>
      <w:r w:rsidRPr="00F56EE3">
        <w:rPr>
          <w:rStyle w:val="Reference"/>
          <w:color w:val="4472C4" w:themeColor="accent1"/>
          <w:sz w:val="18"/>
        </w:rPr>
        <w:t>the</w:t>
      </w:r>
      <w:r>
        <w:rPr>
          <w:rStyle w:val="Reference"/>
          <w:color w:val="4472C4" w:themeColor="accent1"/>
          <w:sz w:val="18"/>
        </w:rPr>
        <w:t xml:space="preserve"> unspent amount. This includes explaining the rationale for not applying the Treasurers Advance.</w:t>
      </w:r>
    </w:p>
    <w:p w14:paraId="20318CFD" w14:textId="77777777" w:rsidR="003719CD" w:rsidRDefault="003719CD" w:rsidP="007D536F">
      <w:pPr>
        <w:pStyle w:val="GuidanceEnd"/>
      </w:pPr>
    </w:p>
    <w:p w14:paraId="74300625" w14:textId="77777777" w:rsidR="00E00691" w:rsidRDefault="00E00691">
      <w:pPr>
        <w:keepLines w:val="0"/>
        <w:rPr>
          <w:rFonts w:asciiTheme="majorHAnsi" w:eastAsiaTheme="majorEastAsia" w:hAnsiTheme="majorHAnsi" w:cstheme="majorBidi"/>
          <w:b/>
          <w:sz w:val="26"/>
          <w:szCs w:val="26"/>
        </w:rPr>
      </w:pPr>
      <w:bookmarkStart w:id="21" w:name="_Toc96704854"/>
      <w:bookmarkStart w:id="22" w:name="_Toc130225929"/>
      <w:bookmarkStart w:id="23" w:name="_Toc64983252"/>
      <w:r>
        <w:br w:type="page"/>
      </w:r>
    </w:p>
    <w:p w14:paraId="27FA8514" w14:textId="7F517CDC" w:rsidR="003719CD" w:rsidRDefault="003719CD" w:rsidP="00BB40F7">
      <w:pPr>
        <w:pStyle w:val="Heading2numbered"/>
      </w:pPr>
      <w:r>
        <w:lastRenderedPageBreak/>
        <w:t>Income from transactions</w:t>
      </w:r>
      <w:bookmarkEnd w:id="21"/>
      <w:bookmarkEnd w:id="22"/>
      <w:bookmarkEnd w:id="23"/>
    </w:p>
    <w:p w14:paraId="50D00876" w14:textId="77777777" w:rsidR="003719CD" w:rsidRDefault="003719CD" w:rsidP="00BB40F7">
      <w:pPr>
        <w:pStyle w:val="Heading3numbered"/>
      </w:pPr>
      <w:r>
        <w:t>Interest income</w:t>
      </w:r>
    </w:p>
    <w:p w14:paraId="57E1798C"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273AB1DF"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6851FABE" w14:textId="77777777" w:rsidR="00182709" w:rsidRDefault="0044097C">
            <w:pPr>
              <w:keepNext/>
              <w:jc w:val="left"/>
            </w:pPr>
            <w:r>
              <w:rPr>
                <w:color w:val="4472C4"/>
                <w:sz w:val="13"/>
              </w:rPr>
              <w:t>Source reference</w:t>
            </w:r>
          </w:p>
        </w:tc>
        <w:tc>
          <w:tcPr>
            <w:tcW w:w="6917" w:type="dxa"/>
            <w:tcBorders>
              <w:top w:val="single" w:sz="6" w:space="0" w:color="auto"/>
              <w:bottom w:val="single" w:sz="6" w:space="0" w:color="auto"/>
            </w:tcBorders>
          </w:tcPr>
          <w:p w14:paraId="2C0D3EB7" w14:textId="77777777" w:rsidR="00182709" w:rsidRDefault="00182709">
            <w:pPr>
              <w:keepNext/>
              <w:jc w:val="left"/>
            </w:pPr>
          </w:p>
        </w:tc>
        <w:tc>
          <w:tcPr>
            <w:tcW w:w="907" w:type="dxa"/>
            <w:tcBorders>
              <w:top w:val="single" w:sz="6" w:space="0" w:color="auto"/>
              <w:bottom w:val="single" w:sz="6" w:space="0" w:color="auto"/>
            </w:tcBorders>
          </w:tcPr>
          <w:p w14:paraId="132BB758" w14:textId="4A6C3748" w:rsidR="00182709" w:rsidRDefault="001931B1">
            <w:pPr>
              <w:keepNext/>
            </w:pPr>
            <w:fldSimple w:instr="DOCPROPERTY  YearCurrent \* MERGEFORMAT">
              <w:r>
                <w:t>20X2</w:t>
              </w:r>
            </w:fldSimple>
          </w:p>
        </w:tc>
        <w:tc>
          <w:tcPr>
            <w:tcW w:w="907" w:type="dxa"/>
            <w:tcBorders>
              <w:top w:val="single" w:sz="6" w:space="0" w:color="auto"/>
              <w:bottom w:val="single" w:sz="6" w:space="0" w:color="auto"/>
            </w:tcBorders>
          </w:tcPr>
          <w:p w14:paraId="0F255BAD" w14:textId="14539CE6" w:rsidR="00182709" w:rsidRDefault="001931B1">
            <w:pPr>
              <w:keepNext/>
            </w:pPr>
            <w:fldSimple w:instr="DOCPROPERTY  YearPrevious  \* MERGEFORMAT">
              <w:r>
                <w:t>20X1</w:t>
              </w:r>
            </w:fldSimple>
          </w:p>
        </w:tc>
      </w:tr>
      <w:tr w:rsidR="00182709" w14:paraId="22701BAA" w14:textId="77777777" w:rsidTr="00182709">
        <w:tc>
          <w:tcPr>
            <w:tcW w:w="1417" w:type="dxa"/>
          </w:tcPr>
          <w:p w14:paraId="11C6906E" w14:textId="77777777" w:rsidR="00182709" w:rsidRDefault="00182709">
            <w:pPr>
              <w:jc w:val="left"/>
            </w:pPr>
          </w:p>
        </w:tc>
        <w:tc>
          <w:tcPr>
            <w:tcW w:w="6917" w:type="dxa"/>
            <w:tcBorders>
              <w:top w:val="single" w:sz="6" w:space="0" w:color="auto"/>
            </w:tcBorders>
          </w:tcPr>
          <w:p w14:paraId="099F8C54" w14:textId="77777777" w:rsidR="00182709" w:rsidRDefault="0044097C">
            <w:pPr>
              <w:jc w:val="left"/>
            </w:pPr>
            <w:r>
              <w:rPr>
                <w:b/>
              </w:rPr>
              <w:t>Interest from financial assets not at fair value through profit and loss</w:t>
            </w:r>
          </w:p>
        </w:tc>
        <w:tc>
          <w:tcPr>
            <w:tcW w:w="907" w:type="dxa"/>
            <w:tcBorders>
              <w:top w:val="single" w:sz="6" w:space="0" w:color="auto"/>
            </w:tcBorders>
          </w:tcPr>
          <w:p w14:paraId="48D7271D" w14:textId="77777777" w:rsidR="00182709" w:rsidRDefault="00182709"/>
        </w:tc>
        <w:tc>
          <w:tcPr>
            <w:tcW w:w="907" w:type="dxa"/>
            <w:tcBorders>
              <w:top w:val="single" w:sz="6" w:space="0" w:color="auto"/>
            </w:tcBorders>
          </w:tcPr>
          <w:p w14:paraId="01047102" w14:textId="77777777" w:rsidR="00182709" w:rsidRDefault="00182709"/>
        </w:tc>
      </w:tr>
      <w:tr w:rsidR="00182709" w14:paraId="4E59B144" w14:textId="77777777">
        <w:tc>
          <w:tcPr>
            <w:tcW w:w="1417" w:type="dxa"/>
          </w:tcPr>
          <w:p w14:paraId="41E21C9B" w14:textId="77777777" w:rsidR="00182709" w:rsidRDefault="00182709">
            <w:pPr>
              <w:jc w:val="left"/>
            </w:pPr>
          </w:p>
        </w:tc>
        <w:tc>
          <w:tcPr>
            <w:tcW w:w="6917" w:type="dxa"/>
          </w:tcPr>
          <w:p w14:paraId="1A702F1B" w14:textId="77777777" w:rsidR="00182709" w:rsidRDefault="0044097C">
            <w:pPr>
              <w:jc w:val="left"/>
            </w:pPr>
            <w:r>
              <w:t>Interest on bank deposits</w:t>
            </w:r>
          </w:p>
        </w:tc>
        <w:tc>
          <w:tcPr>
            <w:tcW w:w="907" w:type="dxa"/>
          </w:tcPr>
          <w:p w14:paraId="5CCBD0DC" w14:textId="77777777" w:rsidR="00182709" w:rsidRDefault="0044097C">
            <w:r>
              <w:t>888</w:t>
            </w:r>
          </w:p>
        </w:tc>
        <w:tc>
          <w:tcPr>
            <w:tcW w:w="907" w:type="dxa"/>
          </w:tcPr>
          <w:p w14:paraId="12186EA7" w14:textId="77777777" w:rsidR="00182709" w:rsidRDefault="0044097C">
            <w:r>
              <w:t>839</w:t>
            </w:r>
          </w:p>
        </w:tc>
      </w:tr>
      <w:tr w:rsidR="00182709" w14:paraId="1FE31EDC" w14:textId="77777777">
        <w:tc>
          <w:tcPr>
            <w:tcW w:w="1417" w:type="dxa"/>
          </w:tcPr>
          <w:p w14:paraId="61F26B2C" w14:textId="77777777" w:rsidR="00182709" w:rsidRDefault="00182709">
            <w:pPr>
              <w:jc w:val="left"/>
            </w:pPr>
          </w:p>
        </w:tc>
        <w:tc>
          <w:tcPr>
            <w:tcW w:w="6917" w:type="dxa"/>
          </w:tcPr>
          <w:p w14:paraId="2C065F49" w14:textId="77777777" w:rsidR="00182709" w:rsidRDefault="0044097C">
            <w:pPr>
              <w:jc w:val="left"/>
            </w:pPr>
            <w:r>
              <w:t>Interest from loans</w:t>
            </w:r>
          </w:p>
        </w:tc>
        <w:tc>
          <w:tcPr>
            <w:tcW w:w="907" w:type="dxa"/>
          </w:tcPr>
          <w:p w14:paraId="0B82475E" w14:textId="77777777" w:rsidR="00182709" w:rsidRDefault="0044097C">
            <w:r>
              <w:t>242</w:t>
            </w:r>
          </w:p>
        </w:tc>
        <w:tc>
          <w:tcPr>
            <w:tcW w:w="907" w:type="dxa"/>
          </w:tcPr>
          <w:p w14:paraId="1FF89E71" w14:textId="77777777" w:rsidR="00182709" w:rsidRDefault="0044097C">
            <w:r>
              <w:t>235</w:t>
            </w:r>
          </w:p>
        </w:tc>
      </w:tr>
      <w:tr w:rsidR="00182709" w14:paraId="7699E01A" w14:textId="77777777">
        <w:tc>
          <w:tcPr>
            <w:tcW w:w="1417" w:type="dxa"/>
          </w:tcPr>
          <w:p w14:paraId="67238E2C" w14:textId="77777777" w:rsidR="00182709" w:rsidRDefault="0044097C">
            <w:pPr>
              <w:jc w:val="left"/>
            </w:pPr>
            <w:r>
              <w:rPr>
                <w:color w:val="4472C4"/>
                <w:sz w:val="13"/>
              </w:rPr>
              <w:t>AASB 16.90 (a)(ii)</w:t>
            </w:r>
          </w:p>
        </w:tc>
        <w:tc>
          <w:tcPr>
            <w:tcW w:w="6917" w:type="dxa"/>
          </w:tcPr>
          <w:p w14:paraId="5A122D49" w14:textId="77777777" w:rsidR="00182709" w:rsidRDefault="0044097C">
            <w:pPr>
              <w:jc w:val="left"/>
            </w:pPr>
            <w:r>
              <w:t>Interest income on lease receivable</w:t>
            </w:r>
          </w:p>
        </w:tc>
        <w:tc>
          <w:tcPr>
            <w:tcW w:w="907" w:type="dxa"/>
          </w:tcPr>
          <w:p w14:paraId="06603AAA" w14:textId="77777777" w:rsidR="00182709" w:rsidRDefault="0044097C">
            <w:r>
              <w:t>251</w:t>
            </w:r>
          </w:p>
        </w:tc>
        <w:tc>
          <w:tcPr>
            <w:tcW w:w="907" w:type="dxa"/>
          </w:tcPr>
          <w:p w14:paraId="34B749E0" w14:textId="77777777" w:rsidR="00182709" w:rsidRDefault="0044097C">
            <w:r>
              <w:t>251</w:t>
            </w:r>
          </w:p>
        </w:tc>
      </w:tr>
      <w:tr w:rsidR="00182709" w14:paraId="2813DB3E" w14:textId="77777777" w:rsidTr="00182709">
        <w:tc>
          <w:tcPr>
            <w:tcW w:w="1417" w:type="dxa"/>
          </w:tcPr>
          <w:p w14:paraId="08373B76" w14:textId="77777777" w:rsidR="00182709" w:rsidRDefault="00182709">
            <w:pPr>
              <w:jc w:val="left"/>
            </w:pPr>
          </w:p>
        </w:tc>
        <w:tc>
          <w:tcPr>
            <w:tcW w:w="6917" w:type="dxa"/>
            <w:tcBorders>
              <w:bottom w:val="single" w:sz="12" w:space="0" w:color="auto"/>
            </w:tcBorders>
          </w:tcPr>
          <w:p w14:paraId="49F0D4A4" w14:textId="77777777" w:rsidR="00182709" w:rsidRDefault="0044097C">
            <w:pPr>
              <w:jc w:val="left"/>
            </w:pPr>
            <w:r>
              <w:t>Other miscellaneous interest income</w:t>
            </w:r>
          </w:p>
        </w:tc>
        <w:tc>
          <w:tcPr>
            <w:tcW w:w="907" w:type="dxa"/>
            <w:tcBorders>
              <w:bottom w:val="single" w:sz="12" w:space="0" w:color="auto"/>
            </w:tcBorders>
          </w:tcPr>
          <w:p w14:paraId="371A68F3" w14:textId="77777777" w:rsidR="00182709" w:rsidRDefault="0044097C">
            <w:r>
              <w:t>794</w:t>
            </w:r>
          </w:p>
        </w:tc>
        <w:tc>
          <w:tcPr>
            <w:tcW w:w="907" w:type="dxa"/>
            <w:tcBorders>
              <w:bottom w:val="single" w:sz="12" w:space="0" w:color="auto"/>
            </w:tcBorders>
          </w:tcPr>
          <w:p w14:paraId="0B391629" w14:textId="77777777" w:rsidR="00182709" w:rsidRDefault="0044097C">
            <w:r>
              <w:t>310</w:t>
            </w:r>
          </w:p>
        </w:tc>
      </w:tr>
      <w:tr w:rsidR="00671D55" w14:paraId="5F0645C8" w14:textId="77777777" w:rsidTr="00182709">
        <w:tc>
          <w:tcPr>
            <w:tcW w:w="1417" w:type="dxa"/>
          </w:tcPr>
          <w:p w14:paraId="1CCEA3C8" w14:textId="77777777" w:rsidR="00182709" w:rsidRDefault="0044097C">
            <w:pPr>
              <w:jc w:val="left"/>
            </w:pPr>
            <w:r>
              <w:rPr>
                <w:color w:val="4472C4"/>
                <w:sz w:val="13"/>
              </w:rPr>
              <w:t>AASB 7.20 (b)</w:t>
            </w:r>
          </w:p>
        </w:tc>
        <w:tc>
          <w:tcPr>
            <w:tcW w:w="6917" w:type="dxa"/>
          </w:tcPr>
          <w:p w14:paraId="3E6DE35B" w14:textId="77777777" w:rsidR="00182709" w:rsidRDefault="0044097C">
            <w:pPr>
              <w:jc w:val="left"/>
            </w:pPr>
            <w:r>
              <w:rPr>
                <w:b/>
              </w:rPr>
              <w:t>Total interest from financial assets not at fair value through profit and loss</w:t>
            </w:r>
          </w:p>
        </w:tc>
        <w:tc>
          <w:tcPr>
            <w:tcW w:w="907" w:type="dxa"/>
          </w:tcPr>
          <w:p w14:paraId="18B800A3" w14:textId="77777777" w:rsidR="00182709" w:rsidRDefault="0044097C">
            <w:r>
              <w:rPr>
                <w:b/>
              </w:rPr>
              <w:t>2 175</w:t>
            </w:r>
          </w:p>
        </w:tc>
        <w:tc>
          <w:tcPr>
            <w:tcW w:w="907" w:type="dxa"/>
          </w:tcPr>
          <w:p w14:paraId="65FD3A3D" w14:textId="77777777" w:rsidR="00182709" w:rsidRDefault="0044097C">
            <w:r>
              <w:rPr>
                <w:b/>
              </w:rPr>
              <w:t>1 635</w:t>
            </w:r>
          </w:p>
        </w:tc>
      </w:tr>
      <w:tr w:rsidR="00671D55" w14:paraId="0DCB4466" w14:textId="77777777" w:rsidTr="00182709">
        <w:tc>
          <w:tcPr>
            <w:tcW w:w="1417" w:type="dxa"/>
          </w:tcPr>
          <w:p w14:paraId="078FF191" w14:textId="77777777" w:rsidR="00182709" w:rsidRDefault="00182709">
            <w:pPr>
              <w:jc w:val="left"/>
            </w:pPr>
          </w:p>
        </w:tc>
        <w:tc>
          <w:tcPr>
            <w:tcW w:w="6917" w:type="dxa"/>
          </w:tcPr>
          <w:p w14:paraId="3832FC34" w14:textId="77777777" w:rsidR="00182709" w:rsidRDefault="0044097C">
            <w:pPr>
              <w:jc w:val="left"/>
            </w:pPr>
            <w:r>
              <w:rPr>
                <w:b/>
              </w:rPr>
              <w:t>Interest from financial assets at fair value through profit and loss</w:t>
            </w:r>
          </w:p>
        </w:tc>
        <w:tc>
          <w:tcPr>
            <w:tcW w:w="907" w:type="dxa"/>
          </w:tcPr>
          <w:p w14:paraId="17021708" w14:textId="77777777" w:rsidR="00182709" w:rsidRDefault="00182709"/>
        </w:tc>
        <w:tc>
          <w:tcPr>
            <w:tcW w:w="907" w:type="dxa"/>
          </w:tcPr>
          <w:p w14:paraId="463A53F7" w14:textId="77777777" w:rsidR="00182709" w:rsidRDefault="00182709"/>
        </w:tc>
      </w:tr>
      <w:tr w:rsidR="00182709" w14:paraId="2C19A96B" w14:textId="77777777" w:rsidTr="00182709">
        <w:tc>
          <w:tcPr>
            <w:tcW w:w="1417" w:type="dxa"/>
          </w:tcPr>
          <w:p w14:paraId="022BD1B5" w14:textId="77777777" w:rsidR="00182709" w:rsidRDefault="00182709">
            <w:pPr>
              <w:jc w:val="left"/>
            </w:pPr>
          </w:p>
        </w:tc>
        <w:tc>
          <w:tcPr>
            <w:tcW w:w="6917" w:type="dxa"/>
            <w:tcBorders>
              <w:bottom w:val="single" w:sz="12" w:space="0" w:color="auto"/>
            </w:tcBorders>
          </w:tcPr>
          <w:p w14:paraId="6618C4CC" w14:textId="77777777" w:rsidR="00182709" w:rsidRDefault="0044097C">
            <w:pPr>
              <w:jc w:val="left"/>
            </w:pPr>
            <w:r>
              <w:t>Interest from debt securities</w:t>
            </w:r>
          </w:p>
        </w:tc>
        <w:tc>
          <w:tcPr>
            <w:tcW w:w="907" w:type="dxa"/>
            <w:tcBorders>
              <w:bottom w:val="single" w:sz="12" w:space="0" w:color="auto"/>
            </w:tcBorders>
          </w:tcPr>
          <w:p w14:paraId="5F42C138" w14:textId="77777777" w:rsidR="00182709" w:rsidRDefault="0044097C">
            <w:r>
              <w:t>1 689</w:t>
            </w:r>
          </w:p>
        </w:tc>
        <w:tc>
          <w:tcPr>
            <w:tcW w:w="907" w:type="dxa"/>
            <w:tcBorders>
              <w:bottom w:val="single" w:sz="12" w:space="0" w:color="auto"/>
            </w:tcBorders>
          </w:tcPr>
          <w:p w14:paraId="1EFB5C89" w14:textId="77777777" w:rsidR="00182709" w:rsidRDefault="0044097C">
            <w:r>
              <w:t>1 262</w:t>
            </w:r>
          </w:p>
        </w:tc>
      </w:tr>
      <w:tr w:rsidR="00671D55" w14:paraId="3BA2F88C" w14:textId="77777777" w:rsidTr="00182709">
        <w:tc>
          <w:tcPr>
            <w:tcW w:w="1417" w:type="dxa"/>
          </w:tcPr>
          <w:p w14:paraId="6F8549CE" w14:textId="77777777" w:rsidR="00182709" w:rsidRDefault="00182709">
            <w:pPr>
              <w:jc w:val="left"/>
            </w:pPr>
          </w:p>
        </w:tc>
        <w:tc>
          <w:tcPr>
            <w:tcW w:w="6917" w:type="dxa"/>
          </w:tcPr>
          <w:p w14:paraId="676D5F2A" w14:textId="77777777" w:rsidR="00182709" w:rsidRDefault="0044097C">
            <w:pPr>
              <w:jc w:val="left"/>
            </w:pPr>
            <w:r>
              <w:rPr>
                <w:b/>
              </w:rPr>
              <w:t>Total interest from financial assets at fair value through profit and loss</w:t>
            </w:r>
          </w:p>
        </w:tc>
        <w:tc>
          <w:tcPr>
            <w:tcW w:w="907" w:type="dxa"/>
          </w:tcPr>
          <w:p w14:paraId="69E8CDDC" w14:textId="77777777" w:rsidR="00182709" w:rsidRDefault="0044097C">
            <w:r>
              <w:rPr>
                <w:b/>
              </w:rPr>
              <w:t>1 689</w:t>
            </w:r>
          </w:p>
        </w:tc>
        <w:tc>
          <w:tcPr>
            <w:tcW w:w="907" w:type="dxa"/>
          </w:tcPr>
          <w:p w14:paraId="232E5793" w14:textId="77777777" w:rsidR="00182709" w:rsidRDefault="0044097C">
            <w:r>
              <w:rPr>
                <w:b/>
              </w:rPr>
              <w:t>1 262</w:t>
            </w:r>
          </w:p>
        </w:tc>
      </w:tr>
      <w:tr w:rsidR="00182709" w14:paraId="2A421FB4" w14:textId="77777777" w:rsidTr="00182709">
        <w:tc>
          <w:tcPr>
            <w:tcW w:w="1417" w:type="dxa"/>
            <w:tcBorders>
              <w:bottom w:val="nil"/>
            </w:tcBorders>
          </w:tcPr>
          <w:p w14:paraId="61E4F248" w14:textId="77777777" w:rsidR="00182709" w:rsidRDefault="0044097C">
            <w:pPr>
              <w:jc w:val="left"/>
            </w:pPr>
            <w:r>
              <w:rPr>
                <w:color w:val="4472C4"/>
                <w:sz w:val="13"/>
              </w:rPr>
              <w:t>AASB 101.82 (a)</w:t>
            </w:r>
          </w:p>
        </w:tc>
        <w:tc>
          <w:tcPr>
            <w:tcW w:w="6917" w:type="dxa"/>
            <w:tcBorders>
              <w:top w:val="single" w:sz="6" w:space="0" w:color="auto"/>
              <w:bottom w:val="single" w:sz="12" w:space="0" w:color="auto"/>
            </w:tcBorders>
          </w:tcPr>
          <w:p w14:paraId="272F9C15" w14:textId="77777777" w:rsidR="00182709" w:rsidRDefault="0044097C">
            <w:pPr>
              <w:jc w:val="left"/>
            </w:pPr>
            <w:r>
              <w:rPr>
                <w:b/>
              </w:rPr>
              <w:t>Total interest</w:t>
            </w:r>
          </w:p>
        </w:tc>
        <w:tc>
          <w:tcPr>
            <w:tcW w:w="907" w:type="dxa"/>
            <w:tcBorders>
              <w:top w:val="single" w:sz="6" w:space="0" w:color="auto"/>
              <w:bottom w:val="single" w:sz="12" w:space="0" w:color="auto"/>
            </w:tcBorders>
          </w:tcPr>
          <w:p w14:paraId="6883A8FE" w14:textId="77777777" w:rsidR="00182709" w:rsidRDefault="0044097C">
            <w:r>
              <w:rPr>
                <w:b/>
              </w:rPr>
              <w:t>3 864</w:t>
            </w:r>
          </w:p>
        </w:tc>
        <w:tc>
          <w:tcPr>
            <w:tcW w:w="907" w:type="dxa"/>
            <w:tcBorders>
              <w:top w:val="single" w:sz="6" w:space="0" w:color="auto"/>
              <w:bottom w:val="single" w:sz="12" w:space="0" w:color="auto"/>
            </w:tcBorders>
          </w:tcPr>
          <w:p w14:paraId="1DF71089" w14:textId="77777777" w:rsidR="00182709" w:rsidRDefault="0044097C">
            <w:r>
              <w:rPr>
                <w:b/>
              </w:rPr>
              <w:t>2 897</w:t>
            </w:r>
          </w:p>
        </w:tc>
      </w:tr>
    </w:tbl>
    <w:p w14:paraId="72125566" w14:textId="77777777" w:rsidR="003719CD" w:rsidRDefault="003719CD" w:rsidP="00DC39DE">
      <w:r>
        <w:t>Interest income includes interest received on bank term deposits and other investments and the unwinding over time of the discount on financial assets. Interest income is recognised using the effective interest method, which allocates the interest over the relevant period.</w:t>
      </w:r>
    </w:p>
    <w:p w14:paraId="44631EB8" w14:textId="77777777" w:rsidR="003719CD" w:rsidRDefault="003719CD" w:rsidP="00DC39DE">
      <w:r>
        <w:t>Net realised and unrealised gains and losses on the revaluation of investments do not form part of income from transactions, but are reported either as part of income from other economic flows in the net result or as unrealised gains or losses taken directly to equity, forming part of the total change in net worth in the comprehensive result.</w:t>
      </w:r>
    </w:p>
    <w:p w14:paraId="299E4BA4" w14:textId="77777777" w:rsidR="003719CD" w:rsidRDefault="003719CD" w:rsidP="00BB40F7">
      <w:pPr>
        <w:pStyle w:val="Heading3numbered"/>
      </w:pPr>
      <w:r>
        <w:t>Sale of goods and services</w:t>
      </w:r>
    </w:p>
    <w:p w14:paraId="38C8A16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931B1" w14:paraId="55A4DBBB" w14:textId="77777777" w:rsidTr="001931B1">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45C6FE41" w14:textId="77777777" w:rsidR="001931B1" w:rsidRDefault="001931B1" w:rsidP="001931B1">
            <w:pPr>
              <w:keepNext/>
              <w:jc w:val="left"/>
            </w:pPr>
            <w:r>
              <w:rPr>
                <w:color w:val="4472C4"/>
                <w:sz w:val="13"/>
              </w:rPr>
              <w:t>Source reference</w:t>
            </w:r>
          </w:p>
        </w:tc>
        <w:tc>
          <w:tcPr>
            <w:tcW w:w="6558" w:type="dxa"/>
          </w:tcPr>
          <w:p w14:paraId="7E14D07C" w14:textId="77777777" w:rsidR="001931B1" w:rsidRDefault="001931B1" w:rsidP="001931B1">
            <w:pPr>
              <w:keepNext/>
              <w:jc w:val="left"/>
            </w:pPr>
          </w:p>
        </w:tc>
        <w:tc>
          <w:tcPr>
            <w:tcW w:w="866" w:type="dxa"/>
          </w:tcPr>
          <w:p w14:paraId="7F8F332F" w14:textId="5C7C853D" w:rsidR="001931B1" w:rsidRDefault="001931B1" w:rsidP="001931B1">
            <w:pPr>
              <w:keepNext/>
            </w:pPr>
            <w:fldSimple w:instr="DOCPROPERTY  YearCurrent \* MERGEFORMAT">
              <w:r>
                <w:t>20X2</w:t>
              </w:r>
            </w:fldSimple>
          </w:p>
        </w:tc>
        <w:tc>
          <w:tcPr>
            <w:tcW w:w="866" w:type="dxa"/>
          </w:tcPr>
          <w:p w14:paraId="33AB81F1" w14:textId="004E3B2A" w:rsidR="001931B1" w:rsidRDefault="001931B1" w:rsidP="001931B1">
            <w:pPr>
              <w:keepNext/>
            </w:pPr>
            <w:fldSimple w:instr="DOCPROPERTY  YearPrevious  \* MERGEFORMAT">
              <w:r>
                <w:t>20X1</w:t>
              </w:r>
            </w:fldSimple>
          </w:p>
        </w:tc>
      </w:tr>
      <w:tr w:rsidR="00182709" w14:paraId="2A0BA26A" w14:textId="77777777" w:rsidTr="001931B1">
        <w:tc>
          <w:tcPr>
            <w:tcW w:w="1349" w:type="dxa"/>
          </w:tcPr>
          <w:p w14:paraId="308E8554" w14:textId="0C53E015" w:rsidR="00182709" w:rsidRDefault="0044097C">
            <w:pPr>
              <w:jc w:val="left"/>
            </w:pPr>
            <w:r>
              <w:rPr>
                <w:color w:val="4472C4"/>
                <w:sz w:val="13"/>
              </w:rPr>
              <w:t>AASB 15.113</w:t>
            </w:r>
            <w:r w:rsidR="00EC581D">
              <w:rPr>
                <w:color w:val="4472C4"/>
                <w:sz w:val="13"/>
              </w:rPr>
              <w:t>(a)</w:t>
            </w:r>
          </w:p>
        </w:tc>
        <w:tc>
          <w:tcPr>
            <w:tcW w:w="6558" w:type="dxa"/>
          </w:tcPr>
          <w:p w14:paraId="669DACAC" w14:textId="77777777" w:rsidR="00182709" w:rsidRDefault="0044097C">
            <w:pPr>
              <w:jc w:val="left"/>
            </w:pPr>
            <w:r>
              <w:t>Sale of goods</w:t>
            </w:r>
          </w:p>
        </w:tc>
        <w:tc>
          <w:tcPr>
            <w:tcW w:w="866" w:type="dxa"/>
          </w:tcPr>
          <w:p w14:paraId="49F6356D" w14:textId="77777777" w:rsidR="00182709" w:rsidRDefault="0044097C">
            <w:r>
              <w:t>1 114</w:t>
            </w:r>
          </w:p>
        </w:tc>
        <w:tc>
          <w:tcPr>
            <w:tcW w:w="866" w:type="dxa"/>
          </w:tcPr>
          <w:p w14:paraId="056C6281" w14:textId="77777777" w:rsidR="00182709" w:rsidRDefault="0044097C">
            <w:r>
              <w:t>945</w:t>
            </w:r>
          </w:p>
        </w:tc>
      </w:tr>
      <w:tr w:rsidR="00182709" w14:paraId="0BE16675" w14:textId="77777777" w:rsidTr="001931B1">
        <w:tc>
          <w:tcPr>
            <w:tcW w:w="1349" w:type="dxa"/>
          </w:tcPr>
          <w:p w14:paraId="1B629527" w14:textId="384B65F1" w:rsidR="00182709" w:rsidRDefault="0044097C">
            <w:pPr>
              <w:jc w:val="left"/>
            </w:pPr>
            <w:r>
              <w:rPr>
                <w:color w:val="4472C4"/>
                <w:sz w:val="13"/>
              </w:rPr>
              <w:t>AASB 15.113</w:t>
            </w:r>
            <w:r w:rsidR="00EC581D">
              <w:rPr>
                <w:color w:val="4472C4"/>
                <w:sz w:val="13"/>
              </w:rPr>
              <w:t>(a)</w:t>
            </w:r>
          </w:p>
        </w:tc>
        <w:tc>
          <w:tcPr>
            <w:tcW w:w="6558" w:type="dxa"/>
          </w:tcPr>
          <w:p w14:paraId="3000A813" w14:textId="77777777" w:rsidR="00182709" w:rsidRDefault="0044097C">
            <w:pPr>
              <w:jc w:val="left"/>
            </w:pPr>
            <w:r>
              <w:t>Sale of biological assets</w:t>
            </w:r>
          </w:p>
        </w:tc>
        <w:tc>
          <w:tcPr>
            <w:tcW w:w="866" w:type="dxa"/>
          </w:tcPr>
          <w:p w14:paraId="243CAF81" w14:textId="77777777" w:rsidR="00182709" w:rsidRDefault="0044097C">
            <w:r>
              <w:t>215</w:t>
            </w:r>
          </w:p>
        </w:tc>
        <w:tc>
          <w:tcPr>
            <w:tcW w:w="866" w:type="dxa"/>
          </w:tcPr>
          <w:p w14:paraId="4725B018" w14:textId="77777777" w:rsidR="00182709" w:rsidRDefault="0044097C">
            <w:r>
              <w:t>..</w:t>
            </w:r>
          </w:p>
        </w:tc>
      </w:tr>
      <w:tr w:rsidR="00182709" w14:paraId="625CCE86" w14:textId="77777777" w:rsidTr="001931B1">
        <w:tc>
          <w:tcPr>
            <w:tcW w:w="1349" w:type="dxa"/>
          </w:tcPr>
          <w:p w14:paraId="612452E5" w14:textId="125CEC95" w:rsidR="00182709" w:rsidRDefault="0044097C">
            <w:pPr>
              <w:jc w:val="left"/>
            </w:pPr>
            <w:r>
              <w:rPr>
                <w:color w:val="4472C4"/>
                <w:sz w:val="13"/>
              </w:rPr>
              <w:t>AASB 15.113</w:t>
            </w:r>
            <w:r w:rsidR="00EC581D">
              <w:rPr>
                <w:color w:val="4472C4"/>
                <w:sz w:val="13"/>
              </w:rPr>
              <w:t>(a)</w:t>
            </w:r>
          </w:p>
        </w:tc>
        <w:tc>
          <w:tcPr>
            <w:tcW w:w="6558" w:type="dxa"/>
            <w:tcBorders>
              <w:bottom w:val="single" w:sz="12" w:space="0" w:color="auto"/>
            </w:tcBorders>
          </w:tcPr>
          <w:p w14:paraId="498D0477" w14:textId="77777777" w:rsidR="00182709" w:rsidRDefault="0044097C">
            <w:pPr>
              <w:jc w:val="left"/>
            </w:pPr>
            <w:r>
              <w:t>Rendering of services</w:t>
            </w:r>
          </w:p>
        </w:tc>
        <w:tc>
          <w:tcPr>
            <w:tcW w:w="866" w:type="dxa"/>
            <w:tcBorders>
              <w:bottom w:val="single" w:sz="12" w:space="0" w:color="auto"/>
            </w:tcBorders>
          </w:tcPr>
          <w:p w14:paraId="41F12AF0" w14:textId="77777777" w:rsidR="00182709" w:rsidRDefault="0044097C">
            <w:r>
              <w:t>450</w:t>
            </w:r>
          </w:p>
        </w:tc>
        <w:tc>
          <w:tcPr>
            <w:tcW w:w="866" w:type="dxa"/>
            <w:tcBorders>
              <w:bottom w:val="single" w:sz="12" w:space="0" w:color="auto"/>
            </w:tcBorders>
          </w:tcPr>
          <w:p w14:paraId="5C090DA1" w14:textId="77777777" w:rsidR="00182709" w:rsidRDefault="0044097C">
            <w:r>
              <w:t>401</w:t>
            </w:r>
          </w:p>
        </w:tc>
      </w:tr>
      <w:tr w:rsidR="00671D55" w14:paraId="26EDEC99" w14:textId="77777777" w:rsidTr="001931B1">
        <w:tc>
          <w:tcPr>
            <w:tcW w:w="1349" w:type="dxa"/>
            <w:tcBorders>
              <w:bottom w:val="nil"/>
            </w:tcBorders>
          </w:tcPr>
          <w:p w14:paraId="1D6BE03F" w14:textId="77777777" w:rsidR="00182709" w:rsidRDefault="00182709">
            <w:pPr>
              <w:jc w:val="left"/>
            </w:pPr>
          </w:p>
        </w:tc>
        <w:tc>
          <w:tcPr>
            <w:tcW w:w="6558" w:type="dxa"/>
          </w:tcPr>
          <w:p w14:paraId="4E868423" w14:textId="77777777" w:rsidR="00182709" w:rsidRDefault="0044097C">
            <w:pPr>
              <w:jc w:val="left"/>
            </w:pPr>
            <w:r>
              <w:rPr>
                <w:b/>
              </w:rPr>
              <w:t>Total sale of goods and services</w:t>
            </w:r>
          </w:p>
        </w:tc>
        <w:tc>
          <w:tcPr>
            <w:tcW w:w="866" w:type="dxa"/>
          </w:tcPr>
          <w:p w14:paraId="198815D9" w14:textId="77777777" w:rsidR="00182709" w:rsidRDefault="0044097C">
            <w:r>
              <w:rPr>
                <w:b/>
              </w:rPr>
              <w:t>1 779</w:t>
            </w:r>
          </w:p>
        </w:tc>
        <w:tc>
          <w:tcPr>
            <w:tcW w:w="866" w:type="dxa"/>
          </w:tcPr>
          <w:p w14:paraId="14BAE539" w14:textId="77777777" w:rsidR="00182709" w:rsidRDefault="0044097C">
            <w:r>
              <w:rPr>
                <w:b/>
              </w:rPr>
              <w:t>1 346</w:t>
            </w:r>
          </w:p>
        </w:tc>
      </w:tr>
    </w:tbl>
    <w:p w14:paraId="63A5D993" w14:textId="77777777" w:rsidR="003719CD" w:rsidRDefault="003719CD" w:rsidP="00DC39DE"/>
    <w:p w14:paraId="6C98B5F0" w14:textId="55AB5E04" w:rsidR="003719CD" w:rsidRDefault="003719CD" w:rsidP="00DC39DE">
      <w:r>
        <w:t>The sale of goods and services included in the table above are transaction</w:t>
      </w:r>
      <w:r w:rsidR="00860828">
        <w:t>s</w:t>
      </w:r>
      <w:r>
        <w:t xml:space="preserve"> that the </w:t>
      </w:r>
      <w:r w:rsidR="00033461">
        <w:t>D</w:t>
      </w:r>
      <w:r>
        <w:t xml:space="preserve">epartment has determined to be classified as revenue from contracts with customers in accordance with AASB 15. </w:t>
      </w:r>
    </w:p>
    <w:p w14:paraId="3988BAB7" w14:textId="77777777" w:rsidR="003719CD" w:rsidRDefault="003719CD" w:rsidP="007D536F">
      <w:pPr>
        <w:pStyle w:val="Heading4"/>
      </w:pPr>
      <w:r>
        <w:t>Performance obligations and revenue recognition policies</w:t>
      </w:r>
    </w:p>
    <w:p w14:paraId="4D6FC224" w14:textId="77777777" w:rsidR="003719CD" w:rsidRDefault="003719CD" w:rsidP="00DC39DE">
      <w:r>
        <w:t>Revenue is measured based on the consideration specified in the contract with the customer. The Department recognises revenue when it transfers control of a good or service to the customer, i.e. when, or as, the performance obligations for the sale of goods, biological assets and services to the customer are satisfied.</w:t>
      </w:r>
    </w:p>
    <w:p w14:paraId="5377B9BE" w14:textId="77777777" w:rsidR="003719CD" w:rsidRDefault="003719CD" w:rsidP="00624E52">
      <w:r>
        <w:t xml:space="preserve">Customers obtain control of the supplies and consumables at a point in time when the goods are delivered to and have been accepted at their premises. </w:t>
      </w:r>
    </w:p>
    <w:p w14:paraId="331D7F9F" w14:textId="51C3906C" w:rsidR="003719CD" w:rsidRDefault="003719CD" w:rsidP="00624E52">
      <w:r>
        <w:t>Revenue from the sale of goods are recognised when the goods are delivered and have been accepted by the customer at their premises</w:t>
      </w:r>
      <w:r w:rsidR="00583160">
        <w:t>.</w:t>
      </w:r>
    </w:p>
    <w:p w14:paraId="0DB5C930" w14:textId="37DB9EF4" w:rsidR="003719CD" w:rsidRDefault="003719CD" w:rsidP="00624E52">
      <w:r>
        <w:t xml:space="preserve">Revenue from the rendering of services is recognised at a point in time when the performance obligation is satisfied when the service is completed; and over time when the customer simultaneously receives and consumes the services as it is provided. </w:t>
      </w:r>
      <w:r w:rsidRPr="007F307D">
        <w:rPr>
          <w:rStyle w:val="Reference"/>
        </w:rPr>
        <w:t>[AASB15.</w:t>
      </w:r>
      <w:r w:rsidR="00612D9A">
        <w:rPr>
          <w:rStyle w:val="Reference"/>
        </w:rPr>
        <w:t>35</w:t>
      </w:r>
      <w:r w:rsidRPr="007F307D">
        <w:rPr>
          <w:rStyle w:val="Reference"/>
        </w:rPr>
        <w:t>]</w:t>
      </w:r>
      <w:r>
        <w:t xml:space="preserve"> </w:t>
      </w:r>
    </w:p>
    <w:p w14:paraId="11F3E26C" w14:textId="0D94A96B" w:rsidR="003719CD" w:rsidRDefault="00576C8D" w:rsidP="00576C8D">
      <w:pPr>
        <w:keepLines w:val="0"/>
        <w:autoSpaceDE w:val="0"/>
        <w:autoSpaceDN w:val="0"/>
        <w:adjustRightInd w:val="0"/>
        <w:spacing w:before="0" w:after="0" w:line="240" w:lineRule="auto"/>
      </w:pPr>
      <w:r w:rsidRPr="008A6E9F">
        <w:rPr>
          <w:rFonts w:ascii="Arial" w:hAnsi="Arial" w:cs="Arial"/>
        </w:rPr>
        <w:t>Customers are invoiced and revenue</w:t>
      </w:r>
      <w:r>
        <w:rPr>
          <w:rFonts w:ascii="Arial" w:hAnsi="Arial" w:cs="Arial"/>
        </w:rPr>
        <w:t xml:space="preserve"> is recognised when the goods are delivered and accepted by customers. </w:t>
      </w:r>
      <w:r w:rsidR="003719CD">
        <w:t xml:space="preserve">In rare circumstance where there may be a change in the scope of services provided, the customer will be provided with a new contract for the additional services to be rendered and revenue is recognised consistent with accounting policy above. </w:t>
      </w:r>
    </w:p>
    <w:p w14:paraId="3E11BCAD" w14:textId="77777777" w:rsidR="00F25E72" w:rsidRDefault="003719CD" w:rsidP="00DC39DE">
      <w:r>
        <w:t xml:space="preserve">For contracts that permit the customer to return an item, revenue is recognised to the extent it is highly probable that a significant cumulative reversal will not occur. Therefore, the amount of revenue recognised is adjusted for the expected returns, which are estimated based on the historical data. In these circumstances, a refund liability and a right to recover returned goods asset are recognised. </w:t>
      </w:r>
    </w:p>
    <w:p w14:paraId="5442149C" w14:textId="3A969653" w:rsidR="003719CD" w:rsidRDefault="003719CD" w:rsidP="00DC39DE">
      <w:r>
        <w:lastRenderedPageBreak/>
        <w:t xml:space="preserve">The right to recover the returned goods asset is measured at the former carrying amount of the inventory less any expected costs to recover goods. The refund liability is included in other payables (Note 6.2) and the right to recover returned goods is included in inventory (Note 6.3). The Department reviews its estimate of expected returns at each reporting date and updates the amount of the asset and liability accordingly. As the sales are made with a short credit term, there is no financing element present. There has been no change in the recognition of revenue from the sale of goods as a result of the adoption of AASB 15. </w:t>
      </w:r>
    </w:p>
    <w:p w14:paraId="061D9A8A" w14:textId="2D5A9EED" w:rsidR="003719CD" w:rsidRDefault="003719CD" w:rsidP="00DC39DE">
      <w:r>
        <w:t>Consideration received in advance of recognising the associated revenue from the customer is recorded as</w:t>
      </w:r>
      <w:r w:rsidR="00900214">
        <w:t xml:space="preserve"> a contract </w:t>
      </w:r>
      <w:r>
        <w:t>liability (Note 6.2). Where the performance obligations is satisfied but not yet billed, a contract asset is recorded</w:t>
      </w:r>
      <w:r w:rsidR="0005624E">
        <w:t>.</w:t>
      </w:r>
      <w:r>
        <w:t xml:space="preserve"> (Note 6.1). </w:t>
      </w:r>
      <w:r w:rsidRPr="003E2FB4">
        <w:rPr>
          <w:rStyle w:val="Reference"/>
        </w:rPr>
        <w:t>[AASB 15.105]</w:t>
      </w:r>
    </w:p>
    <w:p w14:paraId="38BE48E5" w14:textId="21793C99" w:rsidR="003719CD" w:rsidRDefault="003719CD" w:rsidP="00BB40F7">
      <w:pPr>
        <w:pStyle w:val="Heading3numbered"/>
      </w:pPr>
      <w:r>
        <w:t>Grants</w:t>
      </w:r>
    </w:p>
    <w:p w14:paraId="76FF4BD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6347"/>
        <w:gridCol w:w="866"/>
        <w:gridCol w:w="866"/>
      </w:tblGrid>
      <w:tr w:rsidR="001931B1" w14:paraId="4E90C985"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39A54384" w14:textId="77777777" w:rsidR="001931B1" w:rsidRDefault="001931B1" w:rsidP="001931B1">
            <w:pPr>
              <w:keepNext/>
              <w:jc w:val="left"/>
            </w:pPr>
            <w:r>
              <w:rPr>
                <w:color w:val="4472C4"/>
                <w:sz w:val="13"/>
              </w:rPr>
              <w:t>Source reference</w:t>
            </w:r>
          </w:p>
        </w:tc>
        <w:tc>
          <w:tcPr>
            <w:tcW w:w="6347" w:type="dxa"/>
          </w:tcPr>
          <w:p w14:paraId="141C0263" w14:textId="77777777" w:rsidR="001931B1" w:rsidRDefault="001931B1" w:rsidP="001931B1">
            <w:pPr>
              <w:keepNext/>
              <w:jc w:val="left"/>
            </w:pPr>
          </w:p>
        </w:tc>
        <w:tc>
          <w:tcPr>
            <w:tcW w:w="866" w:type="dxa"/>
          </w:tcPr>
          <w:p w14:paraId="119444DE" w14:textId="3113BAA4" w:rsidR="001931B1" w:rsidRDefault="001931B1" w:rsidP="001931B1">
            <w:pPr>
              <w:keepNext/>
            </w:pPr>
            <w:fldSimple w:instr="DOCPROPERTY  YearCurrent \* MERGEFORMAT">
              <w:r>
                <w:t>20X2</w:t>
              </w:r>
            </w:fldSimple>
          </w:p>
        </w:tc>
        <w:tc>
          <w:tcPr>
            <w:tcW w:w="866" w:type="dxa"/>
          </w:tcPr>
          <w:p w14:paraId="0022B545" w14:textId="633CA059" w:rsidR="001931B1" w:rsidRDefault="001931B1" w:rsidP="001931B1">
            <w:pPr>
              <w:keepNext/>
            </w:pPr>
            <w:fldSimple w:instr="DOCPROPERTY  YearPrevious  \* MERGEFORMAT">
              <w:r>
                <w:t>20X1</w:t>
              </w:r>
            </w:fldSimple>
          </w:p>
        </w:tc>
      </w:tr>
      <w:tr w:rsidR="00182709" w14:paraId="68CF9125" w14:textId="77777777" w:rsidTr="006F25E9">
        <w:tc>
          <w:tcPr>
            <w:tcW w:w="1560" w:type="dxa"/>
          </w:tcPr>
          <w:p w14:paraId="238FC8AA" w14:textId="77777777" w:rsidR="00182709" w:rsidRDefault="00182709">
            <w:pPr>
              <w:jc w:val="left"/>
            </w:pPr>
          </w:p>
        </w:tc>
        <w:tc>
          <w:tcPr>
            <w:tcW w:w="6347" w:type="dxa"/>
          </w:tcPr>
          <w:p w14:paraId="5E11DF59" w14:textId="762BE363" w:rsidR="00182709" w:rsidRDefault="0044097C">
            <w:pPr>
              <w:jc w:val="left"/>
            </w:pPr>
            <w:r>
              <w:rPr>
                <w:b/>
              </w:rPr>
              <w:t xml:space="preserve">Income recognised as income of </w:t>
            </w:r>
            <w:r w:rsidRPr="5A2E01D0">
              <w:rPr>
                <w:b/>
                <w:bCs/>
              </w:rPr>
              <w:t>not</w:t>
            </w:r>
            <w:r w:rsidR="001F0217">
              <w:rPr>
                <w:b/>
                <w:bCs/>
              </w:rPr>
              <w:t>-</w:t>
            </w:r>
            <w:r w:rsidRPr="5A2E01D0">
              <w:rPr>
                <w:b/>
                <w:bCs/>
              </w:rPr>
              <w:t>for</w:t>
            </w:r>
            <w:r w:rsidR="001F0217">
              <w:rPr>
                <w:b/>
                <w:bCs/>
              </w:rPr>
              <w:t>-</w:t>
            </w:r>
            <w:r w:rsidRPr="5A2E01D0">
              <w:rPr>
                <w:b/>
                <w:bCs/>
              </w:rPr>
              <w:t>profit</w:t>
            </w:r>
            <w:r>
              <w:rPr>
                <w:b/>
              </w:rPr>
              <w:t xml:space="preserve"> entit</w:t>
            </w:r>
            <w:r w:rsidR="00E91F2C">
              <w:rPr>
                <w:b/>
              </w:rPr>
              <w:t>i</w:t>
            </w:r>
            <w:r>
              <w:rPr>
                <w:b/>
              </w:rPr>
              <w:t>es</w:t>
            </w:r>
          </w:p>
        </w:tc>
        <w:tc>
          <w:tcPr>
            <w:tcW w:w="866" w:type="dxa"/>
          </w:tcPr>
          <w:p w14:paraId="6EB23F02" w14:textId="77777777" w:rsidR="00182709" w:rsidRDefault="00182709"/>
        </w:tc>
        <w:tc>
          <w:tcPr>
            <w:tcW w:w="866" w:type="dxa"/>
          </w:tcPr>
          <w:p w14:paraId="47281C39" w14:textId="77777777" w:rsidR="00182709" w:rsidRDefault="00182709"/>
        </w:tc>
      </w:tr>
      <w:tr w:rsidR="00182709" w14:paraId="504C17C1" w14:textId="77777777" w:rsidTr="006F25E9">
        <w:tc>
          <w:tcPr>
            <w:tcW w:w="1560" w:type="dxa"/>
          </w:tcPr>
          <w:p w14:paraId="7E001B7E" w14:textId="77777777" w:rsidR="00182709" w:rsidRDefault="0044097C">
            <w:pPr>
              <w:jc w:val="left"/>
            </w:pPr>
            <w:r>
              <w:rPr>
                <w:color w:val="4472C4"/>
                <w:sz w:val="13"/>
              </w:rPr>
              <w:t>AASB 1058</w:t>
            </w:r>
          </w:p>
        </w:tc>
        <w:tc>
          <w:tcPr>
            <w:tcW w:w="6347" w:type="dxa"/>
          </w:tcPr>
          <w:p w14:paraId="652BB5EB" w14:textId="77777777" w:rsidR="00182709" w:rsidRDefault="0044097C">
            <w:pPr>
              <w:jc w:val="left"/>
            </w:pPr>
            <w:r>
              <w:t>General purpose</w:t>
            </w:r>
          </w:p>
        </w:tc>
        <w:tc>
          <w:tcPr>
            <w:tcW w:w="866" w:type="dxa"/>
          </w:tcPr>
          <w:p w14:paraId="58EEF008" w14:textId="77777777" w:rsidR="00182709" w:rsidRDefault="0044097C">
            <w:r>
              <w:t>125</w:t>
            </w:r>
          </w:p>
        </w:tc>
        <w:tc>
          <w:tcPr>
            <w:tcW w:w="866" w:type="dxa"/>
          </w:tcPr>
          <w:p w14:paraId="617B3FD1" w14:textId="77777777" w:rsidR="00182709" w:rsidRDefault="0044097C">
            <w:r>
              <w:t>100</w:t>
            </w:r>
          </w:p>
        </w:tc>
      </w:tr>
      <w:tr w:rsidR="00182709" w14:paraId="4BC4ED3B" w14:textId="77777777" w:rsidTr="006F25E9">
        <w:tc>
          <w:tcPr>
            <w:tcW w:w="1560" w:type="dxa"/>
          </w:tcPr>
          <w:p w14:paraId="1238375C" w14:textId="2A4295B2" w:rsidR="00182709" w:rsidRDefault="0044097C">
            <w:pPr>
              <w:jc w:val="left"/>
            </w:pPr>
            <w:r>
              <w:rPr>
                <w:color w:val="4472C4"/>
                <w:sz w:val="13"/>
              </w:rPr>
              <w:t>AASB 1058</w:t>
            </w:r>
          </w:p>
        </w:tc>
        <w:tc>
          <w:tcPr>
            <w:tcW w:w="6347" w:type="dxa"/>
          </w:tcPr>
          <w:p w14:paraId="11B07BA6" w14:textId="77777777" w:rsidR="00182709" w:rsidRDefault="0044097C">
            <w:pPr>
              <w:jc w:val="left"/>
            </w:pPr>
            <w:r>
              <w:t>Specific purpose grants for on‑passing</w:t>
            </w:r>
          </w:p>
        </w:tc>
        <w:tc>
          <w:tcPr>
            <w:tcW w:w="866" w:type="dxa"/>
          </w:tcPr>
          <w:p w14:paraId="3A843DC3" w14:textId="77777777" w:rsidR="00182709" w:rsidRDefault="0044097C">
            <w:r>
              <w:t>50</w:t>
            </w:r>
          </w:p>
        </w:tc>
        <w:tc>
          <w:tcPr>
            <w:tcW w:w="866" w:type="dxa"/>
          </w:tcPr>
          <w:p w14:paraId="7E422CFD" w14:textId="77777777" w:rsidR="00182709" w:rsidRDefault="0044097C">
            <w:r>
              <w:t>65</w:t>
            </w:r>
          </w:p>
        </w:tc>
      </w:tr>
      <w:tr w:rsidR="00182709" w14:paraId="4B8CCCB4" w14:textId="77777777" w:rsidTr="006F25E9">
        <w:tc>
          <w:tcPr>
            <w:tcW w:w="1560" w:type="dxa"/>
          </w:tcPr>
          <w:p w14:paraId="5CCDCC12" w14:textId="77777777" w:rsidR="00182709" w:rsidRDefault="0044097C">
            <w:pPr>
              <w:jc w:val="left"/>
            </w:pPr>
            <w:r>
              <w:rPr>
                <w:color w:val="4472C4"/>
                <w:sz w:val="13"/>
              </w:rPr>
              <w:t>AASB 1058.26 (a)</w:t>
            </w:r>
          </w:p>
        </w:tc>
        <w:tc>
          <w:tcPr>
            <w:tcW w:w="6347" w:type="dxa"/>
          </w:tcPr>
          <w:p w14:paraId="5E1AADFF" w14:textId="77777777" w:rsidR="00182709" w:rsidRDefault="0044097C">
            <w:pPr>
              <w:jc w:val="left"/>
            </w:pPr>
            <w:r>
              <w:t>Donations</w:t>
            </w:r>
          </w:p>
        </w:tc>
        <w:tc>
          <w:tcPr>
            <w:tcW w:w="866" w:type="dxa"/>
          </w:tcPr>
          <w:p w14:paraId="4091F936" w14:textId="77777777" w:rsidR="00182709" w:rsidRDefault="0044097C">
            <w:r>
              <w:t>..</w:t>
            </w:r>
          </w:p>
        </w:tc>
        <w:tc>
          <w:tcPr>
            <w:tcW w:w="866" w:type="dxa"/>
          </w:tcPr>
          <w:p w14:paraId="3B1263D6" w14:textId="77777777" w:rsidR="00182709" w:rsidRDefault="0044097C">
            <w:r>
              <w:t>..</w:t>
            </w:r>
          </w:p>
        </w:tc>
      </w:tr>
      <w:tr w:rsidR="00182709" w14:paraId="75173E27" w14:textId="77777777" w:rsidTr="006F25E9">
        <w:tc>
          <w:tcPr>
            <w:tcW w:w="1560" w:type="dxa"/>
          </w:tcPr>
          <w:p w14:paraId="7395E590" w14:textId="77777777" w:rsidR="00182709" w:rsidRDefault="0044097C">
            <w:pPr>
              <w:jc w:val="left"/>
            </w:pPr>
            <w:r>
              <w:rPr>
                <w:color w:val="4472C4"/>
                <w:sz w:val="13"/>
              </w:rPr>
              <w:t>AASB 1058.31</w:t>
            </w:r>
          </w:p>
        </w:tc>
        <w:tc>
          <w:tcPr>
            <w:tcW w:w="6347" w:type="dxa"/>
          </w:tcPr>
          <w:p w14:paraId="5894ACCA" w14:textId="3F1ACF7A" w:rsidR="00182709" w:rsidRDefault="0044097C">
            <w:pPr>
              <w:jc w:val="left"/>
            </w:pPr>
            <w:r>
              <w:t xml:space="preserve">Other specific purpose to acquire a recognisable </w:t>
            </w:r>
            <w:r w:rsidRPr="5A2E01D0">
              <w:t>nonfinancial</w:t>
            </w:r>
            <w:r>
              <w:t xml:space="preserve"> asset</w:t>
            </w:r>
          </w:p>
        </w:tc>
        <w:tc>
          <w:tcPr>
            <w:tcW w:w="866" w:type="dxa"/>
          </w:tcPr>
          <w:p w14:paraId="5AB59560" w14:textId="77777777" w:rsidR="00182709" w:rsidRDefault="0044097C">
            <w:r>
              <w:t>40</w:t>
            </w:r>
          </w:p>
        </w:tc>
        <w:tc>
          <w:tcPr>
            <w:tcW w:w="866" w:type="dxa"/>
          </w:tcPr>
          <w:p w14:paraId="03307578" w14:textId="77777777" w:rsidR="00182709" w:rsidRDefault="0044097C">
            <w:r>
              <w:t>19</w:t>
            </w:r>
          </w:p>
        </w:tc>
      </w:tr>
      <w:tr w:rsidR="00182709" w14:paraId="2C464E88" w14:textId="77777777" w:rsidTr="006F25E9">
        <w:tc>
          <w:tcPr>
            <w:tcW w:w="1560" w:type="dxa"/>
          </w:tcPr>
          <w:p w14:paraId="17B85BE7" w14:textId="77777777" w:rsidR="00182709" w:rsidRDefault="0044097C">
            <w:pPr>
              <w:jc w:val="left"/>
            </w:pPr>
            <w:r>
              <w:rPr>
                <w:color w:val="4472C4"/>
                <w:sz w:val="13"/>
              </w:rPr>
              <w:t>AASB 1058.10</w:t>
            </w:r>
          </w:p>
        </w:tc>
        <w:tc>
          <w:tcPr>
            <w:tcW w:w="6347" w:type="dxa"/>
          </w:tcPr>
          <w:p w14:paraId="16AA6F88" w14:textId="77777777" w:rsidR="00182709" w:rsidRDefault="0044097C">
            <w:pPr>
              <w:jc w:val="left"/>
            </w:pPr>
            <w:r>
              <w:t>Other specific purpose grants</w:t>
            </w:r>
          </w:p>
        </w:tc>
        <w:tc>
          <w:tcPr>
            <w:tcW w:w="866" w:type="dxa"/>
          </w:tcPr>
          <w:p w14:paraId="23857A3E" w14:textId="77777777" w:rsidR="00182709" w:rsidRDefault="0044097C">
            <w:r>
              <w:t>28</w:t>
            </w:r>
          </w:p>
        </w:tc>
        <w:tc>
          <w:tcPr>
            <w:tcW w:w="866" w:type="dxa"/>
          </w:tcPr>
          <w:p w14:paraId="52AF5B16" w14:textId="77777777" w:rsidR="00182709" w:rsidRDefault="0044097C">
            <w:r>
              <w:t>21</w:t>
            </w:r>
          </w:p>
        </w:tc>
      </w:tr>
      <w:tr w:rsidR="00182709" w14:paraId="67F0EF41" w14:textId="77777777" w:rsidTr="006F25E9">
        <w:tc>
          <w:tcPr>
            <w:tcW w:w="1560" w:type="dxa"/>
          </w:tcPr>
          <w:p w14:paraId="203F94B2" w14:textId="77777777" w:rsidR="00182709" w:rsidRDefault="00182709">
            <w:pPr>
              <w:jc w:val="left"/>
            </w:pPr>
          </w:p>
        </w:tc>
        <w:tc>
          <w:tcPr>
            <w:tcW w:w="6347" w:type="dxa"/>
          </w:tcPr>
          <w:p w14:paraId="4238299C" w14:textId="77777777" w:rsidR="00182709" w:rsidRDefault="0044097C">
            <w:pPr>
              <w:jc w:val="left"/>
            </w:pPr>
            <w:r>
              <w:rPr>
                <w:b/>
              </w:rPr>
              <w:t>Income recognised as revenue from contract with customers</w:t>
            </w:r>
          </w:p>
        </w:tc>
        <w:tc>
          <w:tcPr>
            <w:tcW w:w="866" w:type="dxa"/>
          </w:tcPr>
          <w:p w14:paraId="7FA1214E" w14:textId="77777777" w:rsidR="00182709" w:rsidRDefault="00182709"/>
        </w:tc>
        <w:tc>
          <w:tcPr>
            <w:tcW w:w="866" w:type="dxa"/>
          </w:tcPr>
          <w:p w14:paraId="6387B328" w14:textId="77777777" w:rsidR="00182709" w:rsidRDefault="00182709"/>
        </w:tc>
      </w:tr>
      <w:tr w:rsidR="00182709" w14:paraId="61A5EC1E" w14:textId="77777777" w:rsidTr="006F25E9">
        <w:tc>
          <w:tcPr>
            <w:tcW w:w="1560" w:type="dxa"/>
          </w:tcPr>
          <w:p w14:paraId="211775C5" w14:textId="1E54EBF1" w:rsidR="00182709" w:rsidRDefault="0044097C">
            <w:pPr>
              <w:jc w:val="left"/>
            </w:pPr>
            <w:r>
              <w:rPr>
                <w:color w:val="4472C4"/>
                <w:sz w:val="13"/>
              </w:rPr>
              <w:t>AASB 1</w:t>
            </w:r>
            <w:r w:rsidR="0026675C">
              <w:rPr>
                <w:color w:val="4472C4"/>
                <w:sz w:val="13"/>
              </w:rPr>
              <w:t>5</w:t>
            </w:r>
            <w:r>
              <w:rPr>
                <w:color w:val="4472C4"/>
                <w:sz w:val="13"/>
              </w:rPr>
              <w:t>.</w:t>
            </w:r>
            <w:r w:rsidR="0026675C">
              <w:rPr>
                <w:color w:val="4472C4"/>
                <w:sz w:val="13"/>
              </w:rPr>
              <w:t>F20</w:t>
            </w:r>
          </w:p>
        </w:tc>
        <w:tc>
          <w:tcPr>
            <w:tcW w:w="6347" w:type="dxa"/>
            <w:tcBorders>
              <w:bottom w:val="single" w:sz="12" w:space="0" w:color="auto"/>
            </w:tcBorders>
          </w:tcPr>
          <w:p w14:paraId="1C0DC249" w14:textId="77777777" w:rsidR="00182709" w:rsidRDefault="0044097C">
            <w:pPr>
              <w:jc w:val="left"/>
            </w:pPr>
            <w:r>
              <w:t>Other specific purpose grants</w:t>
            </w:r>
          </w:p>
        </w:tc>
        <w:tc>
          <w:tcPr>
            <w:tcW w:w="866" w:type="dxa"/>
            <w:tcBorders>
              <w:bottom w:val="single" w:sz="12" w:space="0" w:color="auto"/>
            </w:tcBorders>
          </w:tcPr>
          <w:p w14:paraId="56E33B71" w14:textId="77777777" w:rsidR="00182709" w:rsidRDefault="0044097C">
            <w:r>
              <w:t>45</w:t>
            </w:r>
          </w:p>
        </w:tc>
        <w:tc>
          <w:tcPr>
            <w:tcW w:w="866" w:type="dxa"/>
            <w:tcBorders>
              <w:bottom w:val="single" w:sz="12" w:space="0" w:color="auto"/>
            </w:tcBorders>
          </w:tcPr>
          <w:p w14:paraId="666C3E7B" w14:textId="77777777" w:rsidR="00182709" w:rsidRDefault="0044097C">
            <w:r>
              <w:t>50</w:t>
            </w:r>
          </w:p>
        </w:tc>
      </w:tr>
      <w:tr w:rsidR="00671D55" w14:paraId="11F8A030" w14:textId="77777777" w:rsidTr="006F25E9">
        <w:tc>
          <w:tcPr>
            <w:tcW w:w="1560" w:type="dxa"/>
            <w:tcBorders>
              <w:bottom w:val="nil"/>
            </w:tcBorders>
          </w:tcPr>
          <w:p w14:paraId="35602945" w14:textId="77777777" w:rsidR="00182709" w:rsidRDefault="00182709">
            <w:pPr>
              <w:jc w:val="left"/>
            </w:pPr>
          </w:p>
        </w:tc>
        <w:tc>
          <w:tcPr>
            <w:tcW w:w="6347" w:type="dxa"/>
          </w:tcPr>
          <w:p w14:paraId="451C04E6" w14:textId="77777777" w:rsidR="00182709" w:rsidRDefault="0044097C">
            <w:pPr>
              <w:jc w:val="left"/>
            </w:pPr>
            <w:r>
              <w:rPr>
                <w:b/>
              </w:rPr>
              <w:t>Total grants</w:t>
            </w:r>
          </w:p>
        </w:tc>
        <w:tc>
          <w:tcPr>
            <w:tcW w:w="866" w:type="dxa"/>
          </w:tcPr>
          <w:p w14:paraId="5EF4B44F" w14:textId="77777777" w:rsidR="00182709" w:rsidRDefault="0044097C">
            <w:r>
              <w:rPr>
                <w:b/>
              </w:rPr>
              <w:t>288</w:t>
            </w:r>
          </w:p>
        </w:tc>
        <w:tc>
          <w:tcPr>
            <w:tcW w:w="866" w:type="dxa"/>
          </w:tcPr>
          <w:p w14:paraId="6CB622D9" w14:textId="40E14EB2" w:rsidR="00182709" w:rsidRDefault="0044097C">
            <w:r>
              <w:rPr>
                <w:b/>
              </w:rPr>
              <w:t>255</w:t>
            </w:r>
          </w:p>
        </w:tc>
      </w:tr>
    </w:tbl>
    <w:p w14:paraId="2C5E8B2B" w14:textId="2EAE6399" w:rsidR="00252976" w:rsidRDefault="00252976" w:rsidP="00DC39DE"/>
    <w:p w14:paraId="420DB2EF" w14:textId="212F91DC" w:rsidR="003719CD" w:rsidRPr="00830E01" w:rsidRDefault="003719CD" w:rsidP="00830E01">
      <w:pPr>
        <w:keepLines w:val="0"/>
        <w:rPr>
          <w:b/>
          <w:bCs/>
        </w:rPr>
      </w:pPr>
      <w:r w:rsidRPr="00830E01">
        <w:rPr>
          <w:b/>
          <w:bCs/>
        </w:rPr>
        <w:t>Grants recognised under AASB 1058</w:t>
      </w:r>
    </w:p>
    <w:p w14:paraId="22964B26" w14:textId="70D014CA" w:rsidR="003719CD" w:rsidRDefault="003719CD" w:rsidP="00DC39DE">
      <w:r>
        <w:t xml:space="preserve">The </w:t>
      </w:r>
      <w:r w:rsidR="00DB1350">
        <w:t xml:space="preserve">Department </w:t>
      </w:r>
      <w:r>
        <w:t>has determined that the grant income included in the table above under AASB 1058 has been earned under arrangements that are either not enforceable and/or linked to sufficiently specific performance obligations.</w:t>
      </w:r>
    </w:p>
    <w:p w14:paraId="7ACDBFDA" w14:textId="45681FFE" w:rsidR="003719CD" w:rsidRDefault="003719CD" w:rsidP="007D536F">
      <w:r>
        <w:t xml:space="preserve">Income from grants without any sufficiently specific performance obligations, or that are not enforceable, is recognised when the </w:t>
      </w:r>
      <w:r w:rsidR="00DB1350">
        <w:t xml:space="preserve">Department </w:t>
      </w:r>
      <w:r>
        <w:t xml:space="preserve">has an unconditional right to receive cash which usually coincides with receipt of cash. On initial recognition of the asset, the </w:t>
      </w:r>
      <w:r w:rsidR="00DB1350">
        <w:t xml:space="preserve">Department </w:t>
      </w:r>
      <w:r>
        <w:t xml:space="preserve">recognises any related contributions by owners, increases in liabilities, decreases in assets, and revenue (‘related amounts’) in accordance with other Australian Accounting Standards. Related amounts may take the form of: </w:t>
      </w:r>
    </w:p>
    <w:p w14:paraId="4246003D" w14:textId="55B6C405" w:rsidR="003719CD" w:rsidRDefault="003719CD" w:rsidP="00310F12">
      <w:pPr>
        <w:pStyle w:val="ListBullet"/>
      </w:pPr>
      <w:r>
        <w:t>contributions by owners, in accordance with AASB 1004</w:t>
      </w:r>
    </w:p>
    <w:p w14:paraId="1283E952" w14:textId="5F8AE807" w:rsidR="003719CD" w:rsidRDefault="003719CD" w:rsidP="00310F12">
      <w:pPr>
        <w:pStyle w:val="ListBullet"/>
      </w:pPr>
      <w:r>
        <w:t>revenue or a contract liability arising from a contract with a customer, in accordance with AASB 15</w:t>
      </w:r>
    </w:p>
    <w:p w14:paraId="699ABB5D" w14:textId="6EF44A2E" w:rsidR="003719CD" w:rsidRDefault="003719CD" w:rsidP="00310F12">
      <w:pPr>
        <w:pStyle w:val="ListBullet"/>
      </w:pPr>
      <w:r>
        <w:t>a lease liability in accordance with AASB 16</w:t>
      </w:r>
    </w:p>
    <w:p w14:paraId="7012D10C" w14:textId="2CCEA74C" w:rsidR="003719CD" w:rsidRDefault="003719CD" w:rsidP="00310F12">
      <w:pPr>
        <w:pStyle w:val="ListBullet"/>
      </w:pPr>
      <w:r>
        <w:t>a financial instrument, in accordance with AASB 9</w:t>
      </w:r>
    </w:p>
    <w:p w14:paraId="1CEAB9A4" w14:textId="00E746D1" w:rsidR="003719CD" w:rsidRDefault="003719CD" w:rsidP="00310F12">
      <w:pPr>
        <w:pStyle w:val="ListBullet"/>
      </w:pPr>
      <w:r>
        <w:t>a provision, in accordance with AASB 137.</w:t>
      </w:r>
    </w:p>
    <w:p w14:paraId="73E07ADA" w14:textId="0EF4C755" w:rsidR="003719CD" w:rsidRDefault="003719CD" w:rsidP="007D536F">
      <w:r>
        <w:t>Income received for specific purpose grants for on-passing is recognised simultaneously as the funds are immediately on</w:t>
      </w:r>
      <w:r w:rsidR="005D02C3">
        <w:t>-</w:t>
      </w:r>
      <w:r>
        <w:t xml:space="preserve">passed to the relevant recipient entities on behalf of the Commonwealth Government. </w:t>
      </w:r>
    </w:p>
    <w:p w14:paraId="05D5F8D5" w14:textId="77777777" w:rsidR="003719CD" w:rsidRDefault="003719CD" w:rsidP="00DC39DE">
      <w:r>
        <w:t xml:space="preserve">Income from grants to construct the Department’s Wantirna South data storage centre and the development and construction of the web infrastructure framework are recognised progressively as the asset is constructed. This aligns with the Department’s obligation to construct the asset. The progressive percentage costs incurred is used to recognise income because this most closely reflects the construction progress as costs are incurred as the works are done. </w:t>
      </w:r>
      <w:r w:rsidRPr="003E2FB4">
        <w:rPr>
          <w:rStyle w:val="Reference"/>
        </w:rPr>
        <w:t>[AASB</w:t>
      </w:r>
      <w:r>
        <w:rPr>
          <w:rStyle w:val="Reference"/>
        </w:rPr>
        <w:t> </w:t>
      </w:r>
      <w:r w:rsidRPr="003E2FB4">
        <w:rPr>
          <w:rStyle w:val="Reference"/>
        </w:rPr>
        <w:t>1058.32]</w:t>
      </w:r>
    </w:p>
    <w:p w14:paraId="7CB7ABC3" w14:textId="2AF6227F" w:rsidR="003719CD" w:rsidRDefault="003719CD" w:rsidP="007D536F">
      <w:pPr>
        <w:pStyle w:val="Heading4"/>
      </w:pPr>
      <w:r>
        <w:t>Grants recognised under AASB 15</w:t>
      </w:r>
    </w:p>
    <w:p w14:paraId="2D45545F" w14:textId="02BFC1BF" w:rsidR="003719CD" w:rsidRDefault="003719CD" w:rsidP="00DC39DE">
      <w:r>
        <w:t xml:space="preserve">Income from grants that are enforceable and with sufficiently specific performance obligations </w:t>
      </w:r>
      <w:r w:rsidR="00612D9A">
        <w:t>are</w:t>
      </w:r>
      <w:r>
        <w:t xml:space="preserve"> accounted for as revenue from contracts with customers under AASB 15. These grants relate to the provision of technology services. Revenue is recognised when the </w:t>
      </w:r>
      <w:r w:rsidR="00175453">
        <w:t xml:space="preserve">Department </w:t>
      </w:r>
      <w:r>
        <w:t>satisfies the performance obligation by providing the relevant technology services to the relevant health agencies.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108BECCB" w14:textId="77777777" w:rsidR="00E00691" w:rsidRDefault="00E00691">
      <w:pPr>
        <w:keepLines w:val="0"/>
        <w:rPr>
          <w:rFonts w:asciiTheme="majorHAnsi" w:eastAsiaTheme="majorEastAsia" w:hAnsiTheme="majorHAnsi" w:cstheme="majorBidi"/>
          <w:b/>
          <w:sz w:val="22"/>
          <w:szCs w:val="24"/>
        </w:rPr>
      </w:pPr>
      <w:r>
        <w:br w:type="page"/>
      </w:r>
    </w:p>
    <w:p w14:paraId="5F07479C" w14:textId="66BA34E4" w:rsidR="003719CD" w:rsidRDefault="003719CD" w:rsidP="00BB40F7">
      <w:pPr>
        <w:pStyle w:val="Heading3numbered"/>
      </w:pPr>
      <w:r>
        <w:lastRenderedPageBreak/>
        <w:t>Fair value of assets and services received free of charge or for nominal consideration recognised as income</w:t>
      </w:r>
    </w:p>
    <w:p w14:paraId="355305A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D3F53" w14:paraId="39195E98" w14:textId="77777777" w:rsidTr="003D3F53">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6973906A" w14:textId="77777777" w:rsidR="003D3F53" w:rsidRDefault="003D3F53" w:rsidP="003D3F53">
            <w:pPr>
              <w:keepNext/>
              <w:jc w:val="left"/>
            </w:pPr>
            <w:r>
              <w:rPr>
                <w:color w:val="4472C4"/>
                <w:sz w:val="13"/>
              </w:rPr>
              <w:t>Source reference</w:t>
            </w:r>
          </w:p>
        </w:tc>
        <w:tc>
          <w:tcPr>
            <w:tcW w:w="6558" w:type="dxa"/>
          </w:tcPr>
          <w:p w14:paraId="117828E6" w14:textId="77777777" w:rsidR="003D3F53" w:rsidRDefault="003D3F53" w:rsidP="003D3F53">
            <w:pPr>
              <w:keepNext/>
              <w:jc w:val="left"/>
            </w:pPr>
          </w:p>
        </w:tc>
        <w:tc>
          <w:tcPr>
            <w:tcW w:w="866" w:type="dxa"/>
          </w:tcPr>
          <w:p w14:paraId="49C5B2BB" w14:textId="38D54278" w:rsidR="003D3F53" w:rsidRDefault="003D3F53" w:rsidP="003D3F53">
            <w:pPr>
              <w:keepNext/>
            </w:pPr>
            <w:fldSimple w:instr="DOCPROPERTY  YearCurrent \* MERGEFORMAT">
              <w:r>
                <w:t>20X2</w:t>
              </w:r>
            </w:fldSimple>
          </w:p>
        </w:tc>
        <w:tc>
          <w:tcPr>
            <w:tcW w:w="866" w:type="dxa"/>
          </w:tcPr>
          <w:p w14:paraId="40668C18" w14:textId="57928D13" w:rsidR="003D3F53" w:rsidRDefault="003D3F53" w:rsidP="003D3F53">
            <w:pPr>
              <w:keepNext/>
            </w:pPr>
            <w:fldSimple w:instr="DOCPROPERTY  YearPrevious  \* MERGEFORMAT">
              <w:r>
                <w:t>20X1</w:t>
              </w:r>
            </w:fldSimple>
          </w:p>
        </w:tc>
      </w:tr>
      <w:tr w:rsidR="00182709" w14:paraId="092E6131" w14:textId="77777777" w:rsidTr="003D3F53">
        <w:tc>
          <w:tcPr>
            <w:tcW w:w="1349" w:type="dxa"/>
          </w:tcPr>
          <w:p w14:paraId="1D4EB9F3" w14:textId="77777777" w:rsidR="00182709" w:rsidRDefault="00182709">
            <w:pPr>
              <w:jc w:val="left"/>
            </w:pPr>
          </w:p>
        </w:tc>
        <w:tc>
          <w:tcPr>
            <w:tcW w:w="6558" w:type="dxa"/>
          </w:tcPr>
          <w:p w14:paraId="704052C0" w14:textId="77777777" w:rsidR="00182709" w:rsidRDefault="0044097C">
            <w:pPr>
              <w:jc w:val="left"/>
            </w:pPr>
            <w:r>
              <w:rPr>
                <w:b/>
              </w:rPr>
              <w:t>Assets</w:t>
            </w:r>
          </w:p>
        </w:tc>
        <w:tc>
          <w:tcPr>
            <w:tcW w:w="866" w:type="dxa"/>
          </w:tcPr>
          <w:p w14:paraId="6EB387C8" w14:textId="77777777" w:rsidR="00182709" w:rsidRDefault="00182709"/>
        </w:tc>
        <w:tc>
          <w:tcPr>
            <w:tcW w:w="866" w:type="dxa"/>
          </w:tcPr>
          <w:p w14:paraId="786D038E" w14:textId="77777777" w:rsidR="00182709" w:rsidRDefault="00182709"/>
        </w:tc>
      </w:tr>
      <w:tr w:rsidR="00182709" w14:paraId="359B4263" w14:textId="77777777" w:rsidTr="003D3F53">
        <w:tc>
          <w:tcPr>
            <w:tcW w:w="1349" w:type="dxa"/>
          </w:tcPr>
          <w:p w14:paraId="535338FE" w14:textId="77777777" w:rsidR="00182709" w:rsidRDefault="00182709">
            <w:pPr>
              <w:jc w:val="left"/>
            </w:pPr>
          </w:p>
        </w:tc>
        <w:tc>
          <w:tcPr>
            <w:tcW w:w="6558" w:type="dxa"/>
          </w:tcPr>
          <w:p w14:paraId="3ABE37D9" w14:textId="77777777" w:rsidR="00182709" w:rsidRDefault="0044097C">
            <w:pPr>
              <w:jc w:val="left"/>
            </w:pPr>
            <w:r>
              <w:t>Cash donations and gifts</w:t>
            </w:r>
          </w:p>
        </w:tc>
        <w:tc>
          <w:tcPr>
            <w:tcW w:w="866" w:type="dxa"/>
          </w:tcPr>
          <w:p w14:paraId="2E7155ED" w14:textId="77777777" w:rsidR="00182709" w:rsidRDefault="0044097C">
            <w:r>
              <w:t>1 023</w:t>
            </w:r>
          </w:p>
        </w:tc>
        <w:tc>
          <w:tcPr>
            <w:tcW w:w="866" w:type="dxa"/>
          </w:tcPr>
          <w:p w14:paraId="4CFA339F" w14:textId="77777777" w:rsidR="00182709" w:rsidRDefault="0044097C">
            <w:r>
              <w:t>790</w:t>
            </w:r>
          </w:p>
        </w:tc>
      </w:tr>
      <w:tr w:rsidR="00182709" w14:paraId="5CD8D65C" w14:textId="77777777" w:rsidTr="003D3F53">
        <w:tc>
          <w:tcPr>
            <w:tcW w:w="1349" w:type="dxa"/>
          </w:tcPr>
          <w:p w14:paraId="204EB1D3" w14:textId="77777777" w:rsidR="00182709" w:rsidRDefault="00182709">
            <w:pPr>
              <w:jc w:val="left"/>
            </w:pPr>
          </w:p>
        </w:tc>
        <w:tc>
          <w:tcPr>
            <w:tcW w:w="6558" w:type="dxa"/>
          </w:tcPr>
          <w:p w14:paraId="0608A7AC" w14:textId="77777777" w:rsidR="00182709" w:rsidRDefault="0044097C">
            <w:pPr>
              <w:jc w:val="left"/>
            </w:pPr>
            <w:r>
              <w:t>Plant and equipment</w:t>
            </w:r>
          </w:p>
        </w:tc>
        <w:tc>
          <w:tcPr>
            <w:tcW w:w="866" w:type="dxa"/>
          </w:tcPr>
          <w:p w14:paraId="151537EB" w14:textId="77777777" w:rsidR="00182709" w:rsidRDefault="0044097C">
            <w:r>
              <w:t>33</w:t>
            </w:r>
          </w:p>
        </w:tc>
        <w:tc>
          <w:tcPr>
            <w:tcW w:w="866" w:type="dxa"/>
          </w:tcPr>
          <w:p w14:paraId="6A0F0251" w14:textId="77777777" w:rsidR="00182709" w:rsidRDefault="0044097C">
            <w:r>
              <w:t>16</w:t>
            </w:r>
          </w:p>
        </w:tc>
      </w:tr>
      <w:tr w:rsidR="00182709" w14:paraId="2A920522" w14:textId="77777777" w:rsidTr="003D3F53">
        <w:tc>
          <w:tcPr>
            <w:tcW w:w="1349" w:type="dxa"/>
          </w:tcPr>
          <w:p w14:paraId="05A467B5" w14:textId="77777777" w:rsidR="00182709" w:rsidRDefault="00182709">
            <w:pPr>
              <w:jc w:val="left"/>
            </w:pPr>
          </w:p>
        </w:tc>
        <w:tc>
          <w:tcPr>
            <w:tcW w:w="6558" w:type="dxa"/>
          </w:tcPr>
          <w:p w14:paraId="0F2B4DE5" w14:textId="77777777" w:rsidR="00182709" w:rsidRDefault="0044097C">
            <w:pPr>
              <w:jc w:val="left"/>
            </w:pPr>
            <w:r>
              <w:t>Land at fair value</w:t>
            </w:r>
          </w:p>
        </w:tc>
        <w:tc>
          <w:tcPr>
            <w:tcW w:w="866" w:type="dxa"/>
          </w:tcPr>
          <w:p w14:paraId="0B57F414" w14:textId="77777777" w:rsidR="00182709" w:rsidRDefault="0044097C">
            <w:r>
              <w:t>348</w:t>
            </w:r>
          </w:p>
        </w:tc>
        <w:tc>
          <w:tcPr>
            <w:tcW w:w="866" w:type="dxa"/>
          </w:tcPr>
          <w:p w14:paraId="483B6B59" w14:textId="77777777" w:rsidR="00182709" w:rsidRDefault="0044097C">
            <w:r>
              <w:t>525</w:t>
            </w:r>
          </w:p>
        </w:tc>
      </w:tr>
      <w:tr w:rsidR="00182709" w14:paraId="20194B47" w14:textId="77777777" w:rsidTr="003D3F53">
        <w:tc>
          <w:tcPr>
            <w:tcW w:w="1349" w:type="dxa"/>
          </w:tcPr>
          <w:p w14:paraId="3EDBADFC" w14:textId="77777777" w:rsidR="00182709" w:rsidRDefault="00182709">
            <w:pPr>
              <w:jc w:val="left"/>
            </w:pPr>
          </w:p>
        </w:tc>
        <w:tc>
          <w:tcPr>
            <w:tcW w:w="6558" w:type="dxa"/>
          </w:tcPr>
          <w:p w14:paraId="0CAE8513" w14:textId="77777777" w:rsidR="00182709" w:rsidRDefault="0044097C">
            <w:pPr>
              <w:jc w:val="left"/>
            </w:pPr>
            <w:r>
              <w:t>Buildings at fair value</w:t>
            </w:r>
          </w:p>
        </w:tc>
        <w:tc>
          <w:tcPr>
            <w:tcW w:w="866" w:type="dxa"/>
          </w:tcPr>
          <w:p w14:paraId="1E33EC4B" w14:textId="77777777" w:rsidR="00182709" w:rsidRDefault="0044097C">
            <w:r>
              <w:t>..</w:t>
            </w:r>
          </w:p>
        </w:tc>
        <w:tc>
          <w:tcPr>
            <w:tcW w:w="866" w:type="dxa"/>
          </w:tcPr>
          <w:p w14:paraId="48FCAA2D" w14:textId="77777777" w:rsidR="00182709" w:rsidRDefault="0044097C">
            <w:r>
              <w:t>325</w:t>
            </w:r>
          </w:p>
        </w:tc>
      </w:tr>
      <w:tr w:rsidR="00182709" w14:paraId="6831B10F" w14:textId="77777777" w:rsidTr="003D3F53">
        <w:tc>
          <w:tcPr>
            <w:tcW w:w="1349" w:type="dxa"/>
          </w:tcPr>
          <w:p w14:paraId="0569AED9" w14:textId="77777777" w:rsidR="00182709" w:rsidRDefault="00182709">
            <w:pPr>
              <w:jc w:val="left"/>
            </w:pPr>
          </w:p>
        </w:tc>
        <w:tc>
          <w:tcPr>
            <w:tcW w:w="6558" w:type="dxa"/>
          </w:tcPr>
          <w:p w14:paraId="42657C52" w14:textId="77777777" w:rsidR="00182709" w:rsidRDefault="0044097C">
            <w:pPr>
              <w:jc w:val="left"/>
            </w:pPr>
            <w:r>
              <w:t>Road, infrastructure and earthworks at fair value</w:t>
            </w:r>
          </w:p>
        </w:tc>
        <w:tc>
          <w:tcPr>
            <w:tcW w:w="866" w:type="dxa"/>
          </w:tcPr>
          <w:p w14:paraId="4A5F2630" w14:textId="77777777" w:rsidR="00182709" w:rsidRDefault="0044097C">
            <w:r>
              <w:t>109</w:t>
            </w:r>
          </w:p>
        </w:tc>
        <w:tc>
          <w:tcPr>
            <w:tcW w:w="866" w:type="dxa"/>
          </w:tcPr>
          <w:p w14:paraId="3F48D575" w14:textId="77777777" w:rsidR="00182709" w:rsidRDefault="0044097C">
            <w:r>
              <w:t>..</w:t>
            </w:r>
          </w:p>
        </w:tc>
      </w:tr>
      <w:tr w:rsidR="00182709" w14:paraId="7B3AA84C" w14:textId="77777777" w:rsidTr="003D3F53">
        <w:tc>
          <w:tcPr>
            <w:tcW w:w="1349" w:type="dxa"/>
          </w:tcPr>
          <w:p w14:paraId="55627832" w14:textId="77777777" w:rsidR="00182709" w:rsidRDefault="00182709">
            <w:pPr>
              <w:jc w:val="left"/>
            </w:pPr>
          </w:p>
        </w:tc>
        <w:tc>
          <w:tcPr>
            <w:tcW w:w="6558" w:type="dxa"/>
          </w:tcPr>
          <w:p w14:paraId="3DA9F7A5" w14:textId="77777777" w:rsidR="00182709" w:rsidRDefault="0044097C">
            <w:pPr>
              <w:jc w:val="left"/>
            </w:pPr>
            <w:r>
              <w:t>Other</w:t>
            </w:r>
          </w:p>
        </w:tc>
        <w:tc>
          <w:tcPr>
            <w:tcW w:w="866" w:type="dxa"/>
          </w:tcPr>
          <w:p w14:paraId="3C8E5AD8" w14:textId="77777777" w:rsidR="00182709" w:rsidRDefault="0044097C">
            <w:r>
              <w:t>76</w:t>
            </w:r>
          </w:p>
        </w:tc>
        <w:tc>
          <w:tcPr>
            <w:tcW w:w="866" w:type="dxa"/>
          </w:tcPr>
          <w:p w14:paraId="3C3FEB82" w14:textId="77777777" w:rsidR="00182709" w:rsidRDefault="0044097C">
            <w:r>
              <w:t>52</w:t>
            </w:r>
          </w:p>
        </w:tc>
      </w:tr>
      <w:tr w:rsidR="00182709" w14:paraId="60146CA2" w14:textId="77777777" w:rsidTr="003D3F53">
        <w:tc>
          <w:tcPr>
            <w:tcW w:w="1349" w:type="dxa"/>
          </w:tcPr>
          <w:p w14:paraId="14577628" w14:textId="77777777" w:rsidR="00182709" w:rsidRDefault="00182709">
            <w:pPr>
              <w:jc w:val="left"/>
            </w:pPr>
          </w:p>
        </w:tc>
        <w:tc>
          <w:tcPr>
            <w:tcW w:w="6558" w:type="dxa"/>
            <w:tcBorders>
              <w:bottom w:val="single" w:sz="12" w:space="0" w:color="auto"/>
            </w:tcBorders>
          </w:tcPr>
          <w:p w14:paraId="7A5C8A76" w14:textId="77777777" w:rsidR="00182709" w:rsidRDefault="0044097C">
            <w:pPr>
              <w:jc w:val="left"/>
            </w:pPr>
            <w:r>
              <w:rPr>
                <w:b/>
              </w:rPr>
              <w:t>Services</w:t>
            </w:r>
          </w:p>
        </w:tc>
        <w:tc>
          <w:tcPr>
            <w:tcW w:w="866" w:type="dxa"/>
            <w:tcBorders>
              <w:bottom w:val="single" w:sz="12" w:space="0" w:color="auto"/>
            </w:tcBorders>
          </w:tcPr>
          <w:p w14:paraId="4B38B7F8" w14:textId="77777777" w:rsidR="00182709" w:rsidRDefault="0044097C">
            <w:r>
              <w:t>..</w:t>
            </w:r>
          </w:p>
        </w:tc>
        <w:tc>
          <w:tcPr>
            <w:tcW w:w="866" w:type="dxa"/>
            <w:tcBorders>
              <w:bottom w:val="single" w:sz="12" w:space="0" w:color="auto"/>
            </w:tcBorders>
          </w:tcPr>
          <w:p w14:paraId="59F67C89" w14:textId="77777777" w:rsidR="00182709" w:rsidRDefault="0044097C">
            <w:r>
              <w:t>..</w:t>
            </w:r>
          </w:p>
        </w:tc>
      </w:tr>
      <w:tr w:rsidR="00671D55" w14:paraId="6ECE1FBB" w14:textId="77777777" w:rsidTr="003D3F53">
        <w:tc>
          <w:tcPr>
            <w:tcW w:w="1349" w:type="dxa"/>
            <w:tcBorders>
              <w:bottom w:val="nil"/>
            </w:tcBorders>
          </w:tcPr>
          <w:p w14:paraId="0A986D07" w14:textId="77777777" w:rsidR="00182709" w:rsidRDefault="0044097C">
            <w:pPr>
              <w:jc w:val="left"/>
            </w:pPr>
            <w:r>
              <w:rPr>
                <w:color w:val="4472C4"/>
                <w:sz w:val="13"/>
              </w:rPr>
              <w:t>AASB 1058.8</w:t>
            </w:r>
          </w:p>
        </w:tc>
        <w:tc>
          <w:tcPr>
            <w:tcW w:w="6558" w:type="dxa"/>
          </w:tcPr>
          <w:p w14:paraId="149B67C8" w14:textId="77777777" w:rsidR="00182709" w:rsidRDefault="0044097C">
            <w:pPr>
              <w:jc w:val="left"/>
            </w:pPr>
            <w:r>
              <w:rPr>
                <w:b/>
              </w:rPr>
              <w:t>Total fair value of assets and services received free of charge or for nominal consideration</w:t>
            </w:r>
          </w:p>
        </w:tc>
        <w:tc>
          <w:tcPr>
            <w:tcW w:w="866" w:type="dxa"/>
          </w:tcPr>
          <w:p w14:paraId="28E92D03" w14:textId="77777777" w:rsidR="00182709" w:rsidRDefault="0044097C">
            <w:r>
              <w:rPr>
                <w:b/>
              </w:rPr>
              <w:t>1 589</w:t>
            </w:r>
          </w:p>
        </w:tc>
        <w:tc>
          <w:tcPr>
            <w:tcW w:w="866" w:type="dxa"/>
          </w:tcPr>
          <w:p w14:paraId="14709F43" w14:textId="77777777" w:rsidR="00182709" w:rsidRDefault="0044097C">
            <w:r>
              <w:rPr>
                <w:b/>
              </w:rPr>
              <w:t>1 708</w:t>
            </w:r>
          </w:p>
        </w:tc>
      </w:tr>
    </w:tbl>
    <w:p w14:paraId="60F21071" w14:textId="77777777" w:rsidR="003719CD" w:rsidRDefault="003719CD" w:rsidP="00DC39DE">
      <w:r>
        <w:t xml:space="preserve">Contributions of resources provided free of charge or for nominal consideration are recognised at their fair value when the recipient obtains control over the resources, irrespective of whether restrictions or conditions are imposed over the use of the contributions. </w:t>
      </w:r>
    </w:p>
    <w:p w14:paraId="416DAD32" w14:textId="77777777" w:rsidR="003719CD" w:rsidRDefault="003719CD" w:rsidP="00DC39DE">
      <w:r>
        <w:t xml:space="preserve">The exception to this would be when the resource is received from another government department (or agency) as a consequence of a restructuring of administrative arrangements, in which case such a transfer will be recognised at its carrying value in the transferring department or agency as a capital contribution transfer. </w:t>
      </w:r>
    </w:p>
    <w:p w14:paraId="279A3174" w14:textId="03022F94" w:rsidR="00252976" w:rsidRDefault="003719CD" w:rsidP="00DC39DE">
      <w:r w:rsidRPr="003E2FB4">
        <w:rPr>
          <w:b/>
          <w:bCs/>
        </w:rPr>
        <w:t>Voluntary Services</w:t>
      </w:r>
      <w:r>
        <w:t xml:space="preserve">: Contributions in the form of services are only recognised when a fair value can be reliably determined and the services would have been purchased if not donated. The Department did not receive any volunteer services and does not depend on volunteers to deliver its services. </w:t>
      </w:r>
      <w:r w:rsidRPr="003E2FB4">
        <w:rPr>
          <w:rStyle w:val="Reference"/>
        </w:rPr>
        <w:t>[AASB 1058.18]</w:t>
      </w:r>
      <w:r>
        <w:t xml:space="preserve"> </w:t>
      </w:r>
    </w:p>
    <w:p w14:paraId="61680442" w14:textId="77777777" w:rsidR="003719CD" w:rsidRDefault="003719CD" w:rsidP="00BB40F7">
      <w:pPr>
        <w:pStyle w:val="Heading3numbered"/>
      </w:pPr>
      <w:r>
        <w:t>Other income</w:t>
      </w:r>
    </w:p>
    <w:p w14:paraId="6E783F00"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D3F53" w14:paraId="4413CEBE" w14:textId="77777777" w:rsidTr="003D3F53">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28DEBA79" w14:textId="77777777" w:rsidR="003D3F53" w:rsidRDefault="003D3F53" w:rsidP="003D3F53">
            <w:pPr>
              <w:keepNext/>
              <w:jc w:val="left"/>
            </w:pPr>
            <w:r>
              <w:rPr>
                <w:color w:val="4472C4"/>
                <w:sz w:val="13"/>
              </w:rPr>
              <w:t>Source reference</w:t>
            </w:r>
          </w:p>
        </w:tc>
        <w:tc>
          <w:tcPr>
            <w:tcW w:w="6558" w:type="dxa"/>
          </w:tcPr>
          <w:p w14:paraId="03A48735" w14:textId="77777777" w:rsidR="003D3F53" w:rsidRDefault="003D3F53" w:rsidP="003D3F53">
            <w:pPr>
              <w:keepNext/>
              <w:jc w:val="left"/>
            </w:pPr>
          </w:p>
        </w:tc>
        <w:tc>
          <w:tcPr>
            <w:tcW w:w="866" w:type="dxa"/>
          </w:tcPr>
          <w:p w14:paraId="59E3A829" w14:textId="2F9E8674" w:rsidR="003D3F53" w:rsidRDefault="003D3F53" w:rsidP="003D3F53">
            <w:pPr>
              <w:keepNext/>
            </w:pPr>
            <w:fldSimple w:instr="DOCPROPERTY  YearCurrent \* MERGEFORMAT">
              <w:r>
                <w:t>20X2</w:t>
              </w:r>
            </w:fldSimple>
          </w:p>
        </w:tc>
        <w:tc>
          <w:tcPr>
            <w:tcW w:w="866" w:type="dxa"/>
          </w:tcPr>
          <w:p w14:paraId="0DB717AC" w14:textId="55445729" w:rsidR="003D3F53" w:rsidRDefault="003D3F53" w:rsidP="003D3F53">
            <w:pPr>
              <w:keepNext/>
            </w:pPr>
            <w:fldSimple w:instr="DOCPROPERTY  YearPrevious  \* MERGEFORMAT">
              <w:r>
                <w:t>20X1</w:t>
              </w:r>
            </w:fldSimple>
          </w:p>
        </w:tc>
      </w:tr>
      <w:tr w:rsidR="00182709" w14:paraId="30291383" w14:textId="77777777" w:rsidTr="003D3F53">
        <w:tc>
          <w:tcPr>
            <w:tcW w:w="1349" w:type="dxa"/>
          </w:tcPr>
          <w:p w14:paraId="46EF1DC6" w14:textId="77777777" w:rsidR="00182709" w:rsidRDefault="0044097C">
            <w:pPr>
              <w:jc w:val="left"/>
            </w:pPr>
            <w:r w:rsidRPr="2856114A">
              <w:rPr>
                <w:color w:val="4472C4" w:themeColor="accent1"/>
                <w:sz w:val="13"/>
                <w:szCs w:val="13"/>
              </w:rPr>
              <w:t>AASB 16.90(b) 140.75 (f)(i)</w:t>
            </w:r>
          </w:p>
        </w:tc>
        <w:tc>
          <w:tcPr>
            <w:tcW w:w="6558" w:type="dxa"/>
          </w:tcPr>
          <w:p w14:paraId="5E560B18" w14:textId="77777777" w:rsidR="00182709" w:rsidRDefault="0044097C">
            <w:pPr>
              <w:jc w:val="left"/>
            </w:pPr>
            <w:r>
              <w:t xml:space="preserve">Rental income – Investment properties </w:t>
            </w:r>
            <w:r>
              <w:rPr>
                <w:vertAlign w:val="superscript"/>
              </w:rPr>
              <w:t>(a)</w:t>
            </w:r>
          </w:p>
        </w:tc>
        <w:tc>
          <w:tcPr>
            <w:tcW w:w="866" w:type="dxa"/>
          </w:tcPr>
          <w:p w14:paraId="25F49394" w14:textId="77777777" w:rsidR="00182709" w:rsidRDefault="0044097C">
            <w:r>
              <w:t>2 215</w:t>
            </w:r>
          </w:p>
        </w:tc>
        <w:tc>
          <w:tcPr>
            <w:tcW w:w="866" w:type="dxa"/>
          </w:tcPr>
          <w:p w14:paraId="32CE51E9" w14:textId="77777777" w:rsidR="00182709" w:rsidRDefault="0044097C">
            <w:r>
              <w:t>1 440</w:t>
            </w:r>
          </w:p>
        </w:tc>
      </w:tr>
      <w:tr w:rsidR="00182709" w14:paraId="32554A3A" w14:textId="77777777" w:rsidTr="003D3F53">
        <w:tc>
          <w:tcPr>
            <w:tcW w:w="1349" w:type="dxa"/>
          </w:tcPr>
          <w:p w14:paraId="32DE6773" w14:textId="77777777" w:rsidR="00182709" w:rsidRDefault="0044097C">
            <w:pPr>
              <w:jc w:val="left"/>
            </w:pPr>
            <w:r>
              <w:rPr>
                <w:color w:val="4472C4"/>
                <w:sz w:val="13"/>
              </w:rPr>
              <w:t>AASB 101.97</w:t>
            </w:r>
          </w:p>
        </w:tc>
        <w:tc>
          <w:tcPr>
            <w:tcW w:w="6558" w:type="dxa"/>
          </w:tcPr>
          <w:p w14:paraId="19337EF8" w14:textId="77777777" w:rsidR="00182709" w:rsidRDefault="0044097C">
            <w:pPr>
              <w:jc w:val="left"/>
            </w:pPr>
            <w:r>
              <w:t>Dividends received from investments</w:t>
            </w:r>
          </w:p>
        </w:tc>
        <w:tc>
          <w:tcPr>
            <w:tcW w:w="866" w:type="dxa"/>
          </w:tcPr>
          <w:p w14:paraId="679AC1EA" w14:textId="77777777" w:rsidR="00182709" w:rsidRDefault="0044097C">
            <w:r>
              <w:t>1 698</w:t>
            </w:r>
          </w:p>
        </w:tc>
        <w:tc>
          <w:tcPr>
            <w:tcW w:w="866" w:type="dxa"/>
          </w:tcPr>
          <w:p w14:paraId="370E1556" w14:textId="77777777" w:rsidR="00182709" w:rsidRDefault="0044097C">
            <w:r>
              <w:t>1 611</w:t>
            </w:r>
          </w:p>
        </w:tc>
      </w:tr>
      <w:tr w:rsidR="00182709" w14:paraId="7CE6383C" w14:textId="77777777" w:rsidTr="003D3F53">
        <w:tc>
          <w:tcPr>
            <w:tcW w:w="1349" w:type="dxa"/>
          </w:tcPr>
          <w:p w14:paraId="0D0D5F93" w14:textId="77777777" w:rsidR="00182709" w:rsidRDefault="0044097C">
            <w:pPr>
              <w:jc w:val="left"/>
            </w:pPr>
            <w:r>
              <w:rPr>
                <w:color w:val="4472C4"/>
                <w:sz w:val="13"/>
              </w:rPr>
              <w:t>AASB 15.104</w:t>
            </w:r>
          </w:p>
        </w:tc>
        <w:tc>
          <w:tcPr>
            <w:tcW w:w="6558" w:type="dxa"/>
          </w:tcPr>
          <w:p w14:paraId="55184F56" w14:textId="77777777" w:rsidR="00182709" w:rsidRDefault="0044097C">
            <w:pPr>
              <w:jc w:val="left"/>
            </w:pPr>
            <w:r>
              <w:t>Bad debts reversal</w:t>
            </w:r>
          </w:p>
        </w:tc>
        <w:tc>
          <w:tcPr>
            <w:tcW w:w="866" w:type="dxa"/>
          </w:tcPr>
          <w:p w14:paraId="20A87448" w14:textId="77777777" w:rsidR="00182709" w:rsidRDefault="0044097C">
            <w:r>
              <w:t>30</w:t>
            </w:r>
          </w:p>
        </w:tc>
        <w:tc>
          <w:tcPr>
            <w:tcW w:w="866" w:type="dxa"/>
          </w:tcPr>
          <w:p w14:paraId="7981A00E" w14:textId="77777777" w:rsidR="00182709" w:rsidRDefault="0044097C">
            <w:r>
              <w:t>15</w:t>
            </w:r>
          </w:p>
        </w:tc>
      </w:tr>
      <w:tr w:rsidR="00182709" w14:paraId="5F32D564" w14:textId="77777777" w:rsidTr="003D3F53">
        <w:tc>
          <w:tcPr>
            <w:tcW w:w="1349" w:type="dxa"/>
          </w:tcPr>
          <w:p w14:paraId="27085F71" w14:textId="77777777" w:rsidR="00182709" w:rsidRDefault="00182709">
            <w:pPr>
              <w:jc w:val="left"/>
            </w:pPr>
          </w:p>
        </w:tc>
        <w:tc>
          <w:tcPr>
            <w:tcW w:w="6558" w:type="dxa"/>
          </w:tcPr>
          <w:p w14:paraId="07423F75" w14:textId="77777777" w:rsidR="00182709" w:rsidRDefault="0044097C">
            <w:pPr>
              <w:jc w:val="left"/>
            </w:pPr>
            <w:r>
              <w:t>Revenue related to service concession arrangement</w:t>
            </w:r>
            <w:r>
              <w:rPr>
                <w:vertAlign w:val="superscript"/>
              </w:rPr>
              <w:t xml:space="preserve"> (b)</w:t>
            </w:r>
          </w:p>
        </w:tc>
        <w:tc>
          <w:tcPr>
            <w:tcW w:w="866" w:type="dxa"/>
          </w:tcPr>
          <w:p w14:paraId="138910F9" w14:textId="77777777" w:rsidR="00182709" w:rsidRDefault="0044097C">
            <w:r>
              <w:t>1 000</w:t>
            </w:r>
          </w:p>
        </w:tc>
        <w:tc>
          <w:tcPr>
            <w:tcW w:w="866" w:type="dxa"/>
          </w:tcPr>
          <w:p w14:paraId="0C5CCD0B" w14:textId="77777777" w:rsidR="00182709" w:rsidRDefault="0044097C">
            <w:r>
              <w:t>850</w:t>
            </w:r>
          </w:p>
        </w:tc>
      </w:tr>
      <w:tr w:rsidR="00182709" w14:paraId="20CBDC61" w14:textId="77777777" w:rsidTr="003D3F53">
        <w:tc>
          <w:tcPr>
            <w:tcW w:w="1349" w:type="dxa"/>
          </w:tcPr>
          <w:p w14:paraId="3C315896" w14:textId="77777777" w:rsidR="00182709" w:rsidRDefault="00182709">
            <w:pPr>
              <w:jc w:val="left"/>
            </w:pPr>
          </w:p>
        </w:tc>
        <w:tc>
          <w:tcPr>
            <w:tcW w:w="6558" w:type="dxa"/>
          </w:tcPr>
          <w:p w14:paraId="4C20449D" w14:textId="77777777" w:rsidR="00182709" w:rsidRDefault="0044097C">
            <w:pPr>
              <w:jc w:val="left"/>
            </w:pPr>
            <w:r>
              <w:t>Royalties</w:t>
            </w:r>
          </w:p>
        </w:tc>
        <w:tc>
          <w:tcPr>
            <w:tcW w:w="866" w:type="dxa"/>
          </w:tcPr>
          <w:p w14:paraId="0CF517E0" w14:textId="77777777" w:rsidR="00182709" w:rsidRDefault="0044097C">
            <w:r>
              <w:t>..</w:t>
            </w:r>
          </w:p>
        </w:tc>
        <w:tc>
          <w:tcPr>
            <w:tcW w:w="866" w:type="dxa"/>
          </w:tcPr>
          <w:p w14:paraId="31A1A1E0" w14:textId="77777777" w:rsidR="00182709" w:rsidRDefault="0044097C">
            <w:r>
              <w:t>..</w:t>
            </w:r>
          </w:p>
        </w:tc>
      </w:tr>
      <w:tr w:rsidR="00182709" w14:paraId="15EF08B5" w14:textId="77777777" w:rsidTr="003D3F53">
        <w:tc>
          <w:tcPr>
            <w:tcW w:w="1349" w:type="dxa"/>
          </w:tcPr>
          <w:p w14:paraId="47D22C16" w14:textId="77777777" w:rsidR="00182709" w:rsidRDefault="00182709">
            <w:pPr>
              <w:jc w:val="left"/>
            </w:pPr>
          </w:p>
        </w:tc>
        <w:tc>
          <w:tcPr>
            <w:tcW w:w="6558" w:type="dxa"/>
          </w:tcPr>
          <w:p w14:paraId="64F22055" w14:textId="109379F8" w:rsidR="00182709" w:rsidRDefault="0044097C">
            <w:pPr>
              <w:jc w:val="left"/>
            </w:pPr>
            <w:r>
              <w:t xml:space="preserve">Fines </w:t>
            </w:r>
            <w:r w:rsidR="00C10B54">
              <w:t>and</w:t>
            </w:r>
            <w:r>
              <w:t xml:space="preserve"> regulatory fees</w:t>
            </w:r>
          </w:p>
        </w:tc>
        <w:tc>
          <w:tcPr>
            <w:tcW w:w="866" w:type="dxa"/>
          </w:tcPr>
          <w:p w14:paraId="37CF3CA3" w14:textId="77777777" w:rsidR="00182709" w:rsidRDefault="0044097C">
            <w:r>
              <w:t>400</w:t>
            </w:r>
          </w:p>
        </w:tc>
        <w:tc>
          <w:tcPr>
            <w:tcW w:w="866" w:type="dxa"/>
          </w:tcPr>
          <w:p w14:paraId="2456184D" w14:textId="77777777" w:rsidR="00182709" w:rsidRDefault="0044097C">
            <w:r>
              <w:t>425</w:t>
            </w:r>
          </w:p>
        </w:tc>
      </w:tr>
      <w:tr w:rsidR="00182709" w14:paraId="5DA8CF6C" w14:textId="77777777" w:rsidTr="003D3F53">
        <w:tc>
          <w:tcPr>
            <w:tcW w:w="1349" w:type="dxa"/>
          </w:tcPr>
          <w:p w14:paraId="0E2DCD37" w14:textId="77777777" w:rsidR="00182709" w:rsidRDefault="00182709">
            <w:pPr>
              <w:jc w:val="left"/>
            </w:pPr>
          </w:p>
        </w:tc>
        <w:tc>
          <w:tcPr>
            <w:tcW w:w="6558" w:type="dxa"/>
          </w:tcPr>
          <w:p w14:paraId="0E267912" w14:textId="77777777" w:rsidR="00182709" w:rsidRDefault="0044097C">
            <w:pPr>
              <w:jc w:val="left"/>
            </w:pPr>
            <w:r>
              <w:t>Other miscellaneous income</w:t>
            </w:r>
          </w:p>
        </w:tc>
        <w:tc>
          <w:tcPr>
            <w:tcW w:w="866" w:type="dxa"/>
          </w:tcPr>
          <w:p w14:paraId="74FF62F4" w14:textId="77777777" w:rsidR="00182709" w:rsidRDefault="0044097C">
            <w:r>
              <w:t>40</w:t>
            </w:r>
          </w:p>
        </w:tc>
        <w:tc>
          <w:tcPr>
            <w:tcW w:w="866" w:type="dxa"/>
          </w:tcPr>
          <w:p w14:paraId="04842C6C" w14:textId="77777777" w:rsidR="00182709" w:rsidRDefault="0044097C">
            <w:r>
              <w:t>65</w:t>
            </w:r>
          </w:p>
        </w:tc>
      </w:tr>
      <w:tr w:rsidR="00182709" w14:paraId="7A767A94" w14:textId="77777777" w:rsidTr="003D3F53">
        <w:tc>
          <w:tcPr>
            <w:tcW w:w="1349" w:type="dxa"/>
          </w:tcPr>
          <w:p w14:paraId="302A582C" w14:textId="77777777" w:rsidR="00182709" w:rsidRDefault="00182709">
            <w:pPr>
              <w:jc w:val="left"/>
            </w:pPr>
          </w:p>
        </w:tc>
        <w:tc>
          <w:tcPr>
            <w:tcW w:w="6558" w:type="dxa"/>
            <w:tcBorders>
              <w:bottom w:val="single" w:sz="12" w:space="0" w:color="auto"/>
            </w:tcBorders>
          </w:tcPr>
          <w:p w14:paraId="63856613" w14:textId="77777777" w:rsidR="00182709" w:rsidRDefault="0044097C">
            <w:pPr>
              <w:jc w:val="left"/>
            </w:pPr>
            <w:r>
              <w:t>Forgiveness of liabilities</w:t>
            </w:r>
          </w:p>
        </w:tc>
        <w:tc>
          <w:tcPr>
            <w:tcW w:w="866" w:type="dxa"/>
            <w:tcBorders>
              <w:bottom w:val="single" w:sz="12" w:space="0" w:color="auto"/>
            </w:tcBorders>
          </w:tcPr>
          <w:p w14:paraId="0FA9DBCB" w14:textId="77777777" w:rsidR="00182709" w:rsidRDefault="0044097C">
            <w:r>
              <w:t>1 830</w:t>
            </w:r>
          </w:p>
        </w:tc>
        <w:tc>
          <w:tcPr>
            <w:tcW w:w="866" w:type="dxa"/>
            <w:tcBorders>
              <w:bottom w:val="single" w:sz="12" w:space="0" w:color="auto"/>
            </w:tcBorders>
          </w:tcPr>
          <w:p w14:paraId="0261BC03" w14:textId="77777777" w:rsidR="00182709" w:rsidRDefault="0044097C">
            <w:r>
              <w:t>1 420</w:t>
            </w:r>
          </w:p>
        </w:tc>
      </w:tr>
      <w:tr w:rsidR="00671D55" w14:paraId="5AC2360D" w14:textId="77777777" w:rsidTr="003D3F53">
        <w:tc>
          <w:tcPr>
            <w:tcW w:w="1349" w:type="dxa"/>
            <w:tcBorders>
              <w:bottom w:val="nil"/>
            </w:tcBorders>
          </w:tcPr>
          <w:p w14:paraId="2E498883" w14:textId="77777777" w:rsidR="00182709" w:rsidRDefault="00182709">
            <w:pPr>
              <w:jc w:val="left"/>
            </w:pPr>
          </w:p>
        </w:tc>
        <w:tc>
          <w:tcPr>
            <w:tcW w:w="6558" w:type="dxa"/>
          </w:tcPr>
          <w:p w14:paraId="5606E706" w14:textId="77777777" w:rsidR="00182709" w:rsidRDefault="0044097C">
            <w:pPr>
              <w:jc w:val="left"/>
            </w:pPr>
            <w:r>
              <w:rPr>
                <w:b/>
              </w:rPr>
              <w:t>Total other income</w:t>
            </w:r>
          </w:p>
        </w:tc>
        <w:tc>
          <w:tcPr>
            <w:tcW w:w="866" w:type="dxa"/>
          </w:tcPr>
          <w:p w14:paraId="61D9BE6C" w14:textId="77777777" w:rsidR="00182709" w:rsidRDefault="0044097C">
            <w:r>
              <w:rPr>
                <w:b/>
              </w:rPr>
              <w:t>7 213</w:t>
            </w:r>
          </w:p>
        </w:tc>
        <w:tc>
          <w:tcPr>
            <w:tcW w:w="866" w:type="dxa"/>
          </w:tcPr>
          <w:p w14:paraId="796B2EFD" w14:textId="77777777" w:rsidR="00182709" w:rsidRDefault="0044097C">
            <w:r>
              <w:rPr>
                <w:b/>
              </w:rPr>
              <w:t>5 826</w:t>
            </w:r>
          </w:p>
        </w:tc>
      </w:tr>
    </w:tbl>
    <w:p w14:paraId="49E738F2" w14:textId="77777777" w:rsidR="003719CD" w:rsidRDefault="003719CD" w:rsidP="007D536F">
      <w:pPr>
        <w:pStyle w:val="Note"/>
      </w:pPr>
      <w:r>
        <w:t>Notes:</w:t>
      </w:r>
    </w:p>
    <w:p w14:paraId="46807E4B" w14:textId="5E2B2F72" w:rsidR="003719CD" w:rsidRDefault="003719CD" w:rsidP="007D536F">
      <w:pPr>
        <w:pStyle w:val="Note"/>
      </w:pPr>
      <w:r>
        <w:t>(a)</w:t>
      </w:r>
      <w:r>
        <w:tab/>
      </w:r>
      <w:r w:rsidR="009809AC">
        <w:t>I</w:t>
      </w:r>
      <w:r>
        <w:t>nvestment properties are reported in Note 5.2.</w:t>
      </w:r>
    </w:p>
    <w:p w14:paraId="4A79F00B" w14:textId="77777777" w:rsidR="003719CD" w:rsidRDefault="003719CD" w:rsidP="007D536F">
      <w:pPr>
        <w:pStyle w:val="Note"/>
      </w:pPr>
      <w:r>
        <w:t>(b)</w:t>
      </w:r>
      <w:r>
        <w:tab/>
        <w:t xml:space="preserve">This revenue relates to the Intellectual property and registry functions commercialisation and reflects the progressive unwinding of the ‘grant of right to operate liability’ (Note 6.2 Payables) over the remaining period of the arrangement. Refer to Note 7.5.3 AASB 1059 </w:t>
      </w:r>
      <w:r w:rsidRPr="00830E01">
        <w:t>Service Concession Arrangements: Grantors</w:t>
      </w:r>
      <w:r w:rsidRPr="008804C5">
        <w:rPr>
          <w:i w:val="0"/>
          <w:iCs/>
        </w:rPr>
        <w:t xml:space="preserve"> </w:t>
      </w:r>
      <w:r>
        <w:t>for more details.</w:t>
      </w:r>
    </w:p>
    <w:p w14:paraId="42FAA5F2" w14:textId="77777777" w:rsidR="003719CD" w:rsidRDefault="003719CD" w:rsidP="00DC39DE">
      <w:bookmarkStart w:id="24" w:name="_Hlk63930580"/>
      <w:r w:rsidRPr="00B96B10">
        <w:rPr>
          <w:b/>
          <w:bCs/>
        </w:rPr>
        <w:t>Dividend income</w:t>
      </w:r>
      <w:r>
        <w:t xml:space="preserve"> is recognised when the right to receive payment is established. Dividends represent the income arising from the Department’s investments in financial assets. The Department does not recognise dividends received or receivable from its associates and joint ventures as income. Instead, dividends from associates and joint ventures are adjusted directly against the carrying amount of the investments using the equity method.</w:t>
      </w:r>
    </w:p>
    <w:p w14:paraId="24BD077D" w14:textId="3F962439" w:rsidR="003719CD" w:rsidRDefault="003719CD" w:rsidP="00DC39DE">
      <w:r w:rsidRPr="00B96B10">
        <w:rPr>
          <w:b/>
          <w:bCs/>
        </w:rPr>
        <w:t>Rental income</w:t>
      </w:r>
      <w:r>
        <w:t xml:space="preserve"> from leasing of investment properties </w:t>
      </w:r>
      <w:r w:rsidR="00C055BF">
        <w:t xml:space="preserve">that </w:t>
      </w:r>
      <w:r>
        <w:t xml:space="preserve">are operating leases are recognised on a straight-line basis over the lease term. </w:t>
      </w:r>
      <w:r w:rsidRPr="00AF446B">
        <w:rPr>
          <w:rStyle w:val="Reference"/>
        </w:rPr>
        <w:t>[AASB 16.81]</w:t>
      </w:r>
    </w:p>
    <w:p w14:paraId="02D50055" w14:textId="77777777" w:rsidR="003719CD" w:rsidRDefault="003719CD" w:rsidP="00DC39DE">
      <w:r>
        <w:t xml:space="preserve">Operating leases relate to the investment property owned by the Department with lease terms between five and 10 years, with an option to extend for a further 10 years. All operating lease contracts contain market review clauses in the event that the lessee exercises its option to renew. The lessee does not have an option to purchase the property at the expiry of the lease period. The risks associated with rights that the Department retains in underlying assets are not considered to be significant, the Department employs strategies to further minimise these risks. For example, ensuring all contracts include clauses requiring the lessee to compensate the Department when a property has been subject to excess wear and tear during the lease term. </w:t>
      </w:r>
      <w:r w:rsidRPr="00AF446B">
        <w:rPr>
          <w:rStyle w:val="Reference"/>
        </w:rPr>
        <w:t>[AASB 16.92]</w:t>
      </w:r>
    </w:p>
    <w:p w14:paraId="407A8004" w14:textId="77777777" w:rsidR="003719CD" w:rsidRDefault="003719CD" w:rsidP="007D536F">
      <w:pPr>
        <w:pStyle w:val="TableUnits"/>
      </w:pPr>
      <w:r>
        <w:lastRenderedPageBreak/>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D3F53" w14:paraId="4CEDB2E6" w14:textId="77777777" w:rsidTr="003D3F53">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545D9F37" w14:textId="77777777" w:rsidR="003D3F53" w:rsidRDefault="003D3F53" w:rsidP="003D3F53">
            <w:pPr>
              <w:keepNext/>
              <w:jc w:val="left"/>
            </w:pPr>
            <w:r>
              <w:rPr>
                <w:color w:val="4472C4"/>
                <w:sz w:val="13"/>
              </w:rPr>
              <w:t>Source reference</w:t>
            </w:r>
          </w:p>
        </w:tc>
        <w:tc>
          <w:tcPr>
            <w:tcW w:w="6558" w:type="dxa"/>
          </w:tcPr>
          <w:p w14:paraId="26B1D55A" w14:textId="77777777" w:rsidR="003D3F53" w:rsidRDefault="003D3F53" w:rsidP="003D3F53">
            <w:pPr>
              <w:keepNext/>
              <w:jc w:val="left"/>
            </w:pPr>
          </w:p>
        </w:tc>
        <w:tc>
          <w:tcPr>
            <w:tcW w:w="866" w:type="dxa"/>
          </w:tcPr>
          <w:p w14:paraId="0F52A568" w14:textId="3E5F58FE" w:rsidR="003D3F53" w:rsidRDefault="003D3F53" w:rsidP="003D3F53">
            <w:pPr>
              <w:keepNext/>
            </w:pPr>
            <w:fldSimple w:instr="DOCPROPERTY  YearCurrent \* MERGEFORMAT">
              <w:r>
                <w:t>20X2</w:t>
              </w:r>
            </w:fldSimple>
          </w:p>
        </w:tc>
        <w:tc>
          <w:tcPr>
            <w:tcW w:w="866" w:type="dxa"/>
          </w:tcPr>
          <w:p w14:paraId="70A033BC" w14:textId="0D7FA279" w:rsidR="003D3F53" w:rsidRDefault="003D3F53" w:rsidP="003D3F53">
            <w:pPr>
              <w:keepNext/>
            </w:pPr>
            <w:fldSimple w:instr="DOCPROPERTY  YearPrevious  \* MERGEFORMAT">
              <w:r>
                <w:t>20X1</w:t>
              </w:r>
            </w:fldSimple>
          </w:p>
        </w:tc>
      </w:tr>
      <w:tr w:rsidR="00182709" w14:paraId="69ABE29F" w14:textId="77777777" w:rsidTr="003D3F53">
        <w:tc>
          <w:tcPr>
            <w:tcW w:w="1349" w:type="dxa"/>
          </w:tcPr>
          <w:p w14:paraId="55F50848" w14:textId="77777777" w:rsidR="00182709" w:rsidRDefault="0044097C">
            <w:pPr>
              <w:jc w:val="left"/>
            </w:pPr>
            <w:r>
              <w:rPr>
                <w:color w:val="4472C4"/>
                <w:sz w:val="13"/>
              </w:rPr>
              <w:t>AASB 16.97</w:t>
            </w:r>
          </w:p>
        </w:tc>
        <w:tc>
          <w:tcPr>
            <w:tcW w:w="6558" w:type="dxa"/>
          </w:tcPr>
          <w:p w14:paraId="344B8D1F" w14:textId="77777777" w:rsidR="00182709" w:rsidRDefault="0044097C">
            <w:pPr>
              <w:jc w:val="left"/>
            </w:pPr>
            <w:r>
              <w:t>Non‑cancellable operating lease receivables</w:t>
            </w:r>
          </w:p>
        </w:tc>
        <w:tc>
          <w:tcPr>
            <w:tcW w:w="866" w:type="dxa"/>
          </w:tcPr>
          <w:p w14:paraId="5171A55E" w14:textId="77777777" w:rsidR="00182709" w:rsidRDefault="00182709"/>
        </w:tc>
        <w:tc>
          <w:tcPr>
            <w:tcW w:w="866" w:type="dxa"/>
          </w:tcPr>
          <w:p w14:paraId="0FE1EF74" w14:textId="77777777" w:rsidR="00182709" w:rsidRDefault="00182709"/>
        </w:tc>
      </w:tr>
      <w:tr w:rsidR="00182709" w14:paraId="0D37E710" w14:textId="77777777" w:rsidTr="003D3F53">
        <w:tc>
          <w:tcPr>
            <w:tcW w:w="1349" w:type="dxa"/>
          </w:tcPr>
          <w:p w14:paraId="0221D16C" w14:textId="77777777" w:rsidR="00182709" w:rsidRDefault="00182709">
            <w:pPr>
              <w:jc w:val="left"/>
            </w:pPr>
          </w:p>
        </w:tc>
        <w:tc>
          <w:tcPr>
            <w:tcW w:w="6558" w:type="dxa"/>
          </w:tcPr>
          <w:p w14:paraId="666BBFAC" w14:textId="77777777" w:rsidR="00182709" w:rsidRDefault="0044097C">
            <w:pPr>
              <w:jc w:val="left"/>
            </w:pPr>
            <w:r>
              <w:t>Not longer than one year</w:t>
            </w:r>
          </w:p>
        </w:tc>
        <w:tc>
          <w:tcPr>
            <w:tcW w:w="866" w:type="dxa"/>
          </w:tcPr>
          <w:p w14:paraId="4EA52677" w14:textId="77777777" w:rsidR="00182709" w:rsidRDefault="0044097C">
            <w:r>
              <w:t>18</w:t>
            </w:r>
          </w:p>
        </w:tc>
        <w:tc>
          <w:tcPr>
            <w:tcW w:w="866" w:type="dxa"/>
          </w:tcPr>
          <w:p w14:paraId="30C1932D" w14:textId="77777777" w:rsidR="00182709" w:rsidRDefault="0044097C">
            <w:r>
              <w:t>18</w:t>
            </w:r>
          </w:p>
        </w:tc>
      </w:tr>
      <w:tr w:rsidR="00182709" w14:paraId="4B9A4C91" w14:textId="77777777" w:rsidTr="003D3F53">
        <w:tc>
          <w:tcPr>
            <w:tcW w:w="1349" w:type="dxa"/>
          </w:tcPr>
          <w:p w14:paraId="34A80FC1" w14:textId="77777777" w:rsidR="00182709" w:rsidRDefault="00182709">
            <w:pPr>
              <w:jc w:val="left"/>
            </w:pPr>
          </w:p>
        </w:tc>
        <w:tc>
          <w:tcPr>
            <w:tcW w:w="6558" w:type="dxa"/>
          </w:tcPr>
          <w:p w14:paraId="2E7128C5" w14:textId="77777777" w:rsidR="00182709" w:rsidRDefault="0044097C">
            <w:pPr>
              <w:jc w:val="left"/>
            </w:pPr>
            <w:r>
              <w:t>Longer than one year but not longer than five years</w:t>
            </w:r>
          </w:p>
        </w:tc>
        <w:tc>
          <w:tcPr>
            <w:tcW w:w="866" w:type="dxa"/>
          </w:tcPr>
          <w:p w14:paraId="4635D63F" w14:textId="77777777" w:rsidR="00182709" w:rsidRDefault="0044097C">
            <w:r>
              <w:t>32</w:t>
            </w:r>
          </w:p>
        </w:tc>
        <w:tc>
          <w:tcPr>
            <w:tcW w:w="866" w:type="dxa"/>
          </w:tcPr>
          <w:p w14:paraId="1A691012" w14:textId="77777777" w:rsidR="00182709" w:rsidRDefault="0044097C">
            <w:r>
              <w:t>47</w:t>
            </w:r>
          </w:p>
        </w:tc>
      </w:tr>
      <w:tr w:rsidR="00182709" w14:paraId="524C6554" w14:textId="77777777" w:rsidTr="003D3F53">
        <w:tc>
          <w:tcPr>
            <w:tcW w:w="1349" w:type="dxa"/>
          </w:tcPr>
          <w:p w14:paraId="79784232" w14:textId="77777777" w:rsidR="00182709" w:rsidRDefault="00182709">
            <w:pPr>
              <w:jc w:val="left"/>
            </w:pPr>
          </w:p>
        </w:tc>
        <w:tc>
          <w:tcPr>
            <w:tcW w:w="6558" w:type="dxa"/>
            <w:tcBorders>
              <w:bottom w:val="single" w:sz="12" w:space="0" w:color="auto"/>
            </w:tcBorders>
          </w:tcPr>
          <w:p w14:paraId="15906B1B" w14:textId="77777777" w:rsidR="00182709" w:rsidRDefault="0044097C">
            <w:pPr>
              <w:jc w:val="left"/>
            </w:pPr>
            <w:r>
              <w:t>Longer than five years</w:t>
            </w:r>
          </w:p>
        </w:tc>
        <w:tc>
          <w:tcPr>
            <w:tcW w:w="866" w:type="dxa"/>
            <w:tcBorders>
              <w:bottom w:val="single" w:sz="12" w:space="0" w:color="auto"/>
            </w:tcBorders>
          </w:tcPr>
          <w:p w14:paraId="6069B6DC" w14:textId="77777777" w:rsidR="00182709" w:rsidRDefault="0044097C">
            <w:r>
              <w:t>22</w:t>
            </w:r>
          </w:p>
        </w:tc>
        <w:tc>
          <w:tcPr>
            <w:tcW w:w="866" w:type="dxa"/>
            <w:tcBorders>
              <w:bottom w:val="single" w:sz="12" w:space="0" w:color="auto"/>
            </w:tcBorders>
          </w:tcPr>
          <w:p w14:paraId="5298FDC6" w14:textId="77777777" w:rsidR="00182709" w:rsidRDefault="0044097C">
            <w:r>
              <w:t>25</w:t>
            </w:r>
          </w:p>
        </w:tc>
      </w:tr>
      <w:tr w:rsidR="00671D55" w14:paraId="118957F3" w14:textId="77777777" w:rsidTr="003D3F53">
        <w:tc>
          <w:tcPr>
            <w:tcW w:w="1349" w:type="dxa"/>
            <w:tcBorders>
              <w:bottom w:val="nil"/>
            </w:tcBorders>
          </w:tcPr>
          <w:p w14:paraId="57D81D88" w14:textId="77777777" w:rsidR="00182709" w:rsidRDefault="00182709">
            <w:pPr>
              <w:jc w:val="left"/>
            </w:pPr>
          </w:p>
        </w:tc>
        <w:tc>
          <w:tcPr>
            <w:tcW w:w="6558" w:type="dxa"/>
          </w:tcPr>
          <w:p w14:paraId="18F1D854" w14:textId="0CBB1709" w:rsidR="00182709" w:rsidRDefault="0044097C">
            <w:pPr>
              <w:jc w:val="left"/>
            </w:pPr>
            <w:r>
              <w:rPr>
                <w:b/>
              </w:rPr>
              <w:t>Total</w:t>
            </w:r>
          </w:p>
        </w:tc>
        <w:tc>
          <w:tcPr>
            <w:tcW w:w="866" w:type="dxa"/>
          </w:tcPr>
          <w:p w14:paraId="1104D3E7" w14:textId="77777777" w:rsidR="00182709" w:rsidRDefault="0044097C">
            <w:r>
              <w:rPr>
                <w:b/>
              </w:rPr>
              <w:t>72</w:t>
            </w:r>
          </w:p>
        </w:tc>
        <w:tc>
          <w:tcPr>
            <w:tcW w:w="866" w:type="dxa"/>
          </w:tcPr>
          <w:p w14:paraId="0142000A" w14:textId="77777777" w:rsidR="00182709" w:rsidRDefault="0044097C">
            <w:r>
              <w:rPr>
                <w:b/>
              </w:rPr>
              <w:t>90</w:t>
            </w:r>
          </w:p>
        </w:tc>
      </w:tr>
    </w:tbl>
    <w:p w14:paraId="5A344142" w14:textId="416616D3" w:rsidR="003719CD" w:rsidRPr="00DD74FE" w:rsidRDefault="003719CD" w:rsidP="00DC39DE">
      <w:r>
        <w:rPr>
          <w:b/>
          <w:bCs/>
        </w:rPr>
        <w:t xml:space="preserve">Fines and regulatory fees </w:t>
      </w:r>
      <w:r w:rsidRPr="00DD74FE">
        <w:t xml:space="preserve">are recognised when an invoice is issued, which establishes the entitlement to payment. </w:t>
      </w:r>
    </w:p>
    <w:p w14:paraId="21B8703F" w14:textId="77777777" w:rsidR="003719CD" w:rsidRPr="00741878" w:rsidRDefault="003719CD" w:rsidP="00DC39DE">
      <w:pPr>
        <w:rPr>
          <w:rStyle w:val="Reference"/>
        </w:rPr>
      </w:pPr>
      <w:r w:rsidRPr="004A39DE">
        <w:rPr>
          <w:b/>
          <w:bCs/>
        </w:rPr>
        <w:t>Forgiveness of liabilities assumed by other entities</w:t>
      </w:r>
      <w:r>
        <w:t xml:space="preserve"> are recognised as income and recorded at the carrying amount. </w:t>
      </w:r>
      <w:r w:rsidRPr="00741878">
        <w:rPr>
          <w:rStyle w:val="Reference"/>
        </w:rPr>
        <w:t>[AASB 1004.39]</w:t>
      </w:r>
    </w:p>
    <w:p w14:paraId="3BB6F09C" w14:textId="0E4C551E" w:rsidR="003719CD" w:rsidRDefault="003719CD" w:rsidP="00DC39DE">
      <w:r>
        <w:t>During the year, there was a forgiveness of a loan of $1</w:t>
      </w:r>
      <w:r w:rsidR="00582F21">
        <w:t>.</w:t>
      </w:r>
      <w:r>
        <w:t>8</w:t>
      </w:r>
      <w:r w:rsidR="00582F21">
        <w:t xml:space="preserve">3 million </w:t>
      </w:r>
      <w:r>
        <w:t xml:space="preserve">as a result of </w:t>
      </w:r>
      <w:r w:rsidRPr="004A39DE">
        <w:rPr>
          <w:rStyle w:val="Guidance"/>
        </w:rPr>
        <w:t>[include the reasons for the forgiveness of liabilities]</w:t>
      </w:r>
      <w:r>
        <w:t>.</w:t>
      </w:r>
    </w:p>
    <w:bookmarkEnd w:id="24"/>
    <w:p w14:paraId="743974B3" w14:textId="3C07D9A8" w:rsidR="003719CD" w:rsidRDefault="003719CD" w:rsidP="007D536F">
      <w:pPr>
        <w:pStyle w:val="GuidanceBlockHeading"/>
      </w:pPr>
      <w:r>
        <w:t>Guidance – Income from transactions</w:t>
      </w:r>
    </w:p>
    <w:p w14:paraId="5B3EE3AC" w14:textId="09F61CA9" w:rsidR="003719CD" w:rsidRPr="00741878" w:rsidRDefault="003719CD" w:rsidP="00DC39DE">
      <w:pPr>
        <w:rPr>
          <w:rStyle w:val="Guidance"/>
        </w:rPr>
      </w:pPr>
      <w:r>
        <w:rPr>
          <w:rStyle w:val="Guidance"/>
        </w:rPr>
        <w:t>A</w:t>
      </w:r>
      <w:r w:rsidRPr="00741878">
        <w:rPr>
          <w:rStyle w:val="Guidance"/>
        </w:rPr>
        <w:t xml:space="preserve">ccounting for income has to comply with AASB 15 </w:t>
      </w:r>
      <w:r w:rsidRPr="00741878">
        <w:rPr>
          <w:rStyle w:val="Guidance"/>
          <w:i/>
          <w:iCs/>
        </w:rPr>
        <w:t>Revenue from Contracts with Customers</w:t>
      </w:r>
      <w:r w:rsidRPr="00741878">
        <w:rPr>
          <w:rStyle w:val="Guidance"/>
        </w:rPr>
        <w:t xml:space="preserve">, AASB 1058 </w:t>
      </w:r>
      <w:r w:rsidRPr="00741878">
        <w:rPr>
          <w:rStyle w:val="Guidance"/>
          <w:i/>
          <w:iCs/>
        </w:rPr>
        <w:t>Income of Not-for-Profit Entities</w:t>
      </w:r>
      <w:r w:rsidRPr="00741878">
        <w:rPr>
          <w:rStyle w:val="Guidance"/>
        </w:rPr>
        <w:t xml:space="preserve"> and AASB</w:t>
      </w:r>
      <w:r>
        <w:rPr>
          <w:rStyle w:val="Guidance"/>
        </w:rPr>
        <w:t> </w:t>
      </w:r>
      <w:r w:rsidRPr="00741878">
        <w:rPr>
          <w:rStyle w:val="Guidance"/>
        </w:rPr>
        <w:t xml:space="preserve">1004 </w:t>
      </w:r>
      <w:r w:rsidR="00830E01" w:rsidRPr="00741878">
        <w:rPr>
          <w:rStyle w:val="Guidance"/>
          <w:i/>
          <w:iCs/>
        </w:rPr>
        <w:t>Contributions</w:t>
      </w:r>
      <w:r w:rsidR="00830E01" w:rsidRPr="00741878">
        <w:rPr>
          <w:rStyle w:val="Guidance"/>
        </w:rPr>
        <w:t>,</w:t>
      </w:r>
      <w:r w:rsidRPr="00741878">
        <w:rPr>
          <w:rStyle w:val="Guidance"/>
        </w:rPr>
        <w:t xml:space="preserve"> except for income that arises from sources covered by other standards (e.g. lease income – AASB 16 </w:t>
      </w:r>
      <w:r w:rsidR="00830E01" w:rsidRPr="00741878">
        <w:rPr>
          <w:rStyle w:val="Guidance"/>
          <w:i/>
          <w:iCs/>
        </w:rPr>
        <w:t>Leases</w:t>
      </w:r>
      <w:r w:rsidR="00830E01" w:rsidRPr="00741878">
        <w:rPr>
          <w:rStyle w:val="Guidance"/>
        </w:rPr>
        <w:t>,</w:t>
      </w:r>
      <w:r w:rsidRPr="00741878">
        <w:rPr>
          <w:rStyle w:val="Guidance"/>
        </w:rPr>
        <w:t xml:space="preserve"> dividends from equity accounted investments – AASB 128).</w:t>
      </w:r>
    </w:p>
    <w:p w14:paraId="16B12603" w14:textId="77777777" w:rsidR="003719CD" w:rsidRPr="00741878" w:rsidRDefault="003719CD" w:rsidP="00DC39DE">
      <w:pPr>
        <w:rPr>
          <w:rStyle w:val="Guidance"/>
        </w:rPr>
      </w:pPr>
      <w:r w:rsidRPr="00741878">
        <w:rPr>
          <w:rStyle w:val="Guidance"/>
        </w:rPr>
        <w:t>Position papers for AASB 15 and AASB 1058 are available at:</w:t>
      </w:r>
    </w:p>
    <w:p w14:paraId="5E2B7916" w14:textId="77777777" w:rsidR="00BB64AA" w:rsidRDefault="00D74471" w:rsidP="00DC39DE">
      <w:pPr>
        <w:rPr>
          <w:rStyle w:val="Guidance"/>
        </w:rPr>
      </w:pPr>
      <w:hyperlink r:id="rId43" w:history="1">
        <w:r w:rsidRPr="00D74471">
          <w:rPr>
            <w:rStyle w:val="Guidance"/>
          </w:rPr>
          <w:t>www.dtf.vic.gov.au/financial-reporting-policy/accounting-standards-checklists</w:t>
        </w:r>
      </w:hyperlink>
    </w:p>
    <w:p w14:paraId="58EE369C" w14:textId="47CEF335" w:rsidR="003719CD" w:rsidRPr="00741878" w:rsidRDefault="003719CD" w:rsidP="00DC39DE">
      <w:pPr>
        <w:rPr>
          <w:rStyle w:val="Guidance"/>
        </w:rPr>
      </w:pPr>
      <w:r w:rsidRPr="00741878">
        <w:rPr>
          <w:rStyle w:val="Guidance"/>
        </w:rPr>
        <w:t xml:space="preserve">An entity shall disaggregate revenue recognised under AASB 15 and AASB 1058 into categories that depict how the nature, amount, timing and uncertainty of revenue and cash flows are affected by economic factors. </w:t>
      </w:r>
      <w:r w:rsidRPr="00741878">
        <w:rPr>
          <w:rStyle w:val="Reference"/>
        </w:rPr>
        <w:t>[AASB15.113(a)]</w:t>
      </w:r>
      <w:r w:rsidRPr="00741878">
        <w:rPr>
          <w:rStyle w:val="Guidance"/>
        </w:rPr>
        <w:t xml:space="preserve"> </w:t>
      </w:r>
    </w:p>
    <w:p w14:paraId="45B1EFF7" w14:textId="77777777" w:rsidR="003719CD" w:rsidRPr="00741878" w:rsidRDefault="003719CD" w:rsidP="00DC39DE">
      <w:pPr>
        <w:rPr>
          <w:rStyle w:val="Guidance"/>
        </w:rPr>
      </w:pPr>
      <w:r w:rsidRPr="00741878">
        <w:rPr>
          <w:rStyle w:val="Guidance"/>
        </w:rPr>
        <w:t xml:space="preserve">Revenue from contracts with customers under AASB 15 must be disclosed separately from other sources of revenue. </w:t>
      </w:r>
      <w:r w:rsidRPr="00AA3FAE">
        <w:rPr>
          <w:rStyle w:val="Reference"/>
        </w:rPr>
        <w:t>[AASB 15.B89]</w:t>
      </w:r>
      <w:r w:rsidRPr="00741878">
        <w:rPr>
          <w:rStyle w:val="Guidance"/>
        </w:rPr>
        <w:t xml:space="preserve"> Examples of categories of revenue within the scope of AASB 15 that might be appropriate include, but are not limited to, all of the following: </w:t>
      </w:r>
    </w:p>
    <w:p w14:paraId="564FA2C8" w14:textId="5775AA20" w:rsidR="003719CD" w:rsidRPr="00741878" w:rsidRDefault="003719CD" w:rsidP="00310F12">
      <w:pPr>
        <w:pStyle w:val="ListBullet"/>
        <w:rPr>
          <w:rStyle w:val="Guidance"/>
        </w:rPr>
      </w:pPr>
      <w:r w:rsidRPr="00741878">
        <w:rPr>
          <w:rStyle w:val="Guidance"/>
        </w:rPr>
        <w:t>type of good or service (</w:t>
      </w:r>
      <w:r w:rsidR="008104FD">
        <w:rPr>
          <w:rStyle w:val="Guidance"/>
        </w:rPr>
        <w:t>e.g.</w:t>
      </w:r>
      <w:r w:rsidRPr="00741878">
        <w:rPr>
          <w:rStyle w:val="Guidance"/>
        </w:rPr>
        <w:t xml:space="preserve"> major product lines) </w:t>
      </w:r>
    </w:p>
    <w:p w14:paraId="4824BA82" w14:textId="6FBEC854" w:rsidR="003719CD" w:rsidRPr="00741878" w:rsidRDefault="003719CD" w:rsidP="00310F12">
      <w:pPr>
        <w:pStyle w:val="ListBullet"/>
        <w:rPr>
          <w:rStyle w:val="Guidance"/>
        </w:rPr>
      </w:pPr>
      <w:r w:rsidRPr="00741878">
        <w:rPr>
          <w:rStyle w:val="Guidance"/>
        </w:rPr>
        <w:t>geographical region (</w:t>
      </w:r>
      <w:r w:rsidR="008104FD">
        <w:rPr>
          <w:rStyle w:val="Guidance"/>
        </w:rPr>
        <w:t>e.g.</w:t>
      </w:r>
      <w:r w:rsidRPr="00741878">
        <w:rPr>
          <w:rStyle w:val="Guidance"/>
        </w:rPr>
        <w:t xml:space="preserve"> country or region)</w:t>
      </w:r>
    </w:p>
    <w:p w14:paraId="4413DDA0" w14:textId="05184038" w:rsidR="003719CD" w:rsidRPr="00741878" w:rsidRDefault="003719CD" w:rsidP="00310F12">
      <w:pPr>
        <w:pStyle w:val="ListBullet"/>
        <w:rPr>
          <w:rStyle w:val="Guidance"/>
        </w:rPr>
      </w:pPr>
      <w:r w:rsidRPr="00741878">
        <w:rPr>
          <w:rStyle w:val="Guidance"/>
        </w:rPr>
        <w:t>market or type of customer (</w:t>
      </w:r>
      <w:r w:rsidR="008104FD">
        <w:rPr>
          <w:rStyle w:val="Guidance"/>
        </w:rPr>
        <w:t>e.g.</w:t>
      </w:r>
      <w:r w:rsidRPr="00741878">
        <w:rPr>
          <w:rStyle w:val="Guidance"/>
        </w:rPr>
        <w:t xml:space="preserve"> government and non</w:t>
      </w:r>
      <w:r w:rsidR="008104FD">
        <w:rPr>
          <w:rStyle w:val="Guidance"/>
        </w:rPr>
        <w:t>-</w:t>
      </w:r>
      <w:r w:rsidRPr="00741878">
        <w:rPr>
          <w:rStyle w:val="Guidance"/>
        </w:rPr>
        <w:t>government customers)</w:t>
      </w:r>
    </w:p>
    <w:p w14:paraId="492A1924" w14:textId="0E646802" w:rsidR="003719CD" w:rsidRPr="00741878" w:rsidRDefault="003719CD" w:rsidP="00310F12">
      <w:pPr>
        <w:pStyle w:val="ListBullet"/>
        <w:rPr>
          <w:rStyle w:val="Guidance"/>
        </w:rPr>
      </w:pPr>
      <w:r w:rsidRPr="00741878">
        <w:rPr>
          <w:rStyle w:val="Guidance"/>
        </w:rPr>
        <w:t>type of contract (</w:t>
      </w:r>
      <w:r w:rsidR="008104FD">
        <w:rPr>
          <w:rStyle w:val="Guidance"/>
        </w:rPr>
        <w:t>e.g.</w:t>
      </w:r>
      <w:r w:rsidRPr="00741878">
        <w:rPr>
          <w:rStyle w:val="Guidance"/>
        </w:rPr>
        <w:t xml:space="preserve"> fixed-price and time-and-materials contracts)</w:t>
      </w:r>
    </w:p>
    <w:p w14:paraId="6F1367FF" w14:textId="3CF6C907" w:rsidR="003719CD" w:rsidRPr="00741878" w:rsidRDefault="003719CD" w:rsidP="00310F12">
      <w:pPr>
        <w:pStyle w:val="ListBullet"/>
        <w:rPr>
          <w:rStyle w:val="Guidance"/>
        </w:rPr>
      </w:pPr>
      <w:r w:rsidRPr="00741878">
        <w:rPr>
          <w:rStyle w:val="Guidance"/>
        </w:rPr>
        <w:t>contract duration (</w:t>
      </w:r>
      <w:r w:rsidR="008104FD">
        <w:rPr>
          <w:rStyle w:val="Guidance"/>
        </w:rPr>
        <w:t>e.g.</w:t>
      </w:r>
      <w:r w:rsidRPr="00741878">
        <w:rPr>
          <w:rStyle w:val="Guidance"/>
        </w:rPr>
        <w:t xml:space="preserve"> short-term and long-term contracts)</w:t>
      </w:r>
    </w:p>
    <w:p w14:paraId="56898D62" w14:textId="628AE323" w:rsidR="003719CD" w:rsidRPr="00741878" w:rsidRDefault="003719CD" w:rsidP="00310F12">
      <w:pPr>
        <w:pStyle w:val="ListBullet"/>
        <w:rPr>
          <w:rStyle w:val="Guidance"/>
        </w:rPr>
      </w:pPr>
      <w:r w:rsidRPr="00741878">
        <w:rPr>
          <w:rStyle w:val="Guidance"/>
        </w:rPr>
        <w:t>timing of transfer of goods or services (</w:t>
      </w:r>
      <w:r w:rsidR="008104FD">
        <w:rPr>
          <w:rStyle w:val="Guidance"/>
        </w:rPr>
        <w:t>e.g.</w:t>
      </w:r>
      <w:r w:rsidRPr="00741878">
        <w:rPr>
          <w:rStyle w:val="Guidance"/>
        </w:rPr>
        <w:t xml:space="preserve"> revenue from goods or services transferred to customers at a point in time and revenue from goods or services transferred over time)</w:t>
      </w:r>
    </w:p>
    <w:p w14:paraId="7601CA3B" w14:textId="0538AE81" w:rsidR="003719CD" w:rsidRPr="00741878" w:rsidRDefault="003719CD" w:rsidP="00310F12">
      <w:pPr>
        <w:pStyle w:val="ListBullet"/>
        <w:rPr>
          <w:rStyle w:val="Guidance"/>
        </w:rPr>
      </w:pPr>
      <w:r w:rsidRPr="00741878">
        <w:rPr>
          <w:rStyle w:val="Guidance"/>
        </w:rPr>
        <w:t>sales channels (</w:t>
      </w:r>
      <w:r w:rsidR="008104FD">
        <w:rPr>
          <w:rStyle w:val="Guidance"/>
        </w:rPr>
        <w:t>e.g.</w:t>
      </w:r>
      <w:r w:rsidRPr="00741878">
        <w:rPr>
          <w:rStyle w:val="Guidance"/>
        </w:rPr>
        <w:t xml:space="preserve"> goods sold directly to consumers and goods sold through intermediaries). </w:t>
      </w:r>
    </w:p>
    <w:p w14:paraId="3DB82D46" w14:textId="71DCD15B" w:rsidR="003719CD" w:rsidRPr="00741878" w:rsidRDefault="003719CD" w:rsidP="00DC39DE">
      <w:pPr>
        <w:rPr>
          <w:rStyle w:val="Guidance"/>
        </w:rPr>
      </w:pPr>
      <w:r w:rsidRPr="00741878">
        <w:rPr>
          <w:rStyle w:val="Guidance"/>
        </w:rPr>
        <w:t xml:space="preserve">Examples of categories of income within the scope of AASB 1058 that might be appropriate include but are not limited to the following: </w:t>
      </w:r>
      <w:r w:rsidRPr="00AA3FAE">
        <w:rPr>
          <w:rStyle w:val="Reference"/>
        </w:rPr>
        <w:t>[AASB 1058.26]</w:t>
      </w:r>
    </w:p>
    <w:p w14:paraId="5DADA960" w14:textId="3F5875D0" w:rsidR="003719CD" w:rsidRPr="00741878" w:rsidRDefault="003719CD" w:rsidP="00310F12">
      <w:pPr>
        <w:pStyle w:val="ListBullet"/>
        <w:rPr>
          <w:rStyle w:val="Guidance"/>
        </w:rPr>
      </w:pPr>
      <w:r w:rsidRPr="00741878">
        <w:rPr>
          <w:rStyle w:val="Guidance"/>
        </w:rPr>
        <w:t>grants, bequests and donations of cash, other financial assets and goods</w:t>
      </w:r>
    </w:p>
    <w:p w14:paraId="6A47A4A2" w14:textId="3FAC79D0" w:rsidR="003719CD" w:rsidRPr="00741878" w:rsidRDefault="003719CD" w:rsidP="00310F12">
      <w:pPr>
        <w:pStyle w:val="ListBullet"/>
        <w:rPr>
          <w:rStyle w:val="Guidance"/>
        </w:rPr>
      </w:pPr>
      <w:r w:rsidRPr="00741878">
        <w:rPr>
          <w:rStyle w:val="Guidance"/>
        </w:rPr>
        <w:t>recognised volunteer services</w:t>
      </w:r>
    </w:p>
    <w:p w14:paraId="5983D61B" w14:textId="77777777" w:rsidR="003719CD" w:rsidRPr="00741878" w:rsidRDefault="003719CD" w:rsidP="00310F12">
      <w:pPr>
        <w:pStyle w:val="ListBullet"/>
        <w:rPr>
          <w:rStyle w:val="Guidance"/>
        </w:rPr>
      </w:pPr>
      <w:r w:rsidRPr="00741878">
        <w:rPr>
          <w:rStyle w:val="Guidance"/>
        </w:rPr>
        <w:t>appropriations income.</w:t>
      </w:r>
    </w:p>
    <w:p w14:paraId="31B9C24B" w14:textId="77777777" w:rsidR="003719CD" w:rsidRPr="00741878" w:rsidRDefault="003719CD" w:rsidP="00DC39DE">
      <w:pPr>
        <w:rPr>
          <w:rStyle w:val="Guidance"/>
        </w:rPr>
      </w:pPr>
      <w:r w:rsidRPr="00741878">
        <w:rPr>
          <w:rStyle w:val="Guidance"/>
        </w:rPr>
        <w:t xml:space="preserve">A not-for-profit entity shall assess which revenue standard is applicable to its income streams. For a not-for-profit entity, the majority of income streams are likely to be under either AASB 15 or AASB 1058. As AASB 1058 undertakes a residual approach, an entity should assess the applicability of AASB 15 before it considers the application of AASB 1058. </w:t>
      </w:r>
    </w:p>
    <w:p w14:paraId="3E5F9415" w14:textId="77777777" w:rsidR="003719CD" w:rsidRPr="00741878" w:rsidRDefault="003719CD" w:rsidP="00DC39DE">
      <w:pPr>
        <w:rPr>
          <w:rStyle w:val="Guidance"/>
        </w:rPr>
      </w:pPr>
      <w:r w:rsidRPr="00741878">
        <w:rPr>
          <w:rStyle w:val="Guidance"/>
        </w:rPr>
        <w:t xml:space="preserve">AASB 15 applies to contracts with customers that are enforceable with sufficiently specific performance obligations. If the contract does not meet these criteria, an entity shall consider the requirements of AASB 1058 in accounting for such contracts. </w:t>
      </w:r>
      <w:r w:rsidRPr="00741878">
        <w:rPr>
          <w:rStyle w:val="Reference"/>
        </w:rPr>
        <w:t>[AASB 15.9]</w:t>
      </w:r>
    </w:p>
    <w:p w14:paraId="73C0C57D" w14:textId="77777777" w:rsidR="003719CD" w:rsidRPr="00741878" w:rsidRDefault="003719CD" w:rsidP="00DC39DE">
      <w:pPr>
        <w:rPr>
          <w:rStyle w:val="Guidance"/>
        </w:rPr>
      </w:pPr>
      <w:r w:rsidRPr="00741878">
        <w:rPr>
          <w:rStyle w:val="Guidance"/>
        </w:rPr>
        <w:t>AASB 1004 provides specific requirements for the following types of transactions:</w:t>
      </w:r>
    </w:p>
    <w:p w14:paraId="456540C6" w14:textId="1F27A11E" w:rsidR="003719CD" w:rsidRPr="00741878" w:rsidRDefault="00C055BF" w:rsidP="00310F12">
      <w:pPr>
        <w:pStyle w:val="ListBullet"/>
        <w:rPr>
          <w:rStyle w:val="Guidance"/>
        </w:rPr>
      </w:pPr>
      <w:r>
        <w:rPr>
          <w:rStyle w:val="Guidance"/>
        </w:rPr>
        <w:t>p</w:t>
      </w:r>
      <w:r w:rsidR="003719CD" w:rsidRPr="00741878">
        <w:rPr>
          <w:rStyle w:val="Guidance"/>
        </w:rPr>
        <w:t>arliamentary appropriations in the nature of contribution by owners</w:t>
      </w:r>
    </w:p>
    <w:p w14:paraId="5872C937" w14:textId="32C4BE5B" w:rsidR="003719CD" w:rsidRPr="00741878" w:rsidRDefault="00C055BF" w:rsidP="00310F12">
      <w:pPr>
        <w:pStyle w:val="ListBullet"/>
        <w:rPr>
          <w:rStyle w:val="Guidance"/>
        </w:rPr>
      </w:pPr>
      <w:r>
        <w:rPr>
          <w:rStyle w:val="Guidance"/>
        </w:rPr>
        <w:t>t</w:t>
      </w:r>
      <w:r w:rsidR="003719CD" w:rsidRPr="00741878">
        <w:rPr>
          <w:rStyle w:val="Guidance"/>
        </w:rPr>
        <w:t xml:space="preserve">ransactions which are </w:t>
      </w:r>
      <w:r>
        <w:rPr>
          <w:rStyle w:val="Guidance"/>
        </w:rPr>
        <w:t>c</w:t>
      </w:r>
      <w:r w:rsidR="003719CD" w:rsidRPr="00741878">
        <w:rPr>
          <w:rStyle w:val="Guidance"/>
        </w:rPr>
        <w:t>ontribution by/</w:t>
      </w:r>
      <w:r>
        <w:rPr>
          <w:rStyle w:val="Guidance"/>
        </w:rPr>
        <w:t>d</w:t>
      </w:r>
      <w:r w:rsidR="003719CD" w:rsidRPr="00741878">
        <w:rPr>
          <w:rStyle w:val="Guidance"/>
        </w:rPr>
        <w:t>istribution to owners</w:t>
      </w:r>
    </w:p>
    <w:p w14:paraId="469E224A" w14:textId="31512949" w:rsidR="003719CD" w:rsidRPr="00741878" w:rsidRDefault="00C055BF" w:rsidP="00310F12">
      <w:pPr>
        <w:pStyle w:val="ListBullet"/>
        <w:rPr>
          <w:rStyle w:val="Guidance"/>
        </w:rPr>
      </w:pPr>
      <w:r>
        <w:rPr>
          <w:rStyle w:val="Guidance"/>
        </w:rPr>
        <w:t>r</w:t>
      </w:r>
      <w:r w:rsidR="003719CD" w:rsidRPr="00741878">
        <w:rPr>
          <w:rStyle w:val="Guidance"/>
        </w:rPr>
        <w:t>estructure of administrative arrangements</w:t>
      </w:r>
    </w:p>
    <w:p w14:paraId="3B964C85" w14:textId="11A9B535" w:rsidR="003719CD" w:rsidRPr="00741878" w:rsidRDefault="00C055BF" w:rsidP="00310F12">
      <w:pPr>
        <w:pStyle w:val="ListBullet"/>
        <w:rPr>
          <w:rStyle w:val="Guidance"/>
        </w:rPr>
      </w:pPr>
      <w:r>
        <w:rPr>
          <w:rStyle w:val="Guidance"/>
        </w:rPr>
        <w:t>l</w:t>
      </w:r>
      <w:r w:rsidR="003719CD" w:rsidRPr="00741878">
        <w:rPr>
          <w:rStyle w:val="Guidance"/>
        </w:rPr>
        <w:t>iabilities of government departments assumed by others.</w:t>
      </w:r>
    </w:p>
    <w:p w14:paraId="100269C7" w14:textId="1FA42931" w:rsidR="003719CD" w:rsidRPr="00741878" w:rsidRDefault="003719CD" w:rsidP="007D536F">
      <w:pPr>
        <w:pStyle w:val="Heading4"/>
        <w:rPr>
          <w:rStyle w:val="Guidance"/>
        </w:rPr>
      </w:pPr>
      <w:r w:rsidRPr="00741878">
        <w:rPr>
          <w:rStyle w:val="Guidance"/>
        </w:rPr>
        <w:lastRenderedPageBreak/>
        <w:t xml:space="preserve">Recognition and measurement </w:t>
      </w:r>
      <w:r>
        <w:rPr>
          <w:rStyle w:val="Guidance"/>
        </w:rPr>
        <w:t>under</w:t>
      </w:r>
      <w:r w:rsidRPr="00741878">
        <w:rPr>
          <w:rStyle w:val="Guidance"/>
        </w:rPr>
        <w:t xml:space="preserve"> AASB 15</w:t>
      </w:r>
    </w:p>
    <w:p w14:paraId="7C1FBE14" w14:textId="0FEC1B98" w:rsidR="003719CD" w:rsidRPr="00741878" w:rsidRDefault="003719CD" w:rsidP="003D3935">
      <w:pPr>
        <w:rPr>
          <w:rStyle w:val="Guidance"/>
        </w:rPr>
      </w:pPr>
      <w:r w:rsidRPr="00741878">
        <w:rPr>
          <w:rStyle w:val="Guidance"/>
        </w:rPr>
        <w:t xml:space="preserve">In accordance with the requirements of AASB 15, revenue shall be recognised when the entity satisfies a performance obligation by transferring a promised good or service to a customer. </w:t>
      </w:r>
      <w:r>
        <w:rPr>
          <w:rStyle w:val="Guidance"/>
        </w:rPr>
        <w:t xml:space="preserve">A good or service </w:t>
      </w:r>
      <w:r w:rsidRPr="00741878">
        <w:rPr>
          <w:rStyle w:val="Guidance"/>
        </w:rPr>
        <w:t xml:space="preserve">is transferred when (or as) the customer obtains control of </w:t>
      </w:r>
      <w:r>
        <w:rPr>
          <w:rStyle w:val="Guidance"/>
        </w:rPr>
        <w:t>it</w:t>
      </w:r>
      <w:r w:rsidR="00CD2229">
        <w:rPr>
          <w:rStyle w:val="Guidance"/>
        </w:rPr>
        <w:t xml:space="preserve">. </w:t>
      </w:r>
      <w:r w:rsidRPr="00741878">
        <w:rPr>
          <w:rStyle w:val="Guidance"/>
        </w:rPr>
        <w:t xml:space="preserve">For each performance obligation identified in a contract, an entity shall determine at contract inception whether it satisfies the performance obligation over time or satisfies the performance obligation at a point in time. </w:t>
      </w:r>
    </w:p>
    <w:p w14:paraId="58C417EE" w14:textId="361D74C5" w:rsidR="003719CD" w:rsidRPr="00741878" w:rsidRDefault="003719CD" w:rsidP="003D3935">
      <w:pPr>
        <w:rPr>
          <w:rStyle w:val="Guidance"/>
        </w:rPr>
      </w:pPr>
      <w:r w:rsidRPr="00741878">
        <w:rPr>
          <w:rStyle w:val="Guidance"/>
        </w:rPr>
        <w:t xml:space="preserve">An entity transfers control of a good or service over time and, therefore, satisfies a performance obligation and recognises revenue over time, if one of the following criteria is met: </w:t>
      </w:r>
    </w:p>
    <w:p w14:paraId="72B3441A" w14:textId="6A8B36D8" w:rsidR="003719CD" w:rsidRPr="00741878" w:rsidRDefault="00AF53A2" w:rsidP="00310F12">
      <w:pPr>
        <w:pStyle w:val="ListBullet"/>
        <w:rPr>
          <w:rStyle w:val="Guidance"/>
        </w:rPr>
      </w:pPr>
      <w:r>
        <w:rPr>
          <w:rStyle w:val="Guidance"/>
        </w:rPr>
        <w:t>T</w:t>
      </w:r>
      <w:r w:rsidR="003719CD" w:rsidRPr="00741878">
        <w:rPr>
          <w:rStyle w:val="Guidance"/>
        </w:rPr>
        <w:t>he customer simultaneously receives and consumes the benefits provided by the entity’s performance as the entity performs</w:t>
      </w:r>
    </w:p>
    <w:p w14:paraId="624887E3" w14:textId="6C965D1D" w:rsidR="003719CD" w:rsidRPr="00741878" w:rsidRDefault="00AF53A2" w:rsidP="00310F12">
      <w:pPr>
        <w:pStyle w:val="ListBullet"/>
        <w:rPr>
          <w:rStyle w:val="Guidance"/>
        </w:rPr>
      </w:pPr>
      <w:r>
        <w:rPr>
          <w:rStyle w:val="Guidance"/>
        </w:rPr>
        <w:t>T</w:t>
      </w:r>
      <w:r w:rsidR="003719CD" w:rsidRPr="00741878">
        <w:rPr>
          <w:rStyle w:val="Guidance"/>
        </w:rPr>
        <w:t>he entity’s performance creates or enhances an asset (</w:t>
      </w:r>
      <w:r w:rsidR="00527999">
        <w:rPr>
          <w:rStyle w:val="Guidance"/>
        </w:rPr>
        <w:t>e.g.</w:t>
      </w:r>
      <w:r w:rsidR="003719CD" w:rsidRPr="00741878">
        <w:rPr>
          <w:rStyle w:val="Guidance"/>
        </w:rPr>
        <w:t xml:space="preserve"> work in progress) that the customer controls as the asset is created or enhanced </w:t>
      </w:r>
    </w:p>
    <w:p w14:paraId="139205C8" w14:textId="5F7F1719" w:rsidR="003719CD" w:rsidRPr="00741878" w:rsidRDefault="00AF53A2" w:rsidP="00310F12">
      <w:pPr>
        <w:pStyle w:val="ListBullet"/>
        <w:rPr>
          <w:rStyle w:val="Guidance"/>
        </w:rPr>
      </w:pPr>
      <w:r>
        <w:rPr>
          <w:rStyle w:val="Guidance"/>
        </w:rPr>
        <w:t>T</w:t>
      </w:r>
      <w:r w:rsidR="003719CD" w:rsidRPr="00741878">
        <w:rPr>
          <w:rStyle w:val="Guidance"/>
        </w:rPr>
        <w:t xml:space="preserve">he entity’s performance does not create an asset with an alternative use to the entity and the entity has an enforceable right to payment for performance completed to date. </w:t>
      </w:r>
    </w:p>
    <w:p w14:paraId="63F475DD" w14:textId="77777777" w:rsidR="003719CD" w:rsidRPr="00741878" w:rsidRDefault="003719CD" w:rsidP="003D3935">
      <w:pPr>
        <w:rPr>
          <w:rStyle w:val="Guidance"/>
        </w:rPr>
      </w:pPr>
      <w:r w:rsidRPr="00741878">
        <w:rPr>
          <w:rStyle w:val="Guidance"/>
        </w:rPr>
        <w:t xml:space="preserve">For each performance obligation satisfied over time, an entity shall recognise revenue over time by measuring the progress towards complete satisfaction of that performance obligation. The objective when measuring progress is to depict an entity’s performance in transferring control of goods or services promised to a customer (i.e. the satisfaction of an entity’s performance obligation). </w:t>
      </w:r>
    </w:p>
    <w:p w14:paraId="345A7F92" w14:textId="77777777" w:rsidR="003719CD" w:rsidRPr="00741878" w:rsidRDefault="003719CD" w:rsidP="003D3935">
      <w:pPr>
        <w:rPr>
          <w:rStyle w:val="Guidance"/>
        </w:rPr>
      </w:pPr>
      <w:r w:rsidRPr="00741878">
        <w:rPr>
          <w:rStyle w:val="Guidance"/>
        </w:rPr>
        <w:t xml:space="preserve">An entity shall apply a single method of measuring progress for each performance obligation satisfied over time and the entity shall apply that method consistently to similar performance obligations and in similar circumstances. At the end of each reporting period, an entity shall remeasure its progress towards complete satisfaction of a performance obligation satisfied over time. </w:t>
      </w:r>
    </w:p>
    <w:p w14:paraId="0EDCC72E" w14:textId="77777777" w:rsidR="003719CD" w:rsidRPr="00741878" w:rsidRDefault="003719CD" w:rsidP="003D3935">
      <w:pPr>
        <w:rPr>
          <w:rStyle w:val="Guidance"/>
        </w:rPr>
      </w:pPr>
      <w:r w:rsidRPr="00741878">
        <w:rPr>
          <w:rStyle w:val="Guidance"/>
        </w:rPr>
        <w:t xml:space="preserve">If a performance obligation is not satisfied over time, an entity satisfies the performance obligation at a point in time. Revenue should be recognised at the point in time at which a customer obtains control of a promised asset and the entity satisfies a performance obligation. </w:t>
      </w:r>
    </w:p>
    <w:p w14:paraId="46D1D999" w14:textId="3B5A2A9F" w:rsidR="003719CD" w:rsidRDefault="003719CD" w:rsidP="00DC39DE">
      <w:pPr>
        <w:rPr>
          <w:rStyle w:val="Reference"/>
        </w:rPr>
      </w:pPr>
      <w:r w:rsidRPr="00741878">
        <w:rPr>
          <w:rStyle w:val="Guidance"/>
        </w:rPr>
        <w:t>AASB 15 also requires recognition of revenue at the amount of the transaction price that is allocated to the performance obligation(s). When determining the transaction price, an entity shall consider the effects of variable consideration, constraining estimates of variable consideration, the existence of a significant financing component in the contract, non</w:t>
      </w:r>
      <w:r w:rsidR="003D3F53">
        <w:rPr>
          <w:rStyle w:val="Guidance"/>
        </w:rPr>
        <w:noBreakHyphen/>
      </w:r>
      <w:r w:rsidRPr="00741878">
        <w:rPr>
          <w:rStyle w:val="Guidance"/>
        </w:rPr>
        <w:t xml:space="preserve">cash consideration, and consideration payable to a customer. </w:t>
      </w:r>
      <w:r w:rsidRPr="00AA3FAE">
        <w:rPr>
          <w:rStyle w:val="Reference"/>
        </w:rPr>
        <w:t xml:space="preserve">[AASB 15.46 </w:t>
      </w:r>
      <w:r>
        <w:rPr>
          <w:rStyle w:val="Reference"/>
        </w:rPr>
        <w:t>and</w:t>
      </w:r>
      <w:r w:rsidRPr="00AA3FAE">
        <w:rPr>
          <w:rStyle w:val="Reference"/>
        </w:rPr>
        <w:t xml:space="preserve"> 48]</w:t>
      </w:r>
    </w:p>
    <w:p w14:paraId="32F56B8F" w14:textId="77777777" w:rsidR="003719CD" w:rsidRPr="00741878" w:rsidRDefault="003719CD" w:rsidP="007D536F">
      <w:pPr>
        <w:pStyle w:val="Heading4"/>
        <w:rPr>
          <w:rStyle w:val="Guidance"/>
        </w:rPr>
      </w:pPr>
      <w:r w:rsidRPr="00741878">
        <w:rPr>
          <w:rStyle w:val="Guidance"/>
        </w:rPr>
        <w:t>Recognition and measurement for AASB 1058</w:t>
      </w:r>
    </w:p>
    <w:p w14:paraId="0C2C11A9" w14:textId="77777777" w:rsidR="003719CD" w:rsidRPr="00741878" w:rsidRDefault="003719CD" w:rsidP="00DC39DE">
      <w:pPr>
        <w:rPr>
          <w:rStyle w:val="Guidance"/>
        </w:rPr>
      </w:pPr>
      <w:r w:rsidRPr="00741878">
        <w:rPr>
          <w:rStyle w:val="Guidance"/>
        </w:rPr>
        <w:t xml:space="preserve">AASB 1058 applies to transactions where the consideration to acquire an asset is significantly less than fair value principally to enable a not-for-profit entity to further its objectives (i.e. transactions with a donation nature) and the receipt of volunteer services. </w:t>
      </w:r>
      <w:r w:rsidRPr="00AA3FAE">
        <w:rPr>
          <w:rStyle w:val="Reference"/>
        </w:rPr>
        <w:t>[AASB 1058.1]</w:t>
      </w:r>
      <w:r w:rsidRPr="00741878">
        <w:rPr>
          <w:rStyle w:val="Guidance"/>
        </w:rPr>
        <w:t xml:space="preserve"> AASB 1058 requires an entity to apply the requirements of other Australian Accounting Standards (as relevant) to an asset arising from a transaction (e.g. AASB 9 for cash received). </w:t>
      </w:r>
      <w:r w:rsidRPr="00AA3FAE">
        <w:rPr>
          <w:rStyle w:val="Reference"/>
        </w:rPr>
        <w:t>[AASB 1058.8]</w:t>
      </w:r>
    </w:p>
    <w:p w14:paraId="11AE4987" w14:textId="72BFA407" w:rsidR="003719CD" w:rsidRPr="00741878" w:rsidRDefault="003719CD" w:rsidP="00DC39DE">
      <w:pPr>
        <w:rPr>
          <w:rStyle w:val="Guidance"/>
        </w:rPr>
      </w:pPr>
      <w:r w:rsidRPr="00741878">
        <w:rPr>
          <w:rStyle w:val="Guidance"/>
        </w:rPr>
        <w:t xml:space="preserve">On initial recognition of the asset, an entity shall recognise any related contributions by owners, increases in liabilities, decreases in assets (‘related amounts”) and revenue in accordance with other Australian Accounting Standards. </w:t>
      </w:r>
      <w:r w:rsidRPr="00AA3FAE">
        <w:rPr>
          <w:rStyle w:val="Reference"/>
        </w:rPr>
        <w:t>[AASB 1058.9]</w:t>
      </w:r>
    </w:p>
    <w:p w14:paraId="66477E4E" w14:textId="77777777" w:rsidR="003719CD" w:rsidRPr="00741878" w:rsidRDefault="003719CD" w:rsidP="00DC39DE">
      <w:pPr>
        <w:rPr>
          <w:rStyle w:val="Guidance"/>
        </w:rPr>
      </w:pPr>
      <w:r w:rsidRPr="00741878">
        <w:rPr>
          <w:rStyle w:val="Guidance"/>
        </w:rPr>
        <w:t>For example, related amounts may take the form of:</w:t>
      </w:r>
    </w:p>
    <w:p w14:paraId="5FC5745D" w14:textId="3D049163" w:rsidR="003719CD" w:rsidRPr="00741878" w:rsidRDefault="003719CD" w:rsidP="00A84AAB">
      <w:pPr>
        <w:pStyle w:val="ListBullet"/>
        <w:ind w:left="288" w:hanging="288"/>
        <w:contextualSpacing/>
        <w:rPr>
          <w:rStyle w:val="Guidance"/>
        </w:rPr>
      </w:pPr>
      <w:r w:rsidRPr="00741878">
        <w:rPr>
          <w:rStyle w:val="Guidance"/>
        </w:rPr>
        <w:t>contributions by owners, in accordance with AASB 1004</w:t>
      </w:r>
    </w:p>
    <w:p w14:paraId="350E018E" w14:textId="734A4BB8" w:rsidR="003719CD" w:rsidRPr="00741878" w:rsidRDefault="003719CD" w:rsidP="00A84AAB">
      <w:pPr>
        <w:pStyle w:val="ListBullet"/>
        <w:ind w:left="288" w:hanging="288"/>
        <w:contextualSpacing/>
        <w:rPr>
          <w:rStyle w:val="Guidance"/>
        </w:rPr>
      </w:pPr>
      <w:r w:rsidRPr="00741878">
        <w:rPr>
          <w:rStyle w:val="Guidance"/>
        </w:rPr>
        <w:t>revenue or a contract liability arising from a contract with a customer, in accordance with AASB 15</w:t>
      </w:r>
    </w:p>
    <w:p w14:paraId="755E8265" w14:textId="0447BA00" w:rsidR="003719CD" w:rsidRPr="00741878" w:rsidRDefault="003719CD" w:rsidP="00A84AAB">
      <w:pPr>
        <w:pStyle w:val="ListBullet"/>
        <w:ind w:left="288" w:hanging="288"/>
        <w:contextualSpacing/>
        <w:rPr>
          <w:rStyle w:val="Guidance"/>
        </w:rPr>
      </w:pPr>
      <w:r w:rsidRPr="00741878">
        <w:rPr>
          <w:rStyle w:val="Guidance"/>
        </w:rPr>
        <w:t>a lease liability in accordance with AASB 16</w:t>
      </w:r>
    </w:p>
    <w:p w14:paraId="45BD466A" w14:textId="64FA4D22" w:rsidR="003719CD" w:rsidRPr="00741878" w:rsidRDefault="003719CD" w:rsidP="00A84AAB">
      <w:pPr>
        <w:pStyle w:val="ListBullet"/>
        <w:ind w:left="288" w:hanging="288"/>
        <w:contextualSpacing/>
        <w:rPr>
          <w:rStyle w:val="Guidance"/>
        </w:rPr>
      </w:pPr>
      <w:r w:rsidRPr="00741878">
        <w:rPr>
          <w:rStyle w:val="Guidance"/>
        </w:rPr>
        <w:t>a financial instrument, in accordance with AASB 9</w:t>
      </w:r>
    </w:p>
    <w:p w14:paraId="094335BD" w14:textId="345AF52E" w:rsidR="003719CD" w:rsidRPr="00741878" w:rsidRDefault="003719CD" w:rsidP="00A84AAB">
      <w:pPr>
        <w:pStyle w:val="ListBullet"/>
        <w:ind w:left="288" w:hanging="288"/>
        <w:contextualSpacing/>
        <w:rPr>
          <w:rStyle w:val="Guidance"/>
        </w:rPr>
      </w:pPr>
      <w:r w:rsidRPr="00741878">
        <w:rPr>
          <w:rStyle w:val="Guidance"/>
        </w:rPr>
        <w:t xml:space="preserve">a provision, in accordance with AASB 137. </w:t>
      </w:r>
      <w:r w:rsidRPr="00AA3FAE">
        <w:rPr>
          <w:rStyle w:val="Reference"/>
        </w:rPr>
        <w:t>[AASB 1058.9]</w:t>
      </w:r>
    </w:p>
    <w:p w14:paraId="72715658" w14:textId="77777777" w:rsidR="003719CD" w:rsidRPr="00741878" w:rsidRDefault="003719CD" w:rsidP="00DC39DE">
      <w:pPr>
        <w:rPr>
          <w:rStyle w:val="Guidance"/>
        </w:rPr>
      </w:pPr>
      <w:r w:rsidRPr="00741878">
        <w:rPr>
          <w:rStyle w:val="Guidance"/>
        </w:rPr>
        <w:t xml:space="preserve">For transactions within the scope of AASB 1058, an entity shall recognise income immediately in profit or loss for the excess of the initial carrying amount of an asset over the related amounts recognised in accordance with the other standards. </w:t>
      </w:r>
      <w:r w:rsidRPr="00AA3FAE">
        <w:rPr>
          <w:rStyle w:val="Reference"/>
        </w:rPr>
        <w:t>[AASB 1058.10]</w:t>
      </w:r>
    </w:p>
    <w:p w14:paraId="010A6123" w14:textId="77777777" w:rsidR="003719CD" w:rsidRPr="00741878" w:rsidRDefault="003719CD" w:rsidP="00DC39DE">
      <w:pPr>
        <w:rPr>
          <w:rStyle w:val="Guidance"/>
        </w:rPr>
      </w:pPr>
      <w:r w:rsidRPr="00741878">
        <w:rPr>
          <w:rStyle w:val="Guidance"/>
        </w:rPr>
        <w:t xml:space="preserve">There is an exception where a transfer of a financial asset is to enable an entity to acquire or construct a recognisable non-financial asset that will be controlled by the entity. </w:t>
      </w:r>
      <w:r w:rsidRPr="00AA3FAE">
        <w:rPr>
          <w:rStyle w:val="Reference"/>
        </w:rPr>
        <w:t>[AASB 1058.15]</w:t>
      </w:r>
    </w:p>
    <w:p w14:paraId="063D363D" w14:textId="77777777" w:rsidR="003719CD" w:rsidRPr="00741878" w:rsidRDefault="003719CD" w:rsidP="00D70E94">
      <w:pPr>
        <w:spacing w:before="80"/>
        <w:rPr>
          <w:rStyle w:val="Guidance"/>
        </w:rPr>
      </w:pPr>
      <w:r w:rsidRPr="00741878">
        <w:rPr>
          <w:rStyle w:val="Guidance"/>
        </w:rPr>
        <w:t xml:space="preserve">This exception applies to a transfer that: </w:t>
      </w:r>
    </w:p>
    <w:p w14:paraId="02D435ED" w14:textId="4ABD7964" w:rsidR="002F5D60" w:rsidRPr="00741878" w:rsidRDefault="003719CD" w:rsidP="00A84AAB">
      <w:pPr>
        <w:pStyle w:val="ListBullet"/>
        <w:ind w:left="288" w:hanging="288"/>
        <w:contextualSpacing/>
        <w:rPr>
          <w:rStyle w:val="Guidance"/>
        </w:rPr>
      </w:pPr>
      <w:r w:rsidRPr="00741878">
        <w:rPr>
          <w:rStyle w:val="Guidance"/>
        </w:rPr>
        <w:t>requires the entity to use that financial asset to acquire or construct a recognisable non-financial asset to identified specifications</w:t>
      </w:r>
    </w:p>
    <w:p w14:paraId="101FB492" w14:textId="22E43174" w:rsidR="003719CD" w:rsidRPr="00741878" w:rsidRDefault="003719CD" w:rsidP="00432865">
      <w:pPr>
        <w:pStyle w:val="ListBullet"/>
        <w:rPr>
          <w:rStyle w:val="Guidance"/>
        </w:rPr>
      </w:pPr>
      <w:r w:rsidRPr="00741878">
        <w:rPr>
          <w:rStyle w:val="Guidance"/>
        </w:rPr>
        <w:t>does not require the entity to transfer the non-financial asset to the transferor or other parties</w:t>
      </w:r>
    </w:p>
    <w:p w14:paraId="2B5EF0E0" w14:textId="61CA70CB" w:rsidR="003719CD" w:rsidRDefault="003719CD" w:rsidP="2856114A">
      <w:pPr>
        <w:pStyle w:val="ListBullet"/>
        <w:rPr>
          <w:rStyle w:val="Guidance"/>
        </w:rPr>
      </w:pPr>
      <w:r w:rsidRPr="00741878">
        <w:rPr>
          <w:rStyle w:val="Guidance"/>
        </w:rPr>
        <w:lastRenderedPageBreak/>
        <w:t xml:space="preserve">occurs under an enforceable agreement. An entity shall recognise a liability for the excess of the initial carrying amount of a financial asset received in such a transfer over any related amounts recognised. The entity shall recognise income in profit or loss when the entity satisfies its obligations under the transfer. </w:t>
      </w:r>
      <w:r w:rsidRPr="0081719E">
        <w:rPr>
          <w:rStyle w:val="Reference"/>
        </w:rPr>
        <w:t>[AASB 1058.16]</w:t>
      </w:r>
    </w:p>
    <w:p w14:paraId="4A96E675" w14:textId="7B299311" w:rsidR="006C28F3" w:rsidRDefault="006C28F3" w:rsidP="008D73F7">
      <w:pPr>
        <w:rPr>
          <w:rStyle w:val="Guidance"/>
          <w:b/>
          <w:bCs/>
        </w:rPr>
      </w:pPr>
      <w:r w:rsidRPr="0081719E">
        <w:rPr>
          <w:rStyle w:val="Guidance"/>
          <w:b/>
          <w:bCs/>
        </w:rPr>
        <w:t xml:space="preserve">Termination </w:t>
      </w:r>
      <w:r>
        <w:rPr>
          <w:rStyle w:val="Guidance"/>
          <w:b/>
          <w:bCs/>
        </w:rPr>
        <w:t xml:space="preserve">for </w:t>
      </w:r>
      <w:r w:rsidRPr="0081719E">
        <w:rPr>
          <w:rStyle w:val="Guidance"/>
          <w:b/>
          <w:bCs/>
        </w:rPr>
        <w:t>convenience</w:t>
      </w:r>
    </w:p>
    <w:p w14:paraId="18D9C10C" w14:textId="753385F2" w:rsidR="006C28F3" w:rsidRPr="0081719E" w:rsidRDefault="006C28F3" w:rsidP="008D73F7">
      <w:pPr>
        <w:rPr>
          <w:rStyle w:val="Guidance"/>
        </w:rPr>
      </w:pPr>
      <w:r>
        <w:rPr>
          <w:rStyle w:val="Guidance"/>
        </w:rPr>
        <w:t xml:space="preserve">Reporters are required to assess whether their income agreements are subject to termination for convenience clauses </w:t>
      </w:r>
      <w:r w:rsidRPr="00CD06B1">
        <w:rPr>
          <w:rStyle w:val="Guidance"/>
          <w:b/>
        </w:rPr>
        <w:t>and</w:t>
      </w:r>
      <w:r>
        <w:rPr>
          <w:rStyle w:val="Guidance"/>
        </w:rPr>
        <w:t xml:space="preserve"> any unspent cash balances need to be returned to the grantor as a result of such termination. In these circumstances reporters need to disclose whether the unspent grant amounts have been recorded as either income upon receipt or a financial liability under AASB 9 </w:t>
      </w:r>
      <w:r>
        <w:rPr>
          <w:rStyle w:val="Guidance"/>
          <w:i/>
          <w:iCs/>
        </w:rPr>
        <w:t xml:space="preserve">Financial Instruments. </w:t>
      </w:r>
      <w:r>
        <w:rPr>
          <w:rStyle w:val="Guidance"/>
        </w:rPr>
        <w:t xml:space="preserve">The disclosure should also include the significant judgements made in determining whether to recognise any unspent grants as income or a financial liability. </w:t>
      </w:r>
    </w:p>
    <w:p w14:paraId="744B7ED0" w14:textId="77777777" w:rsidR="003719CD" w:rsidRPr="00741878" w:rsidRDefault="003719CD" w:rsidP="00D70E94">
      <w:pPr>
        <w:pStyle w:val="Heading4"/>
        <w:spacing w:before="100" w:after="60"/>
        <w:rPr>
          <w:rStyle w:val="Guidance"/>
        </w:rPr>
      </w:pPr>
      <w:r w:rsidRPr="00741878">
        <w:rPr>
          <w:rStyle w:val="Guidance"/>
        </w:rPr>
        <w:t xml:space="preserve">Recognition of volunteer services </w:t>
      </w:r>
    </w:p>
    <w:p w14:paraId="0F4CEFAC" w14:textId="77777777" w:rsidR="003719CD" w:rsidRPr="00741878" w:rsidRDefault="003719CD" w:rsidP="00D70E94">
      <w:pPr>
        <w:keepNext/>
        <w:spacing w:before="80"/>
        <w:rPr>
          <w:rStyle w:val="Guidance"/>
        </w:rPr>
      </w:pPr>
      <w:r w:rsidRPr="00741878">
        <w:rPr>
          <w:rStyle w:val="Guidance"/>
        </w:rPr>
        <w:t>Government departments, general government sectors (GGSs) and whole of governments shall recognise an inflow of resources in the form of volunteer services as an asset (or an expense, when the definition of an asset is not met) if:</w:t>
      </w:r>
    </w:p>
    <w:p w14:paraId="15934193" w14:textId="274A03E3" w:rsidR="003719CD" w:rsidRPr="00741878" w:rsidRDefault="003719CD" w:rsidP="00432865">
      <w:pPr>
        <w:pStyle w:val="ListBullet"/>
        <w:rPr>
          <w:rStyle w:val="Guidance"/>
        </w:rPr>
      </w:pPr>
      <w:r w:rsidRPr="00741878">
        <w:rPr>
          <w:rStyle w:val="Guidance"/>
        </w:rPr>
        <w:t>the fair value of those services can be measured reliably</w:t>
      </w:r>
    </w:p>
    <w:p w14:paraId="4D475EB2" w14:textId="77777777" w:rsidR="003719CD" w:rsidRPr="00741878" w:rsidRDefault="003719CD" w:rsidP="2856114A">
      <w:pPr>
        <w:pStyle w:val="ListBullet"/>
        <w:rPr>
          <w:rStyle w:val="Guidance"/>
        </w:rPr>
      </w:pPr>
      <w:r w:rsidRPr="00741878">
        <w:rPr>
          <w:rStyle w:val="Guidance"/>
        </w:rPr>
        <w:t xml:space="preserve">the services would have been purchased if they had not been donated. </w:t>
      </w:r>
      <w:r w:rsidRPr="00AA3FAE">
        <w:rPr>
          <w:rStyle w:val="Reference"/>
        </w:rPr>
        <w:t>[AASB 1058.18]</w:t>
      </w:r>
    </w:p>
    <w:p w14:paraId="4608B8A4" w14:textId="17E2E042" w:rsidR="003719CD" w:rsidRPr="00AA3FAE" w:rsidRDefault="003719CD" w:rsidP="007D536F">
      <w:pPr>
        <w:pBdr>
          <w:top w:val="single" w:sz="6" w:space="1" w:color="4472C4" w:themeColor="accent1"/>
          <w:left w:val="single" w:sz="6" w:space="4" w:color="4472C4" w:themeColor="accent1"/>
          <w:bottom w:val="single" w:sz="6" w:space="1" w:color="4472C4" w:themeColor="accent1"/>
          <w:right w:val="single" w:sz="6" w:space="4" w:color="4472C4" w:themeColor="accent1"/>
        </w:pBdr>
        <w:rPr>
          <w:rStyle w:val="Guidance"/>
        </w:rPr>
      </w:pPr>
      <w:r w:rsidRPr="00AA3FAE">
        <w:rPr>
          <w:rStyle w:val="Guidance"/>
        </w:rPr>
        <w:t xml:space="preserve">Entities should advise DTF (Consolidated Reporting &amp; Analysis team) if volunteer services are being recognised so they can be captured in the whole of State consolidated report. </w:t>
      </w:r>
    </w:p>
    <w:p w14:paraId="57A04D95" w14:textId="77777777" w:rsidR="003719CD" w:rsidRPr="00741878" w:rsidRDefault="003719CD" w:rsidP="007D536F">
      <w:pPr>
        <w:pStyle w:val="Heading4"/>
        <w:rPr>
          <w:rStyle w:val="Guidance"/>
        </w:rPr>
      </w:pPr>
      <w:r w:rsidRPr="00741878">
        <w:rPr>
          <w:rStyle w:val="Guidance"/>
        </w:rPr>
        <w:t>Additional disclosure of non-contractual income arising from statutory requirements</w:t>
      </w:r>
    </w:p>
    <w:p w14:paraId="3BCD3D72" w14:textId="77777777" w:rsidR="003719CD" w:rsidRPr="00741878" w:rsidRDefault="003719CD" w:rsidP="009354D1">
      <w:pPr>
        <w:rPr>
          <w:rStyle w:val="Guidance"/>
          <w:rFonts w:asciiTheme="majorHAnsi" w:eastAsiaTheme="majorEastAsia" w:hAnsiTheme="majorHAnsi" w:cstheme="majorBidi"/>
          <w:b/>
          <w:iCs/>
          <w:szCs w:val="24"/>
        </w:rPr>
      </w:pPr>
      <w:r w:rsidRPr="00741878">
        <w:rPr>
          <w:rStyle w:val="Guidance"/>
        </w:rPr>
        <w:t xml:space="preserve">Disclose income arising from statutory requirements (such as taxes, rates and fines) recognised during the period, disaggregated into categories that reflect how the nature and amount of income (and the resultant cash flows) are affected by economic factors. </w:t>
      </w:r>
      <w:r w:rsidRPr="00AA3FAE">
        <w:rPr>
          <w:rStyle w:val="Reference"/>
        </w:rPr>
        <w:t>[AASB 1058.28]</w:t>
      </w:r>
    </w:p>
    <w:p w14:paraId="4BBB22F8" w14:textId="4659A9D3" w:rsidR="003719CD" w:rsidRPr="00741878" w:rsidRDefault="003719CD" w:rsidP="009354D1">
      <w:pPr>
        <w:rPr>
          <w:rStyle w:val="Guidance"/>
        </w:rPr>
      </w:pPr>
      <w:r w:rsidRPr="00741878">
        <w:rPr>
          <w:rStyle w:val="Guidance"/>
        </w:rPr>
        <w:t>Disclosing information about assets and liabilities recognised at the reporting date in accordance with this Standard, including the amounts of:</w:t>
      </w:r>
    </w:p>
    <w:p w14:paraId="7B0C3DB8" w14:textId="2C1E703A" w:rsidR="00954F10" w:rsidRPr="00741878" w:rsidRDefault="003719CD" w:rsidP="00367D84">
      <w:pPr>
        <w:pStyle w:val="ListBullet2"/>
        <w:numPr>
          <w:ilvl w:val="0"/>
          <w:numId w:val="31"/>
        </w:numPr>
        <w:rPr>
          <w:rStyle w:val="Guidance"/>
        </w:rPr>
      </w:pPr>
      <w:r w:rsidRPr="00741878">
        <w:rPr>
          <w:rStyle w:val="Guidance"/>
        </w:rPr>
        <w:t xml:space="preserve">receivables that are not a financial asset as defined in AASB 132 </w:t>
      </w:r>
      <w:r w:rsidRPr="00CD06B1">
        <w:rPr>
          <w:rStyle w:val="Guidance"/>
          <w:i/>
        </w:rPr>
        <w:t>Financial Instruments: Presentation</w:t>
      </w:r>
      <w:r w:rsidRPr="00741878">
        <w:rPr>
          <w:rStyle w:val="Guidance"/>
        </w:rPr>
        <w:t xml:space="preserve"> (e.g. income tax receivable from a taxpayer)</w:t>
      </w:r>
    </w:p>
    <w:p w14:paraId="11EDC79F" w14:textId="20F4770E" w:rsidR="00954F10" w:rsidRPr="00A73E84" w:rsidRDefault="003719CD" w:rsidP="00A73E84">
      <w:pPr>
        <w:pStyle w:val="ListBullet2"/>
        <w:rPr>
          <w:rStyle w:val="Guidance"/>
        </w:rPr>
      </w:pPr>
      <w:r w:rsidRPr="00A73E84">
        <w:rPr>
          <w:rStyle w:val="Guidance"/>
        </w:rPr>
        <w:t>interest income recognised in relation to such receivables during the period</w:t>
      </w:r>
    </w:p>
    <w:p w14:paraId="5876B766" w14:textId="17B733E9" w:rsidR="00954F10" w:rsidRPr="00A73E84" w:rsidRDefault="00954F10" w:rsidP="00A73E84">
      <w:pPr>
        <w:pStyle w:val="ListBullet2"/>
        <w:rPr>
          <w:rStyle w:val="Guidance"/>
        </w:rPr>
      </w:pPr>
      <w:r w:rsidRPr="00A73E84">
        <w:rPr>
          <w:rStyle w:val="Guidance"/>
        </w:rPr>
        <w:t>i</w:t>
      </w:r>
      <w:r w:rsidR="003719CD" w:rsidRPr="00A73E84">
        <w:rPr>
          <w:rStyle w:val="Guidance"/>
        </w:rPr>
        <w:t>mpairment losses recognised in relation to such receivables during the period</w:t>
      </w:r>
    </w:p>
    <w:p w14:paraId="2F4D9088" w14:textId="3F3E7FB4" w:rsidR="003719CD" w:rsidRPr="00A73E84" w:rsidRDefault="003719CD" w:rsidP="00A73E84">
      <w:pPr>
        <w:pStyle w:val="ListBullet2"/>
        <w:rPr>
          <w:rStyle w:val="Guidance"/>
        </w:rPr>
      </w:pPr>
      <w:r w:rsidRPr="00A73E84">
        <w:rPr>
          <w:rStyle w:val="Guidance"/>
        </w:rPr>
        <w:t xml:space="preserve">financial liabilities relating to prepaid taxes or rates for which the taxable event has yet to occur, and the future period(s) to which those taxes or rates relate. </w:t>
      </w:r>
      <w:r w:rsidRPr="0067024C">
        <w:rPr>
          <w:rStyle w:val="Guidance"/>
          <w:color w:val="C00000"/>
          <w:sz w:val="16"/>
          <w:szCs w:val="16"/>
        </w:rPr>
        <w:t>[AASB 1058.29]</w:t>
      </w:r>
    </w:p>
    <w:p w14:paraId="4DAE84CD" w14:textId="0191C85C" w:rsidR="003719CD" w:rsidRPr="00741878" w:rsidRDefault="003719CD" w:rsidP="009354D1">
      <w:pPr>
        <w:rPr>
          <w:rStyle w:val="Guidance"/>
        </w:rPr>
      </w:pPr>
      <w:r w:rsidRPr="00741878">
        <w:rPr>
          <w:rStyle w:val="Guidance"/>
        </w:rPr>
        <w:t>Other information that may be appropriate for an entity to disclose includes, for each class of taxation income that the entity cannot measure reliably during the period in which the taxable event occurs:</w:t>
      </w:r>
    </w:p>
    <w:p w14:paraId="3B298CAE" w14:textId="0A48D1C4" w:rsidR="003719CD" w:rsidRPr="00741878" w:rsidRDefault="003719CD" w:rsidP="00310F12">
      <w:pPr>
        <w:pStyle w:val="ListBullet"/>
        <w:rPr>
          <w:rStyle w:val="Guidance"/>
        </w:rPr>
      </w:pPr>
      <w:r w:rsidRPr="00741878">
        <w:rPr>
          <w:rStyle w:val="Guidance"/>
        </w:rPr>
        <w:t>information about the nature of the tax</w:t>
      </w:r>
      <w:r w:rsidR="009D5D8C">
        <w:rPr>
          <w:rStyle w:val="Guidance"/>
        </w:rPr>
        <w:t xml:space="preserve"> </w:t>
      </w:r>
      <w:r w:rsidR="0043793B" w:rsidRPr="0067024C">
        <w:rPr>
          <w:rStyle w:val="Guidance"/>
          <w:color w:val="C00000"/>
          <w:sz w:val="16"/>
          <w:szCs w:val="16"/>
        </w:rPr>
        <w:t>[</w:t>
      </w:r>
      <w:r w:rsidR="000C4A41" w:rsidRPr="0067024C">
        <w:rPr>
          <w:rStyle w:val="Guidance"/>
          <w:color w:val="C00000"/>
          <w:sz w:val="16"/>
          <w:szCs w:val="16"/>
        </w:rPr>
        <w:t>AASB 1058.30(a)]</w:t>
      </w:r>
    </w:p>
    <w:p w14:paraId="4406D1BE" w14:textId="273D4C5A" w:rsidR="003719CD" w:rsidRPr="00741878" w:rsidRDefault="003719CD" w:rsidP="00310F12">
      <w:pPr>
        <w:pStyle w:val="ListBullet"/>
        <w:rPr>
          <w:rStyle w:val="Guidance"/>
        </w:rPr>
      </w:pPr>
      <w:r w:rsidRPr="00741878">
        <w:rPr>
          <w:rStyle w:val="Guidance"/>
        </w:rPr>
        <w:t>the reason(s) why that income cannot be measured reliably</w:t>
      </w:r>
      <w:r w:rsidR="000C4A41">
        <w:rPr>
          <w:rStyle w:val="Guidance"/>
        </w:rPr>
        <w:t xml:space="preserve"> </w:t>
      </w:r>
      <w:r w:rsidR="0043793B" w:rsidRPr="0067024C">
        <w:rPr>
          <w:rStyle w:val="Guidance"/>
          <w:color w:val="C00000"/>
          <w:sz w:val="16"/>
          <w:szCs w:val="16"/>
        </w:rPr>
        <w:t>[</w:t>
      </w:r>
      <w:r w:rsidR="000C4A41" w:rsidRPr="0067024C">
        <w:rPr>
          <w:rStyle w:val="Guidance"/>
          <w:color w:val="C00000"/>
          <w:sz w:val="16"/>
          <w:szCs w:val="16"/>
        </w:rPr>
        <w:t>AASB 1058.30(b)]</w:t>
      </w:r>
    </w:p>
    <w:p w14:paraId="54A93A64" w14:textId="516C0861" w:rsidR="003719CD" w:rsidRPr="00741878" w:rsidRDefault="003719CD" w:rsidP="00310F12">
      <w:pPr>
        <w:pStyle w:val="ListBullet"/>
        <w:rPr>
          <w:rStyle w:val="Guidance"/>
        </w:rPr>
      </w:pPr>
      <w:r w:rsidRPr="00741878">
        <w:rPr>
          <w:rStyle w:val="Guidance"/>
        </w:rPr>
        <w:t xml:space="preserve">when that uncertainty might be resolved. </w:t>
      </w:r>
      <w:r w:rsidRPr="0067024C">
        <w:rPr>
          <w:rStyle w:val="Guidance"/>
          <w:color w:val="C00000"/>
          <w:sz w:val="16"/>
          <w:szCs w:val="16"/>
        </w:rPr>
        <w:t>[AASB 1058.30</w:t>
      </w:r>
      <w:r w:rsidR="000C4A41" w:rsidRPr="0067024C">
        <w:rPr>
          <w:rStyle w:val="Guidance"/>
          <w:color w:val="C00000"/>
          <w:sz w:val="16"/>
          <w:szCs w:val="16"/>
        </w:rPr>
        <w:t>(c)</w:t>
      </w:r>
      <w:r w:rsidRPr="0067024C">
        <w:rPr>
          <w:rStyle w:val="Guidance"/>
          <w:color w:val="C00000"/>
          <w:sz w:val="16"/>
          <w:szCs w:val="16"/>
        </w:rPr>
        <w:t>]</w:t>
      </w:r>
    </w:p>
    <w:p w14:paraId="7B31FC65" w14:textId="77777777" w:rsidR="003719CD" w:rsidRPr="00741878" w:rsidRDefault="003719CD" w:rsidP="00D70E94">
      <w:pPr>
        <w:pStyle w:val="Heading4"/>
        <w:spacing w:before="100" w:after="60"/>
        <w:rPr>
          <w:rStyle w:val="Guidance"/>
        </w:rPr>
      </w:pPr>
      <w:r w:rsidRPr="00741878">
        <w:rPr>
          <w:rStyle w:val="Guidance"/>
        </w:rPr>
        <w:t>Additional disclosure for rental income</w:t>
      </w:r>
    </w:p>
    <w:p w14:paraId="1575F331" w14:textId="34862032" w:rsidR="003719CD" w:rsidRPr="00741878" w:rsidRDefault="003719CD" w:rsidP="0065553F">
      <w:pPr>
        <w:spacing w:before="80"/>
        <w:rPr>
          <w:rStyle w:val="Guidance"/>
        </w:rPr>
      </w:pPr>
      <w:r w:rsidRPr="00741878">
        <w:rPr>
          <w:rStyle w:val="Guidance"/>
        </w:rPr>
        <w:t xml:space="preserve">Where the Department is a lessor with an operating lease, </w:t>
      </w:r>
      <w:r w:rsidR="004F69D5">
        <w:rPr>
          <w:rStyle w:val="Guidance"/>
        </w:rPr>
        <w:t>it should disclose the l</w:t>
      </w:r>
      <w:r w:rsidRPr="00741878">
        <w:rPr>
          <w:rStyle w:val="Guidance"/>
        </w:rPr>
        <w:t xml:space="preserve">ease income, separately disclosing income relating to variable lease payments that do not depend on an index or a rate </w:t>
      </w:r>
      <w:r w:rsidRPr="00AA3FAE">
        <w:rPr>
          <w:rStyle w:val="Reference"/>
        </w:rPr>
        <w:t>[AASB 16.90(b)]</w:t>
      </w:r>
      <w:r w:rsidRPr="00741878">
        <w:rPr>
          <w:rStyle w:val="Guidance"/>
        </w:rPr>
        <w:t>, in the ‘other income’ note</w:t>
      </w:r>
      <w:r w:rsidR="004F69D5">
        <w:rPr>
          <w:rStyle w:val="Guidance"/>
        </w:rPr>
        <w:t>.</w:t>
      </w:r>
      <w:r w:rsidR="00CA722F">
        <w:rPr>
          <w:rStyle w:val="Guidance"/>
        </w:rPr>
        <w:t xml:space="preserve"> </w:t>
      </w:r>
      <w:r w:rsidRPr="00741878">
        <w:rPr>
          <w:rStyle w:val="Guidance"/>
        </w:rPr>
        <w:t>Lessors shall also disclose additional qualitative and quantitative information about its leasing activities, including but not limited to:</w:t>
      </w:r>
    </w:p>
    <w:p w14:paraId="68FF4C6E" w14:textId="2ABACFD1" w:rsidR="003719CD" w:rsidRPr="00741878" w:rsidRDefault="003719CD" w:rsidP="00310F12">
      <w:pPr>
        <w:pStyle w:val="ListBullet"/>
        <w:rPr>
          <w:rStyle w:val="Guidance"/>
        </w:rPr>
      </w:pPr>
      <w:r w:rsidRPr="00741878">
        <w:rPr>
          <w:rStyle w:val="Guidance"/>
        </w:rPr>
        <w:t>the nature of the lessor’s leasing activities</w:t>
      </w:r>
      <w:r w:rsidR="004E2975">
        <w:rPr>
          <w:rStyle w:val="Guidance"/>
        </w:rPr>
        <w:t xml:space="preserve"> </w:t>
      </w:r>
      <w:r w:rsidR="004E2975" w:rsidRPr="00AA3FAE">
        <w:rPr>
          <w:rStyle w:val="Reference"/>
        </w:rPr>
        <w:t>[AASB 16.92</w:t>
      </w:r>
      <w:r w:rsidR="004E2975">
        <w:rPr>
          <w:rStyle w:val="Reference"/>
        </w:rPr>
        <w:t>(a)</w:t>
      </w:r>
      <w:r w:rsidR="004E2975" w:rsidRPr="00AA3FAE">
        <w:rPr>
          <w:rStyle w:val="Reference"/>
        </w:rPr>
        <w:t>]</w:t>
      </w:r>
    </w:p>
    <w:p w14:paraId="2524098E" w14:textId="058FFD25" w:rsidR="003719CD" w:rsidRPr="00741878" w:rsidRDefault="003719CD" w:rsidP="00310F12">
      <w:pPr>
        <w:pStyle w:val="ListBullet"/>
        <w:rPr>
          <w:rStyle w:val="Guidance"/>
        </w:rPr>
      </w:pPr>
      <w:r w:rsidRPr="00741878">
        <w:rPr>
          <w:rStyle w:val="Guidance"/>
        </w:rPr>
        <w:t xml:space="preserve">how the lessor manages the risk associated with any rights it retains in underlying assets. In particular, a lessor shall disclose the risk management strategy for the rights it retains in underlying assets, including any means by which the lessor reduces the risk. </w:t>
      </w:r>
      <w:r w:rsidRPr="00AA3FAE">
        <w:rPr>
          <w:rStyle w:val="Reference"/>
        </w:rPr>
        <w:t>[AASB 16.92</w:t>
      </w:r>
      <w:r w:rsidR="004E2975">
        <w:rPr>
          <w:rStyle w:val="Reference"/>
        </w:rPr>
        <w:t>(b)</w:t>
      </w:r>
      <w:r w:rsidRPr="00AA3FAE">
        <w:rPr>
          <w:rStyle w:val="Reference"/>
        </w:rPr>
        <w:t>]</w:t>
      </w:r>
    </w:p>
    <w:p w14:paraId="728F4E25" w14:textId="77777777" w:rsidR="003719CD" w:rsidRPr="00741878" w:rsidRDefault="003719CD" w:rsidP="00D70E94">
      <w:pPr>
        <w:spacing w:before="80"/>
        <w:rPr>
          <w:rStyle w:val="Guidance"/>
        </w:rPr>
      </w:pPr>
      <w:r w:rsidRPr="00741878">
        <w:rPr>
          <w:rStyle w:val="Guidance"/>
        </w:rPr>
        <w:t xml:space="preserve">All incentives for the agreement of a new or renewed operating lease are recognised as an integral part of the net consideration agreed for the use of the leased asset, irrespective of the incentive’s nature or form or the timing of payments. </w:t>
      </w:r>
      <w:r w:rsidRPr="00AA3FAE">
        <w:rPr>
          <w:rStyle w:val="Reference"/>
        </w:rPr>
        <w:t>[AASB Interpretation 115.3]</w:t>
      </w:r>
    </w:p>
    <w:p w14:paraId="7EB5DF2B" w14:textId="7DC14BD8" w:rsidR="003719CD" w:rsidRPr="00741878" w:rsidRDefault="003719CD" w:rsidP="00D70E94">
      <w:pPr>
        <w:spacing w:before="80"/>
        <w:rPr>
          <w:rStyle w:val="Guidance"/>
        </w:rPr>
      </w:pPr>
      <w:r w:rsidRPr="00741878">
        <w:rPr>
          <w:rStyle w:val="Guidance"/>
        </w:rPr>
        <w:t>In the event lease incentives are given to the lessee, the aggregate cost of incentives is recognised as a reduction of rental income over the lease term, on a straight</w:t>
      </w:r>
      <w:r w:rsidR="00080376">
        <w:rPr>
          <w:rStyle w:val="Guidance"/>
        </w:rPr>
        <w:t>-</w:t>
      </w:r>
      <w:r w:rsidRPr="00741878">
        <w:rPr>
          <w:rStyle w:val="Guidance"/>
        </w:rPr>
        <w:t xml:space="preserve">line basis unless another systematic basis is more representative of the time pattern over which the economic benefit of the leased asset is diminished. </w:t>
      </w:r>
      <w:r w:rsidRPr="00AA3FAE">
        <w:rPr>
          <w:rStyle w:val="Reference"/>
        </w:rPr>
        <w:t>[AASB Interpretation 115.4]</w:t>
      </w:r>
    </w:p>
    <w:p w14:paraId="223F6D08" w14:textId="77777777" w:rsidR="003719CD" w:rsidRDefault="003719CD" w:rsidP="007D536F">
      <w:pPr>
        <w:pStyle w:val="GuidanceEnd"/>
      </w:pPr>
    </w:p>
    <w:p w14:paraId="7646A1D9" w14:textId="77777777" w:rsidR="003719CD" w:rsidRDefault="003719CD" w:rsidP="001B5265">
      <w:pPr>
        <w:pStyle w:val="Heading2numbered"/>
      </w:pPr>
      <w:bookmarkStart w:id="25" w:name="_Toc96704855"/>
      <w:bookmarkStart w:id="26" w:name="_Toc130225930"/>
      <w:bookmarkStart w:id="27" w:name="_Toc64983253"/>
      <w:r>
        <w:lastRenderedPageBreak/>
        <w:t>Annotated income agreements</w:t>
      </w:r>
      <w:bookmarkEnd w:id="25"/>
      <w:bookmarkEnd w:id="26"/>
      <w:bookmarkEnd w:id="27"/>
    </w:p>
    <w:p w14:paraId="0EBBE8C9" w14:textId="77777777" w:rsidR="003719CD" w:rsidRDefault="003719CD" w:rsidP="00DC39DE">
      <w:r>
        <w:t xml:space="preserve">The Department is permitted under section 29 of the </w:t>
      </w:r>
      <w:r w:rsidRPr="00A30EF2">
        <w:rPr>
          <w:i/>
          <w:iCs/>
        </w:rPr>
        <w:t>Financial Management Act 1994</w:t>
      </w:r>
      <w:r>
        <w:t xml:space="preserve"> (FMA) to have certain income annotated to the annual appropriation. The income which forms part of a section 29 agreement is recognised by the Department as an administered item and the receipts paid into the consolidated fund. If a section 29 agreement is in place, the relevant appropriation item will be increased by the equivalent amount at the point of income recognition. </w:t>
      </w:r>
    </w:p>
    <w:p w14:paraId="59DE30AC" w14:textId="77777777" w:rsidR="003719CD" w:rsidRDefault="003719CD" w:rsidP="00DC39DE">
      <w:r>
        <w:t>The following is a listing of the FMA section 29 annotated income agreements approved by the Treasurer:</w:t>
      </w:r>
    </w:p>
    <w:p w14:paraId="3BFE258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82709" w14:paraId="3453083D" w14:textId="77777777" w:rsidTr="003D3F53">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436C5606" w14:textId="77777777" w:rsidR="00182709" w:rsidRDefault="0044097C">
            <w:pPr>
              <w:keepNext/>
              <w:jc w:val="left"/>
            </w:pPr>
            <w:r>
              <w:rPr>
                <w:color w:val="4472C4"/>
                <w:sz w:val="13"/>
              </w:rPr>
              <w:t>Source reference</w:t>
            </w:r>
          </w:p>
        </w:tc>
        <w:tc>
          <w:tcPr>
            <w:tcW w:w="6558" w:type="dxa"/>
          </w:tcPr>
          <w:p w14:paraId="2E2CFDB8" w14:textId="77777777" w:rsidR="00182709" w:rsidRDefault="00182709">
            <w:pPr>
              <w:keepNext/>
              <w:jc w:val="left"/>
            </w:pPr>
          </w:p>
        </w:tc>
        <w:tc>
          <w:tcPr>
            <w:tcW w:w="1732" w:type="dxa"/>
            <w:gridSpan w:val="2"/>
          </w:tcPr>
          <w:p w14:paraId="0F0E5802" w14:textId="77777777" w:rsidR="00182709" w:rsidRDefault="0044097C">
            <w:pPr>
              <w:keepNext/>
              <w:jc w:val="center"/>
            </w:pPr>
            <w:r>
              <w:t>Actual</w:t>
            </w:r>
          </w:p>
        </w:tc>
      </w:tr>
      <w:tr w:rsidR="003D3F53" w14:paraId="178C452B" w14:textId="77777777" w:rsidTr="003D3F53">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706FD8E2" w14:textId="77777777" w:rsidR="003D3F53" w:rsidRDefault="003D3F53" w:rsidP="003D3F53">
            <w:pPr>
              <w:keepNext/>
              <w:jc w:val="left"/>
            </w:pPr>
          </w:p>
        </w:tc>
        <w:tc>
          <w:tcPr>
            <w:tcW w:w="6558" w:type="dxa"/>
          </w:tcPr>
          <w:p w14:paraId="0DE0564F" w14:textId="77777777" w:rsidR="003D3F53" w:rsidRDefault="003D3F53" w:rsidP="003D3F53">
            <w:pPr>
              <w:keepNext/>
              <w:jc w:val="left"/>
            </w:pPr>
          </w:p>
        </w:tc>
        <w:tc>
          <w:tcPr>
            <w:tcW w:w="866" w:type="dxa"/>
          </w:tcPr>
          <w:p w14:paraId="725BC014" w14:textId="149EED75" w:rsidR="003D3F53" w:rsidRDefault="003D3F53" w:rsidP="003D3F53">
            <w:pPr>
              <w:keepNext/>
            </w:pPr>
            <w:fldSimple w:instr="DOCPROPERTY  YearCurrent \* MERGEFORMAT">
              <w:r>
                <w:t>20X2</w:t>
              </w:r>
            </w:fldSimple>
          </w:p>
        </w:tc>
        <w:tc>
          <w:tcPr>
            <w:tcW w:w="866" w:type="dxa"/>
          </w:tcPr>
          <w:p w14:paraId="44E4C5FD" w14:textId="4CC1DB0F" w:rsidR="003D3F53" w:rsidRDefault="003D3F53" w:rsidP="003D3F53">
            <w:pPr>
              <w:keepNext/>
            </w:pPr>
            <w:fldSimple w:instr="DOCPROPERTY  YearPrevious  \* MERGEFORMAT">
              <w:r>
                <w:t>20X1</w:t>
              </w:r>
            </w:fldSimple>
          </w:p>
        </w:tc>
      </w:tr>
      <w:tr w:rsidR="00182709" w14:paraId="2E33781B" w14:textId="77777777" w:rsidTr="003D3F53">
        <w:tc>
          <w:tcPr>
            <w:tcW w:w="1349" w:type="dxa"/>
          </w:tcPr>
          <w:p w14:paraId="7B463651" w14:textId="77777777" w:rsidR="00182709" w:rsidRDefault="00182709">
            <w:pPr>
              <w:jc w:val="left"/>
            </w:pPr>
          </w:p>
        </w:tc>
        <w:tc>
          <w:tcPr>
            <w:tcW w:w="6558" w:type="dxa"/>
          </w:tcPr>
          <w:p w14:paraId="4F9ECE5E" w14:textId="77777777" w:rsidR="00182709" w:rsidRDefault="0044097C">
            <w:pPr>
              <w:jc w:val="left"/>
            </w:pPr>
            <w:r>
              <w:rPr>
                <w:b/>
              </w:rPr>
              <w:t>User charges, or sales of goods and services</w:t>
            </w:r>
          </w:p>
        </w:tc>
        <w:tc>
          <w:tcPr>
            <w:tcW w:w="866" w:type="dxa"/>
          </w:tcPr>
          <w:p w14:paraId="1A5FB941" w14:textId="77777777" w:rsidR="00182709" w:rsidRDefault="00182709"/>
        </w:tc>
        <w:tc>
          <w:tcPr>
            <w:tcW w:w="866" w:type="dxa"/>
          </w:tcPr>
          <w:p w14:paraId="6552A291" w14:textId="77777777" w:rsidR="00182709" w:rsidRDefault="00182709"/>
        </w:tc>
      </w:tr>
      <w:tr w:rsidR="00182709" w14:paraId="3CFBA93C" w14:textId="77777777" w:rsidTr="003D3F53">
        <w:tc>
          <w:tcPr>
            <w:tcW w:w="1349" w:type="dxa"/>
          </w:tcPr>
          <w:p w14:paraId="07937F13" w14:textId="77777777" w:rsidR="00182709" w:rsidRDefault="00182709">
            <w:pPr>
              <w:jc w:val="left"/>
            </w:pPr>
          </w:p>
        </w:tc>
        <w:tc>
          <w:tcPr>
            <w:tcW w:w="6558" w:type="dxa"/>
          </w:tcPr>
          <w:p w14:paraId="407EB885" w14:textId="77777777" w:rsidR="00182709" w:rsidRDefault="0044097C">
            <w:pPr>
              <w:jc w:val="left"/>
            </w:pPr>
            <w:r>
              <w:t>ScienceData</w:t>
            </w:r>
          </w:p>
        </w:tc>
        <w:tc>
          <w:tcPr>
            <w:tcW w:w="866" w:type="dxa"/>
          </w:tcPr>
          <w:p w14:paraId="58799E22" w14:textId="77777777" w:rsidR="00182709" w:rsidRDefault="0044097C">
            <w:r>
              <w:t>598</w:t>
            </w:r>
          </w:p>
        </w:tc>
        <w:tc>
          <w:tcPr>
            <w:tcW w:w="866" w:type="dxa"/>
          </w:tcPr>
          <w:p w14:paraId="4CB453B2" w14:textId="77777777" w:rsidR="00182709" w:rsidRDefault="0044097C">
            <w:r>
              <w:t>658</w:t>
            </w:r>
          </w:p>
        </w:tc>
      </w:tr>
      <w:tr w:rsidR="00182709" w14:paraId="35B24BB6" w14:textId="77777777" w:rsidTr="003D3F53">
        <w:tc>
          <w:tcPr>
            <w:tcW w:w="1349" w:type="dxa"/>
          </w:tcPr>
          <w:p w14:paraId="1D9826E9" w14:textId="77777777" w:rsidR="00182709" w:rsidRDefault="00182709">
            <w:pPr>
              <w:jc w:val="left"/>
            </w:pPr>
          </w:p>
        </w:tc>
        <w:tc>
          <w:tcPr>
            <w:tcW w:w="6558" w:type="dxa"/>
          </w:tcPr>
          <w:p w14:paraId="71197063" w14:textId="77777777" w:rsidR="00182709" w:rsidRDefault="0044097C">
            <w:pPr>
              <w:jc w:val="left"/>
            </w:pPr>
            <w:r>
              <w:t>Technology Special Zone Registration</w:t>
            </w:r>
          </w:p>
        </w:tc>
        <w:tc>
          <w:tcPr>
            <w:tcW w:w="866" w:type="dxa"/>
          </w:tcPr>
          <w:p w14:paraId="77F98B8F" w14:textId="77777777" w:rsidR="00182709" w:rsidRDefault="0044097C">
            <w:r>
              <w:t>955</w:t>
            </w:r>
          </w:p>
        </w:tc>
        <w:tc>
          <w:tcPr>
            <w:tcW w:w="866" w:type="dxa"/>
          </w:tcPr>
          <w:p w14:paraId="3B6BE80F" w14:textId="77777777" w:rsidR="00182709" w:rsidRDefault="0044097C">
            <w:r>
              <w:t>998</w:t>
            </w:r>
          </w:p>
        </w:tc>
      </w:tr>
      <w:tr w:rsidR="00182709" w14:paraId="0A331976" w14:textId="77777777" w:rsidTr="003D3F53">
        <w:tc>
          <w:tcPr>
            <w:tcW w:w="1349" w:type="dxa"/>
          </w:tcPr>
          <w:p w14:paraId="140F4ACE" w14:textId="77777777" w:rsidR="00182709" w:rsidRDefault="00182709">
            <w:pPr>
              <w:jc w:val="left"/>
            </w:pPr>
          </w:p>
        </w:tc>
        <w:tc>
          <w:tcPr>
            <w:tcW w:w="6558" w:type="dxa"/>
          </w:tcPr>
          <w:p w14:paraId="29B57177" w14:textId="77777777" w:rsidR="00182709" w:rsidRDefault="0044097C">
            <w:pPr>
              <w:jc w:val="left"/>
            </w:pPr>
            <w:r>
              <w:t>National Technology Development Fund</w:t>
            </w:r>
          </w:p>
        </w:tc>
        <w:tc>
          <w:tcPr>
            <w:tcW w:w="866" w:type="dxa"/>
          </w:tcPr>
          <w:p w14:paraId="30CEB7A6" w14:textId="77777777" w:rsidR="00182709" w:rsidRDefault="0044097C">
            <w:r>
              <w:t>250</w:t>
            </w:r>
          </w:p>
        </w:tc>
        <w:tc>
          <w:tcPr>
            <w:tcW w:w="866" w:type="dxa"/>
          </w:tcPr>
          <w:p w14:paraId="056837D8" w14:textId="77777777" w:rsidR="00182709" w:rsidRDefault="0044097C">
            <w:r>
              <w:t>260</w:t>
            </w:r>
          </w:p>
        </w:tc>
      </w:tr>
      <w:tr w:rsidR="00182709" w14:paraId="45524E6B" w14:textId="77777777" w:rsidTr="003D3F53">
        <w:tc>
          <w:tcPr>
            <w:tcW w:w="1349" w:type="dxa"/>
          </w:tcPr>
          <w:p w14:paraId="65647BFD" w14:textId="77777777" w:rsidR="00182709" w:rsidRDefault="00182709">
            <w:pPr>
              <w:jc w:val="left"/>
            </w:pPr>
          </w:p>
        </w:tc>
        <w:tc>
          <w:tcPr>
            <w:tcW w:w="6558" w:type="dxa"/>
          </w:tcPr>
          <w:p w14:paraId="5AF5749F" w14:textId="77777777" w:rsidR="00182709" w:rsidRDefault="0044097C">
            <w:pPr>
              <w:jc w:val="left"/>
            </w:pPr>
            <w:r>
              <w:t>Network Congestion Charge</w:t>
            </w:r>
          </w:p>
        </w:tc>
        <w:tc>
          <w:tcPr>
            <w:tcW w:w="866" w:type="dxa"/>
          </w:tcPr>
          <w:p w14:paraId="1587DE31" w14:textId="77777777" w:rsidR="00182709" w:rsidRDefault="0044097C">
            <w:r>
              <w:t>365</w:t>
            </w:r>
          </w:p>
        </w:tc>
        <w:tc>
          <w:tcPr>
            <w:tcW w:w="866" w:type="dxa"/>
          </w:tcPr>
          <w:p w14:paraId="1863BCE5" w14:textId="77777777" w:rsidR="00182709" w:rsidRDefault="0044097C">
            <w:r>
              <w:t>399</w:t>
            </w:r>
          </w:p>
        </w:tc>
      </w:tr>
      <w:tr w:rsidR="00182709" w14:paraId="42C59C45" w14:textId="77777777" w:rsidTr="003D3F53">
        <w:tc>
          <w:tcPr>
            <w:tcW w:w="1349" w:type="dxa"/>
          </w:tcPr>
          <w:p w14:paraId="019745AD" w14:textId="77777777" w:rsidR="00182709" w:rsidRDefault="00182709">
            <w:pPr>
              <w:jc w:val="left"/>
            </w:pPr>
          </w:p>
        </w:tc>
        <w:tc>
          <w:tcPr>
            <w:tcW w:w="6558" w:type="dxa"/>
          </w:tcPr>
          <w:p w14:paraId="2358B96B" w14:textId="77777777" w:rsidR="00182709" w:rsidRDefault="0044097C">
            <w:pPr>
              <w:jc w:val="left"/>
            </w:pPr>
            <w:r>
              <w:rPr>
                <w:b/>
              </w:rPr>
              <w:t>Asset sales</w:t>
            </w:r>
          </w:p>
        </w:tc>
        <w:tc>
          <w:tcPr>
            <w:tcW w:w="866" w:type="dxa"/>
          </w:tcPr>
          <w:p w14:paraId="1DCE00DC" w14:textId="77777777" w:rsidR="00182709" w:rsidRDefault="00182709"/>
        </w:tc>
        <w:tc>
          <w:tcPr>
            <w:tcW w:w="866" w:type="dxa"/>
          </w:tcPr>
          <w:p w14:paraId="0303C5BD" w14:textId="77777777" w:rsidR="00182709" w:rsidRDefault="00182709"/>
        </w:tc>
      </w:tr>
      <w:tr w:rsidR="00182709" w14:paraId="784B81A5" w14:textId="77777777" w:rsidTr="003D3F53">
        <w:tc>
          <w:tcPr>
            <w:tcW w:w="1349" w:type="dxa"/>
          </w:tcPr>
          <w:p w14:paraId="3208D288" w14:textId="77777777" w:rsidR="00182709" w:rsidRDefault="00182709">
            <w:pPr>
              <w:jc w:val="left"/>
            </w:pPr>
          </w:p>
        </w:tc>
        <w:tc>
          <w:tcPr>
            <w:tcW w:w="6558" w:type="dxa"/>
          </w:tcPr>
          <w:p w14:paraId="17817AD5" w14:textId="77777777" w:rsidR="00182709" w:rsidRDefault="0044097C">
            <w:pPr>
              <w:jc w:val="left"/>
            </w:pPr>
            <w:r>
              <w:t>Cloud Computer Complex</w:t>
            </w:r>
          </w:p>
        </w:tc>
        <w:tc>
          <w:tcPr>
            <w:tcW w:w="866" w:type="dxa"/>
          </w:tcPr>
          <w:p w14:paraId="5D520589" w14:textId="77777777" w:rsidR="00182709" w:rsidRDefault="0044097C">
            <w:r>
              <w:t>..</w:t>
            </w:r>
          </w:p>
        </w:tc>
        <w:tc>
          <w:tcPr>
            <w:tcW w:w="866" w:type="dxa"/>
          </w:tcPr>
          <w:p w14:paraId="2EAB2F8A" w14:textId="77777777" w:rsidR="00182709" w:rsidRDefault="0044097C">
            <w:r>
              <w:t>2 350</w:t>
            </w:r>
          </w:p>
        </w:tc>
      </w:tr>
      <w:tr w:rsidR="00182709" w14:paraId="3868B2E4" w14:textId="77777777" w:rsidTr="003D3F53">
        <w:tc>
          <w:tcPr>
            <w:tcW w:w="1349" w:type="dxa"/>
          </w:tcPr>
          <w:p w14:paraId="03B97FD8" w14:textId="77777777" w:rsidR="00182709" w:rsidRDefault="00182709">
            <w:pPr>
              <w:jc w:val="left"/>
            </w:pPr>
          </w:p>
        </w:tc>
        <w:tc>
          <w:tcPr>
            <w:tcW w:w="6558" w:type="dxa"/>
          </w:tcPr>
          <w:p w14:paraId="7E6A4055" w14:textId="77777777" w:rsidR="00182709" w:rsidRDefault="0044097C">
            <w:pPr>
              <w:jc w:val="left"/>
            </w:pPr>
            <w:r>
              <w:rPr>
                <w:b/>
              </w:rPr>
              <w:t>Commonwealth specific purpose payments</w:t>
            </w:r>
          </w:p>
        </w:tc>
        <w:tc>
          <w:tcPr>
            <w:tcW w:w="866" w:type="dxa"/>
          </w:tcPr>
          <w:p w14:paraId="4D32E5EE" w14:textId="77777777" w:rsidR="00182709" w:rsidRDefault="00182709"/>
        </w:tc>
        <w:tc>
          <w:tcPr>
            <w:tcW w:w="866" w:type="dxa"/>
          </w:tcPr>
          <w:p w14:paraId="34ABA86A" w14:textId="77777777" w:rsidR="00182709" w:rsidRDefault="00182709"/>
        </w:tc>
      </w:tr>
      <w:tr w:rsidR="00182709" w14:paraId="2EF63233" w14:textId="77777777" w:rsidTr="003D3F53">
        <w:tc>
          <w:tcPr>
            <w:tcW w:w="1349" w:type="dxa"/>
          </w:tcPr>
          <w:p w14:paraId="23A39A24" w14:textId="77777777" w:rsidR="00182709" w:rsidRDefault="00182709">
            <w:pPr>
              <w:jc w:val="left"/>
            </w:pPr>
          </w:p>
        </w:tc>
        <w:tc>
          <w:tcPr>
            <w:tcW w:w="6558" w:type="dxa"/>
          </w:tcPr>
          <w:p w14:paraId="565D0B3A" w14:textId="77777777" w:rsidR="00182709" w:rsidRDefault="0044097C">
            <w:pPr>
              <w:jc w:val="left"/>
            </w:pPr>
            <w:r>
              <w:t>ABC university Tech Lab</w:t>
            </w:r>
          </w:p>
        </w:tc>
        <w:tc>
          <w:tcPr>
            <w:tcW w:w="866" w:type="dxa"/>
          </w:tcPr>
          <w:p w14:paraId="4A849A18" w14:textId="77777777" w:rsidR="00182709" w:rsidRDefault="0044097C">
            <w:r>
              <w:t>3 002</w:t>
            </w:r>
          </w:p>
        </w:tc>
        <w:tc>
          <w:tcPr>
            <w:tcW w:w="866" w:type="dxa"/>
          </w:tcPr>
          <w:p w14:paraId="5C186561" w14:textId="77777777" w:rsidR="00182709" w:rsidRDefault="0044097C">
            <w:r>
              <w:t>2 580</w:t>
            </w:r>
          </w:p>
        </w:tc>
      </w:tr>
      <w:tr w:rsidR="00182709" w14:paraId="781E0BA6" w14:textId="77777777" w:rsidTr="003D3F53">
        <w:tc>
          <w:tcPr>
            <w:tcW w:w="1349" w:type="dxa"/>
          </w:tcPr>
          <w:p w14:paraId="35F0A0F3" w14:textId="77777777" w:rsidR="00182709" w:rsidRDefault="00182709">
            <w:pPr>
              <w:jc w:val="left"/>
            </w:pPr>
          </w:p>
        </w:tc>
        <w:tc>
          <w:tcPr>
            <w:tcW w:w="6558" w:type="dxa"/>
          </w:tcPr>
          <w:p w14:paraId="6B5B5C9F" w14:textId="77777777" w:rsidR="00182709" w:rsidRDefault="0044097C">
            <w:pPr>
              <w:jc w:val="left"/>
            </w:pPr>
            <w:r>
              <w:t>Technology Incubator</w:t>
            </w:r>
          </w:p>
        </w:tc>
        <w:tc>
          <w:tcPr>
            <w:tcW w:w="866" w:type="dxa"/>
          </w:tcPr>
          <w:p w14:paraId="2AFD3181" w14:textId="77777777" w:rsidR="00182709" w:rsidRDefault="0044097C">
            <w:r>
              <w:t>2 575</w:t>
            </w:r>
          </w:p>
        </w:tc>
        <w:tc>
          <w:tcPr>
            <w:tcW w:w="866" w:type="dxa"/>
          </w:tcPr>
          <w:p w14:paraId="4E60F183" w14:textId="77777777" w:rsidR="00182709" w:rsidRDefault="0044097C">
            <w:r>
              <w:t>2 658</w:t>
            </w:r>
          </w:p>
        </w:tc>
      </w:tr>
      <w:tr w:rsidR="00182709" w14:paraId="74981804" w14:textId="77777777" w:rsidTr="003D3F53">
        <w:tc>
          <w:tcPr>
            <w:tcW w:w="1349" w:type="dxa"/>
          </w:tcPr>
          <w:p w14:paraId="33B1D013" w14:textId="77777777" w:rsidR="00182709" w:rsidRDefault="00182709">
            <w:pPr>
              <w:jc w:val="left"/>
            </w:pPr>
          </w:p>
        </w:tc>
        <w:tc>
          <w:tcPr>
            <w:tcW w:w="6558" w:type="dxa"/>
          </w:tcPr>
          <w:p w14:paraId="47882A9D" w14:textId="35F41B47" w:rsidR="00182709" w:rsidRDefault="0044097C">
            <w:pPr>
              <w:jc w:val="left"/>
            </w:pPr>
            <w:r>
              <w:t xml:space="preserve">National </w:t>
            </w:r>
            <w:r w:rsidRPr="2856114A">
              <w:t>Wifi</w:t>
            </w:r>
            <w:r>
              <w:t xml:space="preserve"> Network – Readiness Test</w:t>
            </w:r>
          </w:p>
        </w:tc>
        <w:tc>
          <w:tcPr>
            <w:tcW w:w="866" w:type="dxa"/>
          </w:tcPr>
          <w:p w14:paraId="4DD7AE56" w14:textId="77777777" w:rsidR="00182709" w:rsidRDefault="0044097C">
            <w:r>
              <w:t>642</w:t>
            </w:r>
          </w:p>
        </w:tc>
        <w:tc>
          <w:tcPr>
            <w:tcW w:w="866" w:type="dxa"/>
          </w:tcPr>
          <w:p w14:paraId="66480942" w14:textId="77777777" w:rsidR="00182709" w:rsidRDefault="0044097C">
            <w:r>
              <w:t>..</w:t>
            </w:r>
          </w:p>
        </w:tc>
      </w:tr>
      <w:tr w:rsidR="00182709" w14:paraId="778E5337" w14:textId="77777777" w:rsidTr="003D3F53">
        <w:tc>
          <w:tcPr>
            <w:tcW w:w="1349" w:type="dxa"/>
          </w:tcPr>
          <w:p w14:paraId="09DE5901" w14:textId="77777777" w:rsidR="00182709" w:rsidRDefault="00182709">
            <w:pPr>
              <w:jc w:val="left"/>
            </w:pPr>
          </w:p>
        </w:tc>
        <w:tc>
          <w:tcPr>
            <w:tcW w:w="6558" w:type="dxa"/>
            <w:tcBorders>
              <w:bottom w:val="single" w:sz="12" w:space="0" w:color="auto"/>
            </w:tcBorders>
          </w:tcPr>
          <w:p w14:paraId="32091F1B" w14:textId="77777777" w:rsidR="00182709" w:rsidRDefault="0044097C">
            <w:pPr>
              <w:jc w:val="left"/>
            </w:pPr>
            <w:r>
              <w:t>Hyperloop Link Contribution</w:t>
            </w:r>
          </w:p>
        </w:tc>
        <w:tc>
          <w:tcPr>
            <w:tcW w:w="866" w:type="dxa"/>
            <w:tcBorders>
              <w:bottom w:val="single" w:sz="12" w:space="0" w:color="auto"/>
            </w:tcBorders>
          </w:tcPr>
          <w:p w14:paraId="22FB1AF0" w14:textId="77777777" w:rsidR="00182709" w:rsidRDefault="0044097C">
            <w:r>
              <w:t>1 650</w:t>
            </w:r>
          </w:p>
        </w:tc>
        <w:tc>
          <w:tcPr>
            <w:tcW w:w="866" w:type="dxa"/>
            <w:tcBorders>
              <w:bottom w:val="single" w:sz="12" w:space="0" w:color="auto"/>
            </w:tcBorders>
          </w:tcPr>
          <w:p w14:paraId="164531A5" w14:textId="77777777" w:rsidR="00182709" w:rsidRDefault="0044097C">
            <w:r>
              <w:t>1 500</w:t>
            </w:r>
          </w:p>
        </w:tc>
      </w:tr>
      <w:tr w:rsidR="00671D55" w14:paraId="5D36A98E" w14:textId="77777777" w:rsidTr="003D3F53">
        <w:tc>
          <w:tcPr>
            <w:tcW w:w="1349" w:type="dxa"/>
            <w:tcBorders>
              <w:bottom w:val="nil"/>
            </w:tcBorders>
          </w:tcPr>
          <w:p w14:paraId="2A1B61BD" w14:textId="77777777" w:rsidR="00182709" w:rsidRDefault="0044097C">
            <w:pPr>
              <w:jc w:val="left"/>
            </w:pPr>
            <w:r>
              <w:rPr>
                <w:color w:val="4472C4"/>
                <w:sz w:val="13"/>
              </w:rPr>
              <w:t>FMAs29</w:t>
            </w:r>
          </w:p>
        </w:tc>
        <w:tc>
          <w:tcPr>
            <w:tcW w:w="6558" w:type="dxa"/>
          </w:tcPr>
          <w:p w14:paraId="778153C4" w14:textId="77777777" w:rsidR="00182709" w:rsidRDefault="0044097C">
            <w:pPr>
              <w:jc w:val="left"/>
            </w:pPr>
            <w:r>
              <w:rPr>
                <w:b/>
              </w:rPr>
              <w:t>Total annotated income agreements</w:t>
            </w:r>
          </w:p>
        </w:tc>
        <w:tc>
          <w:tcPr>
            <w:tcW w:w="866" w:type="dxa"/>
          </w:tcPr>
          <w:p w14:paraId="37778AAD" w14:textId="77777777" w:rsidR="00182709" w:rsidRDefault="0044097C">
            <w:r>
              <w:rPr>
                <w:b/>
              </w:rPr>
              <w:t>10 037</w:t>
            </w:r>
          </w:p>
        </w:tc>
        <w:tc>
          <w:tcPr>
            <w:tcW w:w="866" w:type="dxa"/>
          </w:tcPr>
          <w:p w14:paraId="000FEE16" w14:textId="77777777" w:rsidR="00182709" w:rsidRDefault="0044097C">
            <w:r>
              <w:rPr>
                <w:b/>
              </w:rPr>
              <w:t>11 403</w:t>
            </w:r>
          </w:p>
        </w:tc>
      </w:tr>
    </w:tbl>
    <w:p w14:paraId="606E30FF" w14:textId="77777777" w:rsidR="003719CD" w:rsidRDefault="003719CD" w:rsidP="00DC39DE"/>
    <w:p w14:paraId="7E5AA231" w14:textId="77777777" w:rsidR="003719CD" w:rsidRDefault="003719CD" w:rsidP="007D536F">
      <w:pPr>
        <w:pStyle w:val="GuidanceBlockHeading"/>
      </w:pPr>
      <w:r>
        <w:t>Guidance – Annotated income agreements</w:t>
      </w:r>
    </w:p>
    <w:p w14:paraId="760D1FCB" w14:textId="77777777" w:rsidR="003719CD" w:rsidRPr="00A30EF2" w:rsidRDefault="003719CD" w:rsidP="007D536F">
      <w:pPr>
        <w:pStyle w:val="Heading4"/>
        <w:rPr>
          <w:rStyle w:val="Guidance"/>
        </w:rPr>
      </w:pPr>
      <w:r w:rsidRPr="00A30EF2">
        <w:rPr>
          <w:rStyle w:val="Guidance"/>
        </w:rPr>
        <w:t xml:space="preserve">Section 29 </w:t>
      </w:r>
      <w:r w:rsidRPr="00A30EF2">
        <w:rPr>
          <w:rStyle w:val="Guidance"/>
          <w:i/>
          <w:iCs w:val="0"/>
        </w:rPr>
        <w:t>Financial Management Act 1994</w:t>
      </w:r>
      <w:r w:rsidRPr="00A30EF2">
        <w:rPr>
          <w:rStyle w:val="Guidance"/>
        </w:rPr>
        <w:t xml:space="preserve"> – Annotated revenue</w:t>
      </w:r>
    </w:p>
    <w:p w14:paraId="7089A175" w14:textId="77777777" w:rsidR="003719CD" w:rsidRPr="00A30EF2" w:rsidRDefault="003719CD" w:rsidP="00DC39DE">
      <w:pPr>
        <w:rPr>
          <w:rStyle w:val="Guidance"/>
        </w:rPr>
      </w:pPr>
      <w:r w:rsidRPr="00A30EF2">
        <w:rPr>
          <w:rStyle w:val="Guidance"/>
        </w:rPr>
        <w:t xml:space="preserve">The Appropriation Act also provides for the application of section 29 of the FMA, whereby Departments on behalf of their relevant Minister may apply to the Treasurer to retain certain types of revenue/receipts from third parties. </w:t>
      </w:r>
    </w:p>
    <w:p w14:paraId="6B04094D" w14:textId="3475BFAC" w:rsidR="003719CD" w:rsidRPr="00A30EF2" w:rsidRDefault="003719CD" w:rsidP="00DC39DE">
      <w:pPr>
        <w:rPr>
          <w:rStyle w:val="Guidance"/>
        </w:rPr>
      </w:pPr>
      <w:r w:rsidRPr="00A30EF2">
        <w:rPr>
          <w:rStyle w:val="Guidance"/>
        </w:rPr>
        <w:t xml:space="preserve">Detailed guidance on categories of annotated income and the process of obtaining a section 29 annotated income agreement is included in the </w:t>
      </w:r>
      <w:r w:rsidR="00830E01">
        <w:rPr>
          <w:rStyle w:val="Guidance"/>
        </w:rPr>
        <w:t xml:space="preserve">Resource Management Framework. </w:t>
      </w:r>
    </w:p>
    <w:p w14:paraId="14E5BC4C" w14:textId="77777777" w:rsidR="003719CD" w:rsidRDefault="003719CD" w:rsidP="007D536F">
      <w:pPr>
        <w:pStyle w:val="GuidanceEnd"/>
      </w:pPr>
    </w:p>
    <w:bookmarkEnd w:id="13"/>
    <w:p w14:paraId="4C7563AF" w14:textId="77777777" w:rsidR="003719CD" w:rsidRDefault="003719CD" w:rsidP="007D536F"/>
    <w:p w14:paraId="799CBDBD" w14:textId="77777777" w:rsidR="008D7702" w:rsidRDefault="008D7702" w:rsidP="007D536F">
      <w:pPr>
        <w:sectPr w:rsidR="008D7702" w:rsidSect="006E0E99">
          <w:headerReference w:type="even" r:id="rId44"/>
          <w:headerReference w:type="default" r:id="rId45"/>
          <w:footerReference w:type="even" r:id="rId46"/>
          <w:footerReference w:type="default" r:id="rId47"/>
          <w:headerReference w:type="first" r:id="rId48"/>
          <w:footerReference w:type="first" r:id="rId49"/>
          <w:pgSz w:w="11906" w:h="16838" w:code="9"/>
          <w:pgMar w:top="1134" w:right="1134" w:bottom="1134" w:left="1134" w:header="624" w:footer="567" w:gutter="0"/>
          <w:cols w:space="708"/>
          <w:docGrid w:linePitch="360"/>
        </w:sectPr>
      </w:pPr>
    </w:p>
    <w:p w14:paraId="79CEC89C" w14:textId="3538C4C5" w:rsidR="003719CD" w:rsidRDefault="003719CD" w:rsidP="001B5265">
      <w:pPr>
        <w:pStyle w:val="Heading1numbered"/>
        <w:sectPr w:rsidR="003719CD" w:rsidSect="006E0E99">
          <w:headerReference w:type="first" r:id="rId50"/>
          <w:footerReference w:type="first" r:id="rId51"/>
          <w:pgSz w:w="11906" w:h="16838" w:code="9"/>
          <w:pgMar w:top="1134" w:right="1134" w:bottom="1134" w:left="1134" w:header="624" w:footer="567" w:gutter="0"/>
          <w:cols w:space="708"/>
          <w:titlePg/>
          <w:docGrid w:linePitch="360"/>
        </w:sectPr>
      </w:pPr>
      <w:r>
        <w:lastRenderedPageBreak/>
        <w:t xml:space="preserve">THE COST OF DELIVERING SERVICES </w:t>
      </w:r>
    </w:p>
    <w:p w14:paraId="0CF2EFA0" w14:textId="77777777" w:rsidR="003719CD" w:rsidRDefault="003719CD" w:rsidP="007D536F">
      <w:pPr>
        <w:pStyle w:val="Heading3"/>
      </w:pPr>
      <w:r>
        <w:t>Introduction</w:t>
      </w:r>
    </w:p>
    <w:p w14:paraId="5EDF96C7" w14:textId="77777777" w:rsidR="003719CD" w:rsidRDefault="003719CD" w:rsidP="00DC39DE">
      <w:r>
        <w:t>This section provides an account of the expenses incurred by the Department of Technology (the Department) in delivering services and outputs. In Section 2, the funds that enable the provision of services were disclosed and in this note the cost associated with provision of services are recorded. Section 4 discloses aggregated information in relation to the income and expenses by output.</w:t>
      </w:r>
    </w:p>
    <w:p w14:paraId="42A83F56" w14:textId="77777777" w:rsidR="003719CD" w:rsidRDefault="003719CD" w:rsidP="007D536F">
      <w:pPr>
        <w:pStyle w:val="Heading3"/>
      </w:pPr>
      <w:r>
        <w:br w:type="column"/>
      </w:r>
      <w:r>
        <w:t>Structure</w:t>
      </w:r>
    </w:p>
    <w:p w14:paraId="60DB3DBD" w14:textId="4428D068" w:rsidR="00C70938"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_3</w:instrText>
      </w:r>
      <w:r w:rsidRPr="00940E38">
        <w:instrText xml:space="preserve"> \* MERGEFORMAT </w:instrText>
      </w:r>
      <w:r w:rsidRPr="00940E38">
        <w:fldChar w:fldCharType="separate"/>
      </w:r>
      <w:hyperlink w:anchor="_Toc130288859" w:history="1">
        <w:r w:rsidR="00C70938" w:rsidRPr="00BA1E5B">
          <w:rPr>
            <w:rStyle w:val="Hyperlink"/>
            <w:noProof/>
          </w:rPr>
          <w:t>3.1</w:t>
        </w:r>
        <w:r w:rsidR="00C70938">
          <w:rPr>
            <w:noProof/>
            <w:sz w:val="22"/>
          </w:rPr>
          <w:tab/>
        </w:r>
        <w:r w:rsidR="00C70938" w:rsidRPr="00BA1E5B">
          <w:rPr>
            <w:rStyle w:val="Hyperlink"/>
            <w:noProof/>
          </w:rPr>
          <w:t xml:space="preserve">Expenses incurred in delivery of </w:t>
        </w:r>
        <w:r w:rsidR="00C70938">
          <w:rPr>
            <w:rStyle w:val="Hyperlink"/>
            <w:noProof/>
          </w:rPr>
          <w:br/>
        </w:r>
        <w:r w:rsidR="00C70938" w:rsidRPr="00BA1E5B">
          <w:rPr>
            <w:rStyle w:val="Hyperlink"/>
            <w:noProof/>
          </w:rPr>
          <w:t>services</w:t>
        </w:r>
        <w:r w:rsidR="00C70938">
          <w:rPr>
            <w:noProof/>
            <w:webHidden/>
          </w:rPr>
          <w:tab/>
        </w:r>
        <w:r w:rsidR="00C70938">
          <w:rPr>
            <w:noProof/>
            <w:webHidden/>
          </w:rPr>
          <w:fldChar w:fldCharType="begin"/>
        </w:r>
        <w:r w:rsidR="00C70938">
          <w:rPr>
            <w:noProof/>
            <w:webHidden/>
          </w:rPr>
          <w:instrText xml:space="preserve"> PAGEREF _Toc130288859 \h </w:instrText>
        </w:r>
        <w:r w:rsidR="00C70938">
          <w:rPr>
            <w:noProof/>
            <w:webHidden/>
          </w:rPr>
        </w:r>
        <w:r w:rsidR="00C70938">
          <w:rPr>
            <w:noProof/>
            <w:webHidden/>
          </w:rPr>
          <w:fldChar w:fldCharType="separate"/>
        </w:r>
        <w:r w:rsidR="00D26320">
          <w:rPr>
            <w:noProof/>
            <w:webHidden/>
          </w:rPr>
          <w:t>33</w:t>
        </w:r>
        <w:r w:rsidR="00C70938">
          <w:rPr>
            <w:noProof/>
            <w:webHidden/>
          </w:rPr>
          <w:fldChar w:fldCharType="end"/>
        </w:r>
      </w:hyperlink>
    </w:p>
    <w:p w14:paraId="55DC68C1" w14:textId="03042323" w:rsidR="00C70938" w:rsidRDefault="00C70938" w:rsidP="00C70938">
      <w:pPr>
        <w:pStyle w:val="TOC9"/>
        <w:rPr>
          <w:noProof/>
          <w:sz w:val="22"/>
        </w:rPr>
      </w:pPr>
      <w:hyperlink w:anchor="_Toc130288860" w:history="1">
        <w:r w:rsidRPr="00BA1E5B">
          <w:rPr>
            <w:rStyle w:val="Hyperlink"/>
            <w:noProof/>
          </w:rPr>
          <w:t>3.2</w:t>
        </w:r>
        <w:r>
          <w:rPr>
            <w:noProof/>
            <w:sz w:val="22"/>
          </w:rPr>
          <w:tab/>
        </w:r>
        <w:r w:rsidRPr="00BA1E5B">
          <w:rPr>
            <w:rStyle w:val="Hyperlink"/>
            <w:noProof/>
          </w:rPr>
          <w:t>Grant expenses</w:t>
        </w:r>
        <w:r>
          <w:rPr>
            <w:noProof/>
            <w:webHidden/>
          </w:rPr>
          <w:tab/>
        </w:r>
        <w:r>
          <w:rPr>
            <w:noProof/>
            <w:webHidden/>
          </w:rPr>
          <w:fldChar w:fldCharType="begin"/>
        </w:r>
        <w:r>
          <w:rPr>
            <w:noProof/>
            <w:webHidden/>
          </w:rPr>
          <w:instrText xml:space="preserve"> PAGEREF _Toc130288860 \h </w:instrText>
        </w:r>
        <w:r>
          <w:rPr>
            <w:noProof/>
            <w:webHidden/>
          </w:rPr>
        </w:r>
        <w:r>
          <w:rPr>
            <w:noProof/>
            <w:webHidden/>
          </w:rPr>
          <w:fldChar w:fldCharType="separate"/>
        </w:r>
        <w:r w:rsidR="00D26320">
          <w:rPr>
            <w:noProof/>
            <w:webHidden/>
          </w:rPr>
          <w:t>38</w:t>
        </w:r>
        <w:r>
          <w:rPr>
            <w:noProof/>
            <w:webHidden/>
          </w:rPr>
          <w:fldChar w:fldCharType="end"/>
        </w:r>
      </w:hyperlink>
    </w:p>
    <w:p w14:paraId="03AB9FF0" w14:textId="213A29E5" w:rsidR="00C70938" w:rsidRDefault="00C70938" w:rsidP="00C70938">
      <w:pPr>
        <w:pStyle w:val="TOC9"/>
        <w:rPr>
          <w:noProof/>
          <w:sz w:val="22"/>
        </w:rPr>
      </w:pPr>
      <w:hyperlink w:anchor="_Toc130288861" w:history="1">
        <w:r w:rsidRPr="00BA1E5B">
          <w:rPr>
            <w:rStyle w:val="Hyperlink"/>
            <w:noProof/>
          </w:rPr>
          <w:t>3.3</w:t>
        </w:r>
        <w:r>
          <w:rPr>
            <w:noProof/>
            <w:sz w:val="22"/>
          </w:rPr>
          <w:tab/>
        </w:r>
        <w:r w:rsidRPr="00BA1E5B">
          <w:rPr>
            <w:rStyle w:val="Hyperlink"/>
            <w:noProof/>
          </w:rPr>
          <w:t>Other operating expenses</w:t>
        </w:r>
        <w:r>
          <w:rPr>
            <w:noProof/>
            <w:webHidden/>
          </w:rPr>
          <w:tab/>
        </w:r>
        <w:r>
          <w:rPr>
            <w:noProof/>
            <w:webHidden/>
          </w:rPr>
          <w:fldChar w:fldCharType="begin"/>
        </w:r>
        <w:r>
          <w:rPr>
            <w:noProof/>
            <w:webHidden/>
          </w:rPr>
          <w:instrText xml:space="preserve"> PAGEREF _Toc130288861 \h </w:instrText>
        </w:r>
        <w:r>
          <w:rPr>
            <w:noProof/>
            <w:webHidden/>
          </w:rPr>
        </w:r>
        <w:r>
          <w:rPr>
            <w:noProof/>
            <w:webHidden/>
          </w:rPr>
          <w:fldChar w:fldCharType="separate"/>
        </w:r>
        <w:r w:rsidR="00D26320">
          <w:rPr>
            <w:noProof/>
            <w:webHidden/>
          </w:rPr>
          <w:t>39</w:t>
        </w:r>
        <w:r>
          <w:rPr>
            <w:noProof/>
            <w:webHidden/>
          </w:rPr>
          <w:fldChar w:fldCharType="end"/>
        </w:r>
      </w:hyperlink>
    </w:p>
    <w:p w14:paraId="6023E527" w14:textId="6A237C46" w:rsidR="003719CD" w:rsidRPr="00991EE2" w:rsidRDefault="003719CD" w:rsidP="007D536F">
      <w:r w:rsidRPr="00940E38">
        <w:fldChar w:fldCharType="end"/>
      </w:r>
    </w:p>
    <w:p w14:paraId="5C1AF104"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76769CFF" w14:textId="77777777" w:rsidR="003719CD" w:rsidRDefault="003719CD" w:rsidP="001B5265">
      <w:pPr>
        <w:pStyle w:val="Heading2numbered"/>
      </w:pPr>
      <w:bookmarkStart w:id="28" w:name="_Toc130225935"/>
      <w:bookmarkStart w:id="29" w:name="_Toc130288859"/>
      <w:bookmarkStart w:id="30" w:name="_Toc66190572"/>
      <w:bookmarkStart w:id="31" w:name="Section_3"/>
      <w:r>
        <w:t>Expenses incurred in delivery of services</w:t>
      </w:r>
      <w:bookmarkEnd w:id="28"/>
      <w:bookmarkEnd w:id="29"/>
      <w:bookmarkEnd w:id="30"/>
    </w:p>
    <w:p w14:paraId="3F71D08F"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5739"/>
        <w:gridCol w:w="821"/>
        <w:gridCol w:w="865"/>
        <w:gridCol w:w="865"/>
      </w:tblGrid>
      <w:tr w:rsidR="003D3F53" w14:paraId="7A5A228A" w14:textId="77777777" w:rsidTr="00753A16">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242E7065" w14:textId="77777777" w:rsidR="003D3F53" w:rsidRDefault="003D3F53" w:rsidP="003D3F53">
            <w:pPr>
              <w:keepNext/>
              <w:jc w:val="left"/>
            </w:pPr>
            <w:r>
              <w:rPr>
                <w:color w:val="4472C4"/>
                <w:sz w:val="13"/>
              </w:rPr>
              <w:t>Source reference</w:t>
            </w:r>
          </w:p>
        </w:tc>
        <w:tc>
          <w:tcPr>
            <w:tcW w:w="5739" w:type="dxa"/>
          </w:tcPr>
          <w:p w14:paraId="249AA8A3" w14:textId="77777777" w:rsidR="003D3F53" w:rsidRDefault="003D3F53" w:rsidP="003D3F53">
            <w:pPr>
              <w:keepNext/>
              <w:jc w:val="left"/>
            </w:pPr>
          </w:p>
        </w:tc>
        <w:tc>
          <w:tcPr>
            <w:tcW w:w="821" w:type="dxa"/>
          </w:tcPr>
          <w:p w14:paraId="5C4435CD" w14:textId="77777777" w:rsidR="003D3F53" w:rsidRDefault="003D3F53" w:rsidP="003D3F53">
            <w:pPr>
              <w:keepNext/>
              <w:jc w:val="center"/>
            </w:pPr>
            <w:r>
              <w:t>Notes</w:t>
            </w:r>
          </w:p>
        </w:tc>
        <w:tc>
          <w:tcPr>
            <w:tcW w:w="865" w:type="dxa"/>
          </w:tcPr>
          <w:p w14:paraId="3FD0E957" w14:textId="55F30970" w:rsidR="003D3F53" w:rsidRDefault="003D3F53" w:rsidP="003D3F53">
            <w:pPr>
              <w:keepNext/>
            </w:pPr>
            <w:fldSimple w:instr="DOCPROPERTY  YearCurrent \* MERGEFORMAT">
              <w:r>
                <w:t>20X2</w:t>
              </w:r>
            </w:fldSimple>
          </w:p>
        </w:tc>
        <w:tc>
          <w:tcPr>
            <w:tcW w:w="865" w:type="dxa"/>
          </w:tcPr>
          <w:p w14:paraId="4C948FB6" w14:textId="7E7014CB" w:rsidR="003D3F53" w:rsidRDefault="003D3F53" w:rsidP="003D3F53">
            <w:pPr>
              <w:keepNext/>
            </w:pPr>
            <w:fldSimple w:instr="DOCPROPERTY  YearPrevious  \* MERGEFORMAT">
              <w:r>
                <w:t>20X1</w:t>
              </w:r>
            </w:fldSimple>
          </w:p>
        </w:tc>
      </w:tr>
      <w:tr w:rsidR="00182709" w14:paraId="62FF7B21" w14:textId="77777777" w:rsidTr="00753A16">
        <w:tc>
          <w:tcPr>
            <w:tcW w:w="1349" w:type="dxa"/>
          </w:tcPr>
          <w:p w14:paraId="6EEBF7C6" w14:textId="77777777" w:rsidR="00182709" w:rsidRDefault="0044097C">
            <w:pPr>
              <w:jc w:val="left"/>
            </w:pPr>
            <w:r>
              <w:rPr>
                <w:color w:val="4472C4"/>
                <w:sz w:val="13"/>
              </w:rPr>
              <w:t>AASB 101.99</w:t>
            </w:r>
          </w:p>
        </w:tc>
        <w:tc>
          <w:tcPr>
            <w:tcW w:w="5739" w:type="dxa"/>
          </w:tcPr>
          <w:p w14:paraId="6D8D59A4" w14:textId="77777777" w:rsidR="00182709" w:rsidRDefault="0044097C">
            <w:pPr>
              <w:jc w:val="left"/>
            </w:pPr>
            <w:r>
              <w:t>Employee benefit expenses</w:t>
            </w:r>
          </w:p>
        </w:tc>
        <w:tc>
          <w:tcPr>
            <w:tcW w:w="821" w:type="dxa"/>
          </w:tcPr>
          <w:p w14:paraId="62B4EC60" w14:textId="77777777" w:rsidR="00182709" w:rsidRDefault="0044097C">
            <w:pPr>
              <w:jc w:val="center"/>
            </w:pPr>
            <w:r>
              <w:t>3.1.1</w:t>
            </w:r>
          </w:p>
        </w:tc>
        <w:tc>
          <w:tcPr>
            <w:tcW w:w="865" w:type="dxa"/>
          </w:tcPr>
          <w:p w14:paraId="51DD0C32" w14:textId="77777777" w:rsidR="00182709" w:rsidRDefault="0044097C">
            <w:r>
              <w:t>13 767</w:t>
            </w:r>
          </w:p>
        </w:tc>
        <w:tc>
          <w:tcPr>
            <w:tcW w:w="865" w:type="dxa"/>
          </w:tcPr>
          <w:p w14:paraId="2829B488" w14:textId="77777777" w:rsidR="00182709" w:rsidRDefault="0044097C">
            <w:r>
              <w:t>10 970</w:t>
            </w:r>
          </w:p>
        </w:tc>
      </w:tr>
      <w:tr w:rsidR="00182709" w14:paraId="3E280AE5" w14:textId="77777777" w:rsidTr="00753A16">
        <w:tc>
          <w:tcPr>
            <w:tcW w:w="1349" w:type="dxa"/>
          </w:tcPr>
          <w:p w14:paraId="7E2383E4" w14:textId="77777777" w:rsidR="00182709" w:rsidRDefault="0044097C">
            <w:pPr>
              <w:jc w:val="left"/>
            </w:pPr>
            <w:r>
              <w:rPr>
                <w:color w:val="4472C4"/>
                <w:sz w:val="13"/>
              </w:rPr>
              <w:t>AASB 101.82 (b)</w:t>
            </w:r>
          </w:p>
        </w:tc>
        <w:tc>
          <w:tcPr>
            <w:tcW w:w="5739" w:type="dxa"/>
          </w:tcPr>
          <w:p w14:paraId="3387B90A" w14:textId="77777777" w:rsidR="00182709" w:rsidRDefault="0044097C">
            <w:pPr>
              <w:jc w:val="left"/>
            </w:pPr>
            <w:r>
              <w:t>Grants expenses</w:t>
            </w:r>
          </w:p>
        </w:tc>
        <w:tc>
          <w:tcPr>
            <w:tcW w:w="821" w:type="dxa"/>
          </w:tcPr>
          <w:p w14:paraId="78D28E2B" w14:textId="77777777" w:rsidR="00182709" w:rsidRDefault="0044097C">
            <w:pPr>
              <w:jc w:val="center"/>
            </w:pPr>
            <w:r>
              <w:t>3.2</w:t>
            </w:r>
          </w:p>
        </w:tc>
        <w:tc>
          <w:tcPr>
            <w:tcW w:w="865" w:type="dxa"/>
          </w:tcPr>
          <w:p w14:paraId="40A50A25" w14:textId="77777777" w:rsidR="00182709" w:rsidRDefault="0044097C">
            <w:r>
              <w:t>32 884</w:t>
            </w:r>
          </w:p>
        </w:tc>
        <w:tc>
          <w:tcPr>
            <w:tcW w:w="865" w:type="dxa"/>
          </w:tcPr>
          <w:p w14:paraId="16831778" w14:textId="77777777" w:rsidR="00182709" w:rsidRDefault="0044097C">
            <w:r>
              <w:t>43 040</w:t>
            </w:r>
          </w:p>
        </w:tc>
      </w:tr>
      <w:tr w:rsidR="00182709" w14:paraId="4FC1BD03" w14:textId="77777777" w:rsidTr="00753A16">
        <w:tc>
          <w:tcPr>
            <w:tcW w:w="1349" w:type="dxa"/>
          </w:tcPr>
          <w:p w14:paraId="7300FD09" w14:textId="77777777" w:rsidR="00182709" w:rsidRDefault="0044097C">
            <w:pPr>
              <w:jc w:val="left"/>
            </w:pPr>
            <w:r>
              <w:rPr>
                <w:color w:val="4472C4"/>
                <w:sz w:val="13"/>
              </w:rPr>
              <w:t>AASB 101.82 (b)</w:t>
            </w:r>
          </w:p>
        </w:tc>
        <w:tc>
          <w:tcPr>
            <w:tcW w:w="5739" w:type="dxa"/>
            <w:tcBorders>
              <w:bottom w:val="single" w:sz="12" w:space="0" w:color="auto"/>
            </w:tcBorders>
          </w:tcPr>
          <w:p w14:paraId="07F82986" w14:textId="77777777" w:rsidR="00182709" w:rsidRDefault="0044097C">
            <w:pPr>
              <w:jc w:val="left"/>
            </w:pPr>
            <w:r>
              <w:t>Other operating expenses</w:t>
            </w:r>
          </w:p>
        </w:tc>
        <w:tc>
          <w:tcPr>
            <w:tcW w:w="821" w:type="dxa"/>
            <w:tcBorders>
              <w:bottom w:val="single" w:sz="12" w:space="0" w:color="auto"/>
            </w:tcBorders>
          </w:tcPr>
          <w:p w14:paraId="565DB8D8" w14:textId="037E8ABA" w:rsidR="00182709" w:rsidRDefault="0044097C">
            <w:pPr>
              <w:jc w:val="center"/>
            </w:pPr>
            <w:r>
              <w:t>3.</w:t>
            </w:r>
            <w:r w:rsidR="00C20F1E">
              <w:t>3</w:t>
            </w:r>
          </w:p>
        </w:tc>
        <w:tc>
          <w:tcPr>
            <w:tcW w:w="865" w:type="dxa"/>
            <w:tcBorders>
              <w:bottom w:val="single" w:sz="12" w:space="0" w:color="auto"/>
            </w:tcBorders>
          </w:tcPr>
          <w:p w14:paraId="64891507" w14:textId="289CC6BB" w:rsidR="00182709" w:rsidRDefault="00A70FCA">
            <w:r>
              <w:t>1</w:t>
            </w:r>
            <w:r w:rsidR="002A01A3">
              <w:t>6 328</w:t>
            </w:r>
          </w:p>
        </w:tc>
        <w:tc>
          <w:tcPr>
            <w:tcW w:w="865" w:type="dxa"/>
            <w:tcBorders>
              <w:bottom w:val="single" w:sz="12" w:space="0" w:color="auto"/>
            </w:tcBorders>
          </w:tcPr>
          <w:p w14:paraId="79F89038" w14:textId="2180C083" w:rsidR="00182709" w:rsidRDefault="002A01A3">
            <w:r>
              <w:t>8 822</w:t>
            </w:r>
          </w:p>
        </w:tc>
      </w:tr>
      <w:tr w:rsidR="00671D55" w14:paraId="2A88C4B8" w14:textId="77777777" w:rsidTr="00753A16">
        <w:tc>
          <w:tcPr>
            <w:tcW w:w="1349" w:type="dxa"/>
            <w:tcBorders>
              <w:bottom w:val="nil"/>
            </w:tcBorders>
          </w:tcPr>
          <w:p w14:paraId="567D01EB" w14:textId="77777777" w:rsidR="00182709" w:rsidRDefault="0044097C">
            <w:pPr>
              <w:jc w:val="left"/>
            </w:pPr>
            <w:r>
              <w:rPr>
                <w:color w:val="4472C4"/>
                <w:sz w:val="13"/>
              </w:rPr>
              <w:t>AASB 101.85</w:t>
            </w:r>
          </w:p>
        </w:tc>
        <w:tc>
          <w:tcPr>
            <w:tcW w:w="5739" w:type="dxa"/>
          </w:tcPr>
          <w:p w14:paraId="14BF6872" w14:textId="77777777" w:rsidR="00182709" w:rsidRDefault="0044097C">
            <w:pPr>
              <w:jc w:val="left"/>
            </w:pPr>
            <w:r>
              <w:rPr>
                <w:b/>
              </w:rPr>
              <w:t>Total expenses incurred in delivery of services</w:t>
            </w:r>
          </w:p>
        </w:tc>
        <w:tc>
          <w:tcPr>
            <w:tcW w:w="821" w:type="dxa"/>
          </w:tcPr>
          <w:p w14:paraId="0E168940" w14:textId="77777777" w:rsidR="00182709" w:rsidRDefault="00182709">
            <w:pPr>
              <w:jc w:val="center"/>
            </w:pPr>
          </w:p>
        </w:tc>
        <w:tc>
          <w:tcPr>
            <w:tcW w:w="865" w:type="dxa"/>
          </w:tcPr>
          <w:p w14:paraId="119C19B2" w14:textId="63662D7E" w:rsidR="00182709" w:rsidRDefault="0044097C">
            <w:r>
              <w:rPr>
                <w:b/>
              </w:rPr>
              <w:t>6</w:t>
            </w:r>
            <w:r w:rsidR="002A01A3">
              <w:rPr>
                <w:b/>
              </w:rPr>
              <w:t>2 979</w:t>
            </w:r>
          </w:p>
        </w:tc>
        <w:tc>
          <w:tcPr>
            <w:tcW w:w="865" w:type="dxa"/>
          </w:tcPr>
          <w:p w14:paraId="2C92730B" w14:textId="61EC14B0" w:rsidR="00182709" w:rsidRDefault="002A01A3">
            <w:r>
              <w:rPr>
                <w:b/>
              </w:rPr>
              <w:t>62 832</w:t>
            </w:r>
          </w:p>
        </w:tc>
      </w:tr>
    </w:tbl>
    <w:p w14:paraId="3B209E0F" w14:textId="77777777" w:rsidR="003719CD" w:rsidRDefault="003719CD" w:rsidP="00DC39DE"/>
    <w:p w14:paraId="6D5C8103" w14:textId="77777777" w:rsidR="003719CD" w:rsidRDefault="003719CD" w:rsidP="007D536F">
      <w:pPr>
        <w:pStyle w:val="GuidanceBlockHeading"/>
      </w:pPr>
      <w:r>
        <w:t>Guidance – Expenses presentation</w:t>
      </w:r>
    </w:p>
    <w:p w14:paraId="10CE3F96" w14:textId="77777777" w:rsidR="003719CD" w:rsidRPr="00AA7379" w:rsidRDefault="003719CD" w:rsidP="007D536F">
      <w:pPr>
        <w:rPr>
          <w:rStyle w:val="Guidance"/>
        </w:rPr>
      </w:pPr>
      <w:r w:rsidRPr="00AA7379">
        <w:rPr>
          <w:rStyle w:val="Guidance"/>
        </w:rPr>
        <w:t xml:space="preserve">When items included in ‘Expenses’ are material, their nature and amounts need to be disclosed separately, either in the comprehensive operating statement or in the notes to the financial statements. Expenses can be classified by either ‘nature’ or ‘function’ depending on which classification provides more reliable and relevant information. In the illustrative disclosures, the Department classifies its expenses by nature. Expenses are recorded on the face of the comprehensive operating statements and further disaggregated in the notes. </w:t>
      </w:r>
      <w:r w:rsidRPr="00AA7379">
        <w:rPr>
          <w:rStyle w:val="Reference"/>
        </w:rPr>
        <w:t>[AASB 101.97, 99]</w:t>
      </w:r>
    </w:p>
    <w:p w14:paraId="536A1BC2" w14:textId="77777777" w:rsidR="003719CD" w:rsidRDefault="003719CD" w:rsidP="007D536F">
      <w:pPr>
        <w:pStyle w:val="GuidanceEnd"/>
      </w:pPr>
    </w:p>
    <w:p w14:paraId="28B7B925" w14:textId="77777777" w:rsidR="003719CD" w:rsidRDefault="003719CD" w:rsidP="001B5265">
      <w:pPr>
        <w:pStyle w:val="Heading3numbered"/>
      </w:pPr>
      <w:r>
        <w:t>Employee benefits in the comprehensive operating statement</w:t>
      </w:r>
    </w:p>
    <w:p w14:paraId="2B4687D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701"/>
        <w:gridCol w:w="6206"/>
        <w:gridCol w:w="866"/>
        <w:gridCol w:w="866"/>
      </w:tblGrid>
      <w:tr w:rsidR="003D3F53" w14:paraId="1ABCBFE7" w14:textId="77777777" w:rsidTr="006F25E9">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FFFFFF" w:themeFill="background1"/>
          </w:tcPr>
          <w:p w14:paraId="7F768533" w14:textId="77777777" w:rsidR="003D3F53" w:rsidRDefault="003D3F53" w:rsidP="003D3F53">
            <w:pPr>
              <w:keepNext/>
              <w:jc w:val="left"/>
            </w:pPr>
            <w:r>
              <w:rPr>
                <w:color w:val="4472C4"/>
                <w:sz w:val="13"/>
              </w:rPr>
              <w:t>Source reference</w:t>
            </w:r>
          </w:p>
        </w:tc>
        <w:tc>
          <w:tcPr>
            <w:tcW w:w="6206" w:type="dxa"/>
          </w:tcPr>
          <w:p w14:paraId="00E0DFA1" w14:textId="77777777" w:rsidR="003D3F53" w:rsidRDefault="003D3F53" w:rsidP="003D3F53">
            <w:pPr>
              <w:keepNext/>
              <w:jc w:val="left"/>
            </w:pPr>
          </w:p>
        </w:tc>
        <w:tc>
          <w:tcPr>
            <w:tcW w:w="866" w:type="dxa"/>
          </w:tcPr>
          <w:p w14:paraId="4DEFDEC2" w14:textId="633B665D" w:rsidR="003D3F53" w:rsidRDefault="003D3F53" w:rsidP="003D3F53">
            <w:pPr>
              <w:keepNext/>
            </w:pPr>
            <w:fldSimple w:instr="DOCPROPERTY  YearCurrent \* MERGEFORMAT">
              <w:r>
                <w:t>20X2</w:t>
              </w:r>
            </w:fldSimple>
          </w:p>
        </w:tc>
        <w:tc>
          <w:tcPr>
            <w:tcW w:w="866" w:type="dxa"/>
          </w:tcPr>
          <w:p w14:paraId="064185F5" w14:textId="4F0DDF9C" w:rsidR="003D3F53" w:rsidRDefault="003D3F53" w:rsidP="003D3F53">
            <w:pPr>
              <w:keepNext/>
            </w:pPr>
            <w:fldSimple w:instr="DOCPROPERTY  YearPrevious  \* MERGEFORMAT">
              <w:r>
                <w:t>20X1</w:t>
              </w:r>
            </w:fldSimple>
          </w:p>
        </w:tc>
      </w:tr>
      <w:tr w:rsidR="00182709" w14:paraId="0FEF455C" w14:textId="77777777" w:rsidTr="006F25E9">
        <w:tc>
          <w:tcPr>
            <w:tcW w:w="1701" w:type="dxa"/>
          </w:tcPr>
          <w:p w14:paraId="561AC7B9" w14:textId="421B272B" w:rsidR="00182709" w:rsidRDefault="0044097C">
            <w:pPr>
              <w:jc w:val="left"/>
            </w:pPr>
            <w:r>
              <w:rPr>
                <w:color w:val="4472C4"/>
                <w:sz w:val="13"/>
              </w:rPr>
              <w:t>AASB 119.46, FRD 112</w:t>
            </w:r>
          </w:p>
        </w:tc>
        <w:tc>
          <w:tcPr>
            <w:tcW w:w="6206" w:type="dxa"/>
          </w:tcPr>
          <w:p w14:paraId="5C6CF6FF" w14:textId="77777777" w:rsidR="00182709" w:rsidRDefault="0044097C">
            <w:pPr>
              <w:jc w:val="left"/>
            </w:pPr>
            <w:r>
              <w:t>Defined contribution superannuation expense</w:t>
            </w:r>
          </w:p>
        </w:tc>
        <w:tc>
          <w:tcPr>
            <w:tcW w:w="866" w:type="dxa"/>
          </w:tcPr>
          <w:p w14:paraId="5B4C78F7" w14:textId="77777777" w:rsidR="00182709" w:rsidRDefault="0044097C">
            <w:r>
              <w:t>451</w:t>
            </w:r>
          </w:p>
        </w:tc>
        <w:tc>
          <w:tcPr>
            <w:tcW w:w="866" w:type="dxa"/>
          </w:tcPr>
          <w:p w14:paraId="1FC97DE4" w14:textId="77777777" w:rsidR="00182709" w:rsidRDefault="0044097C">
            <w:r>
              <w:t>325</w:t>
            </w:r>
          </w:p>
        </w:tc>
      </w:tr>
      <w:tr w:rsidR="00182709" w14:paraId="40DF74A6" w14:textId="77777777" w:rsidTr="006F25E9">
        <w:tc>
          <w:tcPr>
            <w:tcW w:w="1701" w:type="dxa"/>
          </w:tcPr>
          <w:p w14:paraId="6944905E" w14:textId="552403F5" w:rsidR="00182709" w:rsidRDefault="0044097C">
            <w:pPr>
              <w:jc w:val="left"/>
            </w:pPr>
            <w:r>
              <w:rPr>
                <w:color w:val="4472C4"/>
                <w:sz w:val="13"/>
              </w:rPr>
              <w:t>AASB 119.46, FRD 112</w:t>
            </w:r>
          </w:p>
        </w:tc>
        <w:tc>
          <w:tcPr>
            <w:tcW w:w="6206" w:type="dxa"/>
          </w:tcPr>
          <w:p w14:paraId="06635DF6" w14:textId="77777777" w:rsidR="00182709" w:rsidRDefault="0044097C">
            <w:pPr>
              <w:jc w:val="left"/>
            </w:pPr>
            <w:r>
              <w:t>Defined benefit superannuation expense</w:t>
            </w:r>
          </w:p>
        </w:tc>
        <w:tc>
          <w:tcPr>
            <w:tcW w:w="866" w:type="dxa"/>
          </w:tcPr>
          <w:p w14:paraId="2D186ADA" w14:textId="77777777" w:rsidR="00182709" w:rsidRDefault="0044097C">
            <w:r>
              <w:t>235</w:t>
            </w:r>
          </w:p>
        </w:tc>
        <w:tc>
          <w:tcPr>
            <w:tcW w:w="866" w:type="dxa"/>
          </w:tcPr>
          <w:p w14:paraId="1CC807C9" w14:textId="77777777" w:rsidR="00182709" w:rsidRDefault="0044097C">
            <w:r>
              <w:t>155</w:t>
            </w:r>
          </w:p>
        </w:tc>
      </w:tr>
      <w:tr w:rsidR="00182709" w14:paraId="238F89AC" w14:textId="77777777" w:rsidTr="006F25E9">
        <w:tc>
          <w:tcPr>
            <w:tcW w:w="1701" w:type="dxa"/>
          </w:tcPr>
          <w:p w14:paraId="578ADAD9" w14:textId="77777777" w:rsidR="00182709" w:rsidRDefault="0044097C">
            <w:pPr>
              <w:jc w:val="left"/>
            </w:pPr>
            <w:r>
              <w:rPr>
                <w:color w:val="4472C4"/>
                <w:sz w:val="13"/>
              </w:rPr>
              <w:t>AASB 119.142</w:t>
            </w:r>
          </w:p>
        </w:tc>
        <w:tc>
          <w:tcPr>
            <w:tcW w:w="6206" w:type="dxa"/>
          </w:tcPr>
          <w:p w14:paraId="04FA88CF" w14:textId="77777777" w:rsidR="00182709" w:rsidRDefault="0044097C">
            <w:pPr>
              <w:jc w:val="left"/>
            </w:pPr>
            <w:r>
              <w:t>Termination benefits</w:t>
            </w:r>
          </w:p>
        </w:tc>
        <w:tc>
          <w:tcPr>
            <w:tcW w:w="866" w:type="dxa"/>
          </w:tcPr>
          <w:p w14:paraId="1A5F15BD" w14:textId="77777777" w:rsidR="00182709" w:rsidRDefault="0044097C">
            <w:r>
              <w:t>1 810</w:t>
            </w:r>
          </w:p>
        </w:tc>
        <w:tc>
          <w:tcPr>
            <w:tcW w:w="866" w:type="dxa"/>
          </w:tcPr>
          <w:p w14:paraId="4CD1B167" w14:textId="77777777" w:rsidR="00182709" w:rsidRDefault="0044097C">
            <w:r>
              <w:t>120</w:t>
            </w:r>
          </w:p>
        </w:tc>
      </w:tr>
      <w:tr w:rsidR="00182709" w14:paraId="1B629FE7" w14:textId="77777777" w:rsidTr="006F25E9">
        <w:tc>
          <w:tcPr>
            <w:tcW w:w="1701" w:type="dxa"/>
          </w:tcPr>
          <w:p w14:paraId="54A14960" w14:textId="77777777" w:rsidR="00182709" w:rsidRDefault="00182709">
            <w:pPr>
              <w:jc w:val="left"/>
            </w:pPr>
          </w:p>
        </w:tc>
        <w:tc>
          <w:tcPr>
            <w:tcW w:w="6206" w:type="dxa"/>
            <w:tcBorders>
              <w:bottom w:val="single" w:sz="12" w:space="0" w:color="auto"/>
            </w:tcBorders>
          </w:tcPr>
          <w:p w14:paraId="4A88C310" w14:textId="77777777" w:rsidR="00182709" w:rsidRDefault="0044097C">
            <w:pPr>
              <w:jc w:val="left"/>
            </w:pPr>
            <w:r>
              <w:t>Salaries and wages, annual leave and long service leave</w:t>
            </w:r>
          </w:p>
        </w:tc>
        <w:tc>
          <w:tcPr>
            <w:tcW w:w="866" w:type="dxa"/>
            <w:tcBorders>
              <w:bottom w:val="single" w:sz="12" w:space="0" w:color="auto"/>
            </w:tcBorders>
          </w:tcPr>
          <w:p w14:paraId="7BB018D2" w14:textId="77777777" w:rsidR="00182709" w:rsidRDefault="0044097C">
            <w:r>
              <w:t>11 271</w:t>
            </w:r>
          </w:p>
        </w:tc>
        <w:tc>
          <w:tcPr>
            <w:tcW w:w="866" w:type="dxa"/>
            <w:tcBorders>
              <w:bottom w:val="single" w:sz="12" w:space="0" w:color="auto"/>
            </w:tcBorders>
          </w:tcPr>
          <w:p w14:paraId="2DB53297" w14:textId="77777777" w:rsidR="00182709" w:rsidRDefault="0044097C">
            <w:r>
              <w:t>10 370</w:t>
            </w:r>
          </w:p>
        </w:tc>
      </w:tr>
      <w:tr w:rsidR="00671D55" w14:paraId="0E931DB0" w14:textId="77777777" w:rsidTr="006F25E9">
        <w:tc>
          <w:tcPr>
            <w:tcW w:w="1701" w:type="dxa"/>
            <w:tcBorders>
              <w:bottom w:val="nil"/>
            </w:tcBorders>
          </w:tcPr>
          <w:p w14:paraId="319D1A9D" w14:textId="77777777" w:rsidR="00182709" w:rsidRDefault="00182709">
            <w:pPr>
              <w:jc w:val="left"/>
            </w:pPr>
          </w:p>
        </w:tc>
        <w:tc>
          <w:tcPr>
            <w:tcW w:w="6206" w:type="dxa"/>
          </w:tcPr>
          <w:p w14:paraId="7312CDA0" w14:textId="77777777" w:rsidR="00182709" w:rsidRDefault="0044097C">
            <w:pPr>
              <w:jc w:val="left"/>
            </w:pPr>
            <w:r>
              <w:rPr>
                <w:b/>
              </w:rPr>
              <w:t>Total employee expenses</w:t>
            </w:r>
          </w:p>
        </w:tc>
        <w:tc>
          <w:tcPr>
            <w:tcW w:w="866" w:type="dxa"/>
          </w:tcPr>
          <w:p w14:paraId="3367761A" w14:textId="77777777" w:rsidR="00182709" w:rsidRDefault="0044097C">
            <w:r>
              <w:rPr>
                <w:b/>
              </w:rPr>
              <w:t>13 767</w:t>
            </w:r>
          </w:p>
        </w:tc>
        <w:tc>
          <w:tcPr>
            <w:tcW w:w="866" w:type="dxa"/>
          </w:tcPr>
          <w:p w14:paraId="232A8A68" w14:textId="6A532485" w:rsidR="00182709" w:rsidRDefault="0044097C">
            <w:r>
              <w:rPr>
                <w:b/>
              </w:rPr>
              <w:t>10 970</w:t>
            </w:r>
          </w:p>
        </w:tc>
      </w:tr>
    </w:tbl>
    <w:p w14:paraId="6FFA4CC7" w14:textId="77777777" w:rsidR="003719CD" w:rsidRDefault="003719CD" w:rsidP="00DC39DE">
      <w:r>
        <w:t xml:space="preserve">Employee expenses include all costs related to employment including wages and salaries, fringe benefits tax, leave entitlements, termination payments and WorkCover premiums. </w:t>
      </w:r>
      <w:r w:rsidRPr="00AA7379">
        <w:rPr>
          <w:rStyle w:val="Reference"/>
        </w:rPr>
        <w:t>[AASB 119.8]</w:t>
      </w:r>
    </w:p>
    <w:p w14:paraId="70605072" w14:textId="66F7DEC1" w:rsidR="003719CD" w:rsidRDefault="003719CD" w:rsidP="00DC39DE">
      <w:r>
        <w:t xml:space="preserve">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 </w:t>
      </w:r>
      <w:r w:rsidRPr="00AA7379">
        <w:rPr>
          <w:rStyle w:val="Reference"/>
        </w:rPr>
        <w:t>[FRD 112]</w:t>
      </w:r>
    </w:p>
    <w:p w14:paraId="39FB23D2" w14:textId="39C8E25B" w:rsidR="003719CD" w:rsidRDefault="003719CD" w:rsidP="00DC39DE">
      <w:r>
        <w:t xml:space="preserve">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 </w:t>
      </w:r>
      <w:r w:rsidRPr="00AA7379">
        <w:rPr>
          <w:rStyle w:val="Reference"/>
        </w:rPr>
        <w:t>[AASB 119.128, 133</w:t>
      </w:r>
      <w:r w:rsidR="006514C5">
        <w:rPr>
          <w:rStyle w:val="Reference"/>
        </w:rPr>
        <w:t>,</w:t>
      </w:r>
      <w:r w:rsidRPr="00AA7379">
        <w:rPr>
          <w:rStyle w:val="Reference"/>
        </w:rPr>
        <w:t xml:space="preserve"> 134, 139]</w:t>
      </w:r>
    </w:p>
    <w:p w14:paraId="7299F33F" w14:textId="4279F8E4" w:rsidR="003719CD" w:rsidRDefault="003719CD" w:rsidP="001B5265">
      <w:pPr>
        <w:pStyle w:val="Heading3numbered"/>
      </w:pPr>
      <w:r>
        <w:lastRenderedPageBreak/>
        <w:t>Employee benefits in the balance sheet</w:t>
      </w:r>
      <w:r w:rsidR="009A1A54">
        <w:t xml:space="preserve"> </w:t>
      </w:r>
    </w:p>
    <w:p w14:paraId="1715AE6D" w14:textId="77777777" w:rsidR="003719CD" w:rsidRDefault="003719CD" w:rsidP="00DC39DE">
      <w:r>
        <w:t xml:space="preserve">Provision is made for benefits accruing to employees in respect of wages and salaries, annual leave and long service leave (LSL) for services rendered to the reporting date and recorded as an expense during the period the services are delivered. </w:t>
      </w:r>
      <w:r w:rsidRPr="00AA7379">
        <w:rPr>
          <w:rStyle w:val="Reference"/>
        </w:rPr>
        <w:t>[AASB 119.11, 153]</w:t>
      </w:r>
    </w:p>
    <w:p w14:paraId="35D14CDC"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F82E8F" w14:paraId="75478D73" w14:textId="77777777" w:rsidTr="00F82E8F">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218FB3BF" w14:textId="77777777" w:rsidR="00F82E8F" w:rsidRDefault="00F82E8F" w:rsidP="00F82E8F">
            <w:pPr>
              <w:keepNext/>
              <w:jc w:val="left"/>
            </w:pPr>
            <w:r>
              <w:rPr>
                <w:color w:val="4472C4"/>
                <w:sz w:val="13"/>
              </w:rPr>
              <w:t>Source reference</w:t>
            </w:r>
          </w:p>
        </w:tc>
        <w:tc>
          <w:tcPr>
            <w:tcW w:w="6558" w:type="dxa"/>
          </w:tcPr>
          <w:p w14:paraId="20EF62EE" w14:textId="77777777" w:rsidR="00F82E8F" w:rsidRDefault="00F82E8F" w:rsidP="00F82E8F">
            <w:pPr>
              <w:keepNext/>
              <w:jc w:val="left"/>
            </w:pPr>
          </w:p>
        </w:tc>
        <w:tc>
          <w:tcPr>
            <w:tcW w:w="866" w:type="dxa"/>
          </w:tcPr>
          <w:p w14:paraId="1AB31550" w14:textId="30FD474F" w:rsidR="00F82E8F" w:rsidRDefault="00F82E8F" w:rsidP="00F82E8F">
            <w:pPr>
              <w:keepNext/>
            </w:pPr>
            <w:fldSimple w:instr="DOCPROPERTY  YearCurrent \* MERGEFORMAT">
              <w:r>
                <w:t>20X2</w:t>
              </w:r>
            </w:fldSimple>
          </w:p>
        </w:tc>
        <w:tc>
          <w:tcPr>
            <w:tcW w:w="866" w:type="dxa"/>
          </w:tcPr>
          <w:p w14:paraId="63455129" w14:textId="07569347" w:rsidR="00F82E8F" w:rsidRDefault="00F82E8F" w:rsidP="00F82E8F">
            <w:pPr>
              <w:keepNext/>
            </w:pPr>
            <w:fldSimple w:instr="DOCPROPERTY  YearPrevious  \* MERGEFORMAT">
              <w:r>
                <w:t>20X1</w:t>
              </w:r>
            </w:fldSimple>
          </w:p>
        </w:tc>
      </w:tr>
      <w:tr w:rsidR="00182709" w14:paraId="1D225DF4" w14:textId="77777777" w:rsidTr="00F82E8F">
        <w:tc>
          <w:tcPr>
            <w:tcW w:w="1349" w:type="dxa"/>
          </w:tcPr>
          <w:p w14:paraId="550A62C5" w14:textId="77777777" w:rsidR="00182709" w:rsidRDefault="00182709">
            <w:pPr>
              <w:jc w:val="left"/>
            </w:pPr>
          </w:p>
        </w:tc>
        <w:tc>
          <w:tcPr>
            <w:tcW w:w="6558" w:type="dxa"/>
          </w:tcPr>
          <w:p w14:paraId="0A7C1249" w14:textId="77777777" w:rsidR="00182709" w:rsidRDefault="0044097C">
            <w:pPr>
              <w:jc w:val="left"/>
            </w:pPr>
            <w:r>
              <w:rPr>
                <w:b/>
              </w:rPr>
              <w:t>Current provisions:</w:t>
            </w:r>
          </w:p>
        </w:tc>
        <w:tc>
          <w:tcPr>
            <w:tcW w:w="866" w:type="dxa"/>
          </w:tcPr>
          <w:p w14:paraId="54D63184" w14:textId="77777777" w:rsidR="00182709" w:rsidRDefault="00182709"/>
        </w:tc>
        <w:tc>
          <w:tcPr>
            <w:tcW w:w="866" w:type="dxa"/>
          </w:tcPr>
          <w:p w14:paraId="38367B3B" w14:textId="77777777" w:rsidR="00182709" w:rsidRDefault="00182709"/>
        </w:tc>
      </w:tr>
      <w:tr w:rsidR="00182709" w14:paraId="061743A9" w14:textId="77777777" w:rsidTr="00F82E8F">
        <w:tc>
          <w:tcPr>
            <w:tcW w:w="1349" w:type="dxa"/>
          </w:tcPr>
          <w:p w14:paraId="4A7B131C" w14:textId="77777777" w:rsidR="00182709" w:rsidRDefault="0044097C">
            <w:pPr>
              <w:jc w:val="left"/>
            </w:pPr>
            <w:r>
              <w:rPr>
                <w:color w:val="4472C4"/>
                <w:sz w:val="13"/>
              </w:rPr>
              <w:t>AASB 119.8</w:t>
            </w:r>
          </w:p>
        </w:tc>
        <w:tc>
          <w:tcPr>
            <w:tcW w:w="6558" w:type="dxa"/>
          </w:tcPr>
          <w:p w14:paraId="6E98FF39" w14:textId="77777777" w:rsidR="00182709" w:rsidRDefault="0044097C">
            <w:pPr>
              <w:jc w:val="left"/>
            </w:pPr>
            <w:r>
              <w:rPr>
                <w:b/>
                <w:i/>
              </w:rPr>
              <w:t>Annual leave</w:t>
            </w:r>
          </w:p>
        </w:tc>
        <w:tc>
          <w:tcPr>
            <w:tcW w:w="866" w:type="dxa"/>
          </w:tcPr>
          <w:p w14:paraId="7E8416AE" w14:textId="77777777" w:rsidR="00182709" w:rsidRDefault="00182709"/>
        </w:tc>
        <w:tc>
          <w:tcPr>
            <w:tcW w:w="866" w:type="dxa"/>
          </w:tcPr>
          <w:p w14:paraId="2C66FD7C" w14:textId="77777777" w:rsidR="00182709" w:rsidRDefault="00182709"/>
        </w:tc>
      </w:tr>
      <w:tr w:rsidR="00182709" w14:paraId="28F2756B" w14:textId="77777777" w:rsidTr="00F82E8F">
        <w:tc>
          <w:tcPr>
            <w:tcW w:w="1349" w:type="dxa"/>
          </w:tcPr>
          <w:p w14:paraId="458B540E" w14:textId="77777777" w:rsidR="00182709" w:rsidRDefault="00182709">
            <w:pPr>
              <w:jc w:val="left"/>
            </w:pPr>
          </w:p>
        </w:tc>
        <w:tc>
          <w:tcPr>
            <w:tcW w:w="6558" w:type="dxa"/>
          </w:tcPr>
          <w:p w14:paraId="0D2476A1" w14:textId="77777777" w:rsidR="00182709" w:rsidRDefault="0044097C">
            <w:pPr>
              <w:jc w:val="left"/>
            </w:pPr>
            <w:r>
              <w:t>Unconditional and expected to settle within 12 months</w:t>
            </w:r>
            <w:r>
              <w:rPr>
                <w:vertAlign w:val="superscript"/>
              </w:rPr>
              <w:t xml:space="preserve"> </w:t>
            </w:r>
          </w:p>
        </w:tc>
        <w:tc>
          <w:tcPr>
            <w:tcW w:w="866" w:type="dxa"/>
          </w:tcPr>
          <w:p w14:paraId="4AE7B449" w14:textId="77777777" w:rsidR="00182709" w:rsidRDefault="0044097C">
            <w:r>
              <w:t>1 716</w:t>
            </w:r>
          </w:p>
        </w:tc>
        <w:tc>
          <w:tcPr>
            <w:tcW w:w="866" w:type="dxa"/>
          </w:tcPr>
          <w:p w14:paraId="35FC3E65" w14:textId="77777777" w:rsidR="00182709" w:rsidRDefault="0044097C">
            <w:r>
              <w:t>1 438</w:t>
            </w:r>
          </w:p>
        </w:tc>
      </w:tr>
      <w:tr w:rsidR="00182709" w:rsidRPr="002C5EEC" w14:paraId="7CCFC410" w14:textId="77777777" w:rsidTr="00F82E8F">
        <w:tc>
          <w:tcPr>
            <w:tcW w:w="1349" w:type="dxa"/>
          </w:tcPr>
          <w:p w14:paraId="788F63B5" w14:textId="77777777" w:rsidR="00182709" w:rsidRDefault="00182709">
            <w:pPr>
              <w:jc w:val="left"/>
            </w:pPr>
          </w:p>
        </w:tc>
        <w:tc>
          <w:tcPr>
            <w:tcW w:w="6558" w:type="dxa"/>
          </w:tcPr>
          <w:p w14:paraId="2FF10ECA" w14:textId="77777777" w:rsidR="00182709" w:rsidRPr="00836F30" w:rsidRDefault="0044097C">
            <w:pPr>
              <w:jc w:val="left"/>
            </w:pPr>
            <w:r w:rsidRPr="00836F30">
              <w:t>Unconditional and expected to settle after 12 months</w:t>
            </w:r>
            <w:r w:rsidRPr="00836F30">
              <w:rPr>
                <w:vertAlign w:val="superscript"/>
              </w:rPr>
              <w:t xml:space="preserve"> </w:t>
            </w:r>
          </w:p>
        </w:tc>
        <w:tc>
          <w:tcPr>
            <w:tcW w:w="866" w:type="dxa"/>
          </w:tcPr>
          <w:p w14:paraId="4DD134EC" w14:textId="77777777" w:rsidR="00182709" w:rsidRPr="00836F30" w:rsidRDefault="0044097C">
            <w:r w:rsidRPr="00836F30">
              <w:t>636</w:t>
            </w:r>
          </w:p>
        </w:tc>
        <w:tc>
          <w:tcPr>
            <w:tcW w:w="866" w:type="dxa"/>
          </w:tcPr>
          <w:p w14:paraId="6DE81DE5" w14:textId="77777777" w:rsidR="00182709" w:rsidRPr="00836F30" w:rsidRDefault="0044097C">
            <w:r w:rsidRPr="00836F30">
              <w:t>796</w:t>
            </w:r>
          </w:p>
        </w:tc>
      </w:tr>
      <w:tr w:rsidR="00182709" w14:paraId="66B49609" w14:textId="77777777" w:rsidTr="00F82E8F">
        <w:tc>
          <w:tcPr>
            <w:tcW w:w="1349" w:type="dxa"/>
          </w:tcPr>
          <w:p w14:paraId="49A18CFA" w14:textId="77777777" w:rsidR="00182709" w:rsidRDefault="0044097C">
            <w:pPr>
              <w:jc w:val="left"/>
            </w:pPr>
            <w:r>
              <w:rPr>
                <w:color w:val="4472C4"/>
                <w:sz w:val="13"/>
              </w:rPr>
              <w:t>AASB 119.8</w:t>
            </w:r>
          </w:p>
        </w:tc>
        <w:tc>
          <w:tcPr>
            <w:tcW w:w="6558" w:type="dxa"/>
          </w:tcPr>
          <w:p w14:paraId="55AA33B4" w14:textId="77777777" w:rsidR="00182709" w:rsidRDefault="0044097C">
            <w:pPr>
              <w:jc w:val="left"/>
            </w:pPr>
            <w:r>
              <w:rPr>
                <w:b/>
                <w:i/>
              </w:rPr>
              <w:t>Long service leave</w:t>
            </w:r>
          </w:p>
        </w:tc>
        <w:tc>
          <w:tcPr>
            <w:tcW w:w="866" w:type="dxa"/>
          </w:tcPr>
          <w:p w14:paraId="7D8E54E8" w14:textId="77777777" w:rsidR="00182709" w:rsidRDefault="00182709"/>
        </w:tc>
        <w:tc>
          <w:tcPr>
            <w:tcW w:w="866" w:type="dxa"/>
          </w:tcPr>
          <w:p w14:paraId="585C4449" w14:textId="77777777" w:rsidR="00182709" w:rsidRDefault="00182709"/>
        </w:tc>
      </w:tr>
      <w:tr w:rsidR="00182709" w14:paraId="1C03169D" w14:textId="77777777" w:rsidTr="00F82E8F">
        <w:tc>
          <w:tcPr>
            <w:tcW w:w="1349" w:type="dxa"/>
          </w:tcPr>
          <w:p w14:paraId="38ECB83A" w14:textId="77777777" w:rsidR="00182709" w:rsidRDefault="00182709">
            <w:pPr>
              <w:jc w:val="left"/>
            </w:pPr>
          </w:p>
        </w:tc>
        <w:tc>
          <w:tcPr>
            <w:tcW w:w="6558" w:type="dxa"/>
          </w:tcPr>
          <w:p w14:paraId="6C64648E" w14:textId="77777777" w:rsidR="00182709" w:rsidRDefault="0044097C">
            <w:pPr>
              <w:jc w:val="left"/>
            </w:pPr>
            <w:r>
              <w:t>Unconditional and expected to settle within 12 months</w:t>
            </w:r>
            <w:r>
              <w:rPr>
                <w:vertAlign w:val="superscript"/>
              </w:rPr>
              <w:t xml:space="preserve"> </w:t>
            </w:r>
          </w:p>
        </w:tc>
        <w:tc>
          <w:tcPr>
            <w:tcW w:w="866" w:type="dxa"/>
          </w:tcPr>
          <w:p w14:paraId="62729378" w14:textId="77777777" w:rsidR="00182709" w:rsidRDefault="0044097C">
            <w:r>
              <w:t>1 231</w:t>
            </w:r>
          </w:p>
        </w:tc>
        <w:tc>
          <w:tcPr>
            <w:tcW w:w="866" w:type="dxa"/>
          </w:tcPr>
          <w:p w14:paraId="60905468" w14:textId="77777777" w:rsidR="00182709" w:rsidRDefault="0044097C">
            <w:r>
              <w:t>3 002</w:t>
            </w:r>
          </w:p>
        </w:tc>
      </w:tr>
      <w:tr w:rsidR="00182709" w14:paraId="7E9E50A8" w14:textId="77777777" w:rsidTr="00F82E8F">
        <w:tc>
          <w:tcPr>
            <w:tcW w:w="1349" w:type="dxa"/>
          </w:tcPr>
          <w:p w14:paraId="3D87500A" w14:textId="77777777" w:rsidR="00182709" w:rsidRDefault="00182709">
            <w:pPr>
              <w:jc w:val="left"/>
            </w:pPr>
          </w:p>
        </w:tc>
        <w:tc>
          <w:tcPr>
            <w:tcW w:w="6558" w:type="dxa"/>
          </w:tcPr>
          <w:p w14:paraId="0B1662A8" w14:textId="77777777" w:rsidR="00182709" w:rsidRDefault="0044097C">
            <w:pPr>
              <w:jc w:val="left"/>
            </w:pPr>
            <w:r>
              <w:t>Unconditional and expected to settle after 12 months</w:t>
            </w:r>
            <w:r>
              <w:rPr>
                <w:vertAlign w:val="superscript"/>
              </w:rPr>
              <w:t xml:space="preserve"> </w:t>
            </w:r>
          </w:p>
        </w:tc>
        <w:tc>
          <w:tcPr>
            <w:tcW w:w="866" w:type="dxa"/>
          </w:tcPr>
          <w:p w14:paraId="74D38465" w14:textId="77777777" w:rsidR="00182709" w:rsidRDefault="0044097C">
            <w:r>
              <w:t>1 908</w:t>
            </w:r>
          </w:p>
        </w:tc>
        <w:tc>
          <w:tcPr>
            <w:tcW w:w="866" w:type="dxa"/>
          </w:tcPr>
          <w:p w14:paraId="718B0DD3" w14:textId="77777777" w:rsidR="00182709" w:rsidRDefault="0044097C">
            <w:r>
              <w:t>6 318</w:t>
            </w:r>
          </w:p>
        </w:tc>
      </w:tr>
      <w:tr w:rsidR="00182709" w14:paraId="13E62F4F" w14:textId="77777777" w:rsidTr="00F82E8F">
        <w:tc>
          <w:tcPr>
            <w:tcW w:w="1349" w:type="dxa"/>
          </w:tcPr>
          <w:p w14:paraId="1A894AB9" w14:textId="3542F8D3" w:rsidR="00182709" w:rsidRDefault="0044097C">
            <w:pPr>
              <w:jc w:val="left"/>
            </w:pPr>
            <w:r>
              <w:rPr>
                <w:color w:val="4472C4"/>
                <w:sz w:val="13"/>
              </w:rPr>
              <w:t>AASB 101.78 (d)</w:t>
            </w:r>
          </w:p>
        </w:tc>
        <w:tc>
          <w:tcPr>
            <w:tcW w:w="6558" w:type="dxa"/>
          </w:tcPr>
          <w:p w14:paraId="20046144" w14:textId="77777777" w:rsidR="00182709" w:rsidRDefault="0044097C">
            <w:pPr>
              <w:jc w:val="left"/>
            </w:pPr>
            <w:r>
              <w:rPr>
                <w:b/>
                <w:i/>
              </w:rPr>
              <w:t>Provisions for on‑costs</w:t>
            </w:r>
          </w:p>
        </w:tc>
        <w:tc>
          <w:tcPr>
            <w:tcW w:w="866" w:type="dxa"/>
          </w:tcPr>
          <w:p w14:paraId="6314412C" w14:textId="77777777" w:rsidR="00182709" w:rsidRDefault="00182709"/>
        </w:tc>
        <w:tc>
          <w:tcPr>
            <w:tcW w:w="866" w:type="dxa"/>
          </w:tcPr>
          <w:p w14:paraId="1B151C2A" w14:textId="77777777" w:rsidR="00182709" w:rsidRDefault="00182709"/>
        </w:tc>
      </w:tr>
      <w:tr w:rsidR="00182709" w14:paraId="5AB1528E" w14:textId="77777777" w:rsidTr="00F82E8F">
        <w:tc>
          <w:tcPr>
            <w:tcW w:w="1349" w:type="dxa"/>
          </w:tcPr>
          <w:p w14:paraId="00B19816" w14:textId="77777777" w:rsidR="00182709" w:rsidRDefault="00182709">
            <w:pPr>
              <w:jc w:val="left"/>
            </w:pPr>
          </w:p>
        </w:tc>
        <w:tc>
          <w:tcPr>
            <w:tcW w:w="6558" w:type="dxa"/>
          </w:tcPr>
          <w:p w14:paraId="382421D1" w14:textId="77777777" w:rsidR="00182709" w:rsidRDefault="0044097C">
            <w:pPr>
              <w:jc w:val="left"/>
            </w:pPr>
            <w:r>
              <w:t>Unconditional and expected to settle within 12 months</w:t>
            </w:r>
            <w:r>
              <w:rPr>
                <w:vertAlign w:val="superscript"/>
              </w:rPr>
              <w:t xml:space="preserve"> </w:t>
            </w:r>
          </w:p>
        </w:tc>
        <w:tc>
          <w:tcPr>
            <w:tcW w:w="866" w:type="dxa"/>
          </w:tcPr>
          <w:p w14:paraId="5D320DA4" w14:textId="77777777" w:rsidR="00182709" w:rsidRDefault="0044097C">
            <w:r>
              <w:t>272</w:t>
            </w:r>
          </w:p>
        </w:tc>
        <w:tc>
          <w:tcPr>
            <w:tcW w:w="866" w:type="dxa"/>
          </w:tcPr>
          <w:p w14:paraId="64423327" w14:textId="77777777" w:rsidR="00182709" w:rsidRDefault="0044097C">
            <w:r>
              <w:t>555</w:t>
            </w:r>
          </w:p>
        </w:tc>
      </w:tr>
      <w:tr w:rsidR="00182709" w14:paraId="2ADE52F4" w14:textId="77777777" w:rsidTr="00F82E8F">
        <w:tc>
          <w:tcPr>
            <w:tcW w:w="1349" w:type="dxa"/>
          </w:tcPr>
          <w:p w14:paraId="5FB9074C" w14:textId="77777777" w:rsidR="00182709" w:rsidRDefault="00182709">
            <w:pPr>
              <w:jc w:val="left"/>
            </w:pPr>
          </w:p>
        </w:tc>
        <w:tc>
          <w:tcPr>
            <w:tcW w:w="6558" w:type="dxa"/>
          </w:tcPr>
          <w:p w14:paraId="5859D629" w14:textId="77777777" w:rsidR="00182709" w:rsidRDefault="0044097C">
            <w:pPr>
              <w:jc w:val="left"/>
            </w:pPr>
            <w:r>
              <w:t>Unconditional and expected to settle after 12 months</w:t>
            </w:r>
            <w:r>
              <w:rPr>
                <w:vertAlign w:val="superscript"/>
              </w:rPr>
              <w:t xml:space="preserve"> </w:t>
            </w:r>
          </w:p>
        </w:tc>
        <w:tc>
          <w:tcPr>
            <w:tcW w:w="866" w:type="dxa"/>
          </w:tcPr>
          <w:p w14:paraId="0979BDC9" w14:textId="77777777" w:rsidR="00182709" w:rsidRDefault="0044097C">
            <w:r>
              <w:t>377</w:t>
            </w:r>
          </w:p>
        </w:tc>
        <w:tc>
          <w:tcPr>
            <w:tcW w:w="866" w:type="dxa"/>
          </w:tcPr>
          <w:p w14:paraId="1E728829" w14:textId="77777777" w:rsidR="00182709" w:rsidRDefault="0044097C">
            <w:r>
              <w:t>599</w:t>
            </w:r>
          </w:p>
        </w:tc>
      </w:tr>
      <w:tr w:rsidR="00182709" w14:paraId="470621C1" w14:textId="77777777" w:rsidTr="00F82E8F">
        <w:tc>
          <w:tcPr>
            <w:tcW w:w="1349" w:type="dxa"/>
          </w:tcPr>
          <w:p w14:paraId="2E212E1D" w14:textId="65508D31" w:rsidR="00182709" w:rsidRDefault="0044097C">
            <w:pPr>
              <w:jc w:val="left"/>
            </w:pPr>
            <w:r>
              <w:rPr>
                <w:color w:val="4472C4"/>
                <w:sz w:val="13"/>
              </w:rPr>
              <w:t>AASB 101.61</w:t>
            </w:r>
          </w:p>
        </w:tc>
        <w:tc>
          <w:tcPr>
            <w:tcW w:w="6558" w:type="dxa"/>
          </w:tcPr>
          <w:p w14:paraId="49F2CF59" w14:textId="77777777" w:rsidR="00182709" w:rsidRDefault="0044097C">
            <w:pPr>
              <w:jc w:val="left"/>
            </w:pPr>
            <w:r>
              <w:rPr>
                <w:b/>
              </w:rPr>
              <w:t>Total current provisions for employee benefits</w:t>
            </w:r>
          </w:p>
        </w:tc>
        <w:tc>
          <w:tcPr>
            <w:tcW w:w="866" w:type="dxa"/>
          </w:tcPr>
          <w:p w14:paraId="030967BF" w14:textId="77777777" w:rsidR="00182709" w:rsidRDefault="0044097C">
            <w:r>
              <w:rPr>
                <w:b/>
              </w:rPr>
              <w:t>6 140</w:t>
            </w:r>
          </w:p>
        </w:tc>
        <w:tc>
          <w:tcPr>
            <w:tcW w:w="866" w:type="dxa"/>
          </w:tcPr>
          <w:p w14:paraId="1ADDB8C5" w14:textId="77777777" w:rsidR="00182709" w:rsidRDefault="0044097C">
            <w:r>
              <w:rPr>
                <w:b/>
              </w:rPr>
              <w:t>12 708</w:t>
            </w:r>
          </w:p>
        </w:tc>
      </w:tr>
      <w:tr w:rsidR="00182709" w14:paraId="76EE5E9A" w14:textId="77777777" w:rsidTr="00F82E8F">
        <w:tc>
          <w:tcPr>
            <w:tcW w:w="1349" w:type="dxa"/>
          </w:tcPr>
          <w:p w14:paraId="5149BED5" w14:textId="77777777" w:rsidR="00182709" w:rsidRDefault="00182709">
            <w:pPr>
              <w:jc w:val="left"/>
            </w:pPr>
          </w:p>
        </w:tc>
        <w:tc>
          <w:tcPr>
            <w:tcW w:w="6558" w:type="dxa"/>
          </w:tcPr>
          <w:p w14:paraId="152AC36E" w14:textId="77777777" w:rsidR="00182709" w:rsidRDefault="0044097C">
            <w:pPr>
              <w:jc w:val="left"/>
            </w:pPr>
            <w:r>
              <w:rPr>
                <w:b/>
              </w:rPr>
              <w:t>Non‑current provisions:</w:t>
            </w:r>
          </w:p>
        </w:tc>
        <w:tc>
          <w:tcPr>
            <w:tcW w:w="866" w:type="dxa"/>
          </w:tcPr>
          <w:p w14:paraId="24980278" w14:textId="77777777" w:rsidR="00182709" w:rsidRDefault="00182709"/>
        </w:tc>
        <w:tc>
          <w:tcPr>
            <w:tcW w:w="866" w:type="dxa"/>
          </w:tcPr>
          <w:p w14:paraId="76A36F36" w14:textId="77777777" w:rsidR="00182709" w:rsidRDefault="00182709"/>
        </w:tc>
      </w:tr>
      <w:tr w:rsidR="00182709" w14:paraId="6572C7DF" w14:textId="77777777" w:rsidTr="00F82E8F">
        <w:tc>
          <w:tcPr>
            <w:tcW w:w="1349" w:type="dxa"/>
          </w:tcPr>
          <w:p w14:paraId="31B0410B" w14:textId="77777777" w:rsidR="00182709" w:rsidRDefault="00182709">
            <w:pPr>
              <w:jc w:val="left"/>
            </w:pPr>
          </w:p>
        </w:tc>
        <w:tc>
          <w:tcPr>
            <w:tcW w:w="6558" w:type="dxa"/>
          </w:tcPr>
          <w:p w14:paraId="51BC09A7" w14:textId="77777777" w:rsidR="00182709" w:rsidRDefault="0044097C">
            <w:pPr>
              <w:jc w:val="left"/>
            </w:pPr>
            <w:r>
              <w:t>Employee benefits</w:t>
            </w:r>
          </w:p>
        </w:tc>
        <w:tc>
          <w:tcPr>
            <w:tcW w:w="866" w:type="dxa"/>
          </w:tcPr>
          <w:p w14:paraId="35CB3086" w14:textId="77777777" w:rsidR="00182709" w:rsidRDefault="0044097C">
            <w:r>
              <w:t>3 743</w:t>
            </w:r>
          </w:p>
        </w:tc>
        <w:tc>
          <w:tcPr>
            <w:tcW w:w="866" w:type="dxa"/>
          </w:tcPr>
          <w:p w14:paraId="4F114AE3" w14:textId="77777777" w:rsidR="00182709" w:rsidRDefault="0044097C">
            <w:r>
              <w:t>3 528</w:t>
            </w:r>
          </w:p>
        </w:tc>
      </w:tr>
      <w:tr w:rsidR="00182709" w14:paraId="7DBA7EB2" w14:textId="77777777" w:rsidTr="00F82E8F">
        <w:tc>
          <w:tcPr>
            <w:tcW w:w="1349" w:type="dxa"/>
          </w:tcPr>
          <w:p w14:paraId="7F6A94F1" w14:textId="77777777" w:rsidR="00182709" w:rsidRDefault="00182709">
            <w:pPr>
              <w:jc w:val="left"/>
            </w:pPr>
          </w:p>
        </w:tc>
        <w:tc>
          <w:tcPr>
            <w:tcW w:w="6558" w:type="dxa"/>
            <w:tcBorders>
              <w:bottom w:val="single" w:sz="12" w:space="0" w:color="auto"/>
            </w:tcBorders>
          </w:tcPr>
          <w:p w14:paraId="36E0E713" w14:textId="77777777" w:rsidR="00182709" w:rsidRDefault="0044097C">
            <w:pPr>
              <w:jc w:val="left"/>
            </w:pPr>
            <w:r>
              <w:t>On‑costs</w:t>
            </w:r>
          </w:p>
        </w:tc>
        <w:tc>
          <w:tcPr>
            <w:tcW w:w="866" w:type="dxa"/>
            <w:tcBorders>
              <w:bottom w:val="single" w:sz="12" w:space="0" w:color="auto"/>
            </w:tcBorders>
          </w:tcPr>
          <w:p w14:paraId="6D0D91C0" w14:textId="77777777" w:rsidR="00182709" w:rsidRDefault="0044097C">
            <w:r>
              <w:t>871</w:t>
            </w:r>
          </w:p>
        </w:tc>
        <w:tc>
          <w:tcPr>
            <w:tcW w:w="866" w:type="dxa"/>
            <w:tcBorders>
              <w:bottom w:val="single" w:sz="12" w:space="0" w:color="auto"/>
            </w:tcBorders>
          </w:tcPr>
          <w:p w14:paraId="3C9D6863" w14:textId="77777777" w:rsidR="00182709" w:rsidRDefault="0044097C">
            <w:r>
              <w:t>837</w:t>
            </w:r>
          </w:p>
        </w:tc>
      </w:tr>
      <w:tr w:rsidR="00671D55" w14:paraId="755EE7F0" w14:textId="77777777" w:rsidTr="00F82E8F">
        <w:tc>
          <w:tcPr>
            <w:tcW w:w="1349" w:type="dxa"/>
          </w:tcPr>
          <w:p w14:paraId="769B5F9B" w14:textId="77777777" w:rsidR="00182709" w:rsidRDefault="00182709">
            <w:pPr>
              <w:jc w:val="left"/>
            </w:pPr>
          </w:p>
        </w:tc>
        <w:tc>
          <w:tcPr>
            <w:tcW w:w="6558" w:type="dxa"/>
          </w:tcPr>
          <w:p w14:paraId="41AFC1B5" w14:textId="77777777" w:rsidR="00182709" w:rsidRDefault="0044097C">
            <w:pPr>
              <w:jc w:val="left"/>
            </w:pPr>
            <w:r>
              <w:rPr>
                <w:b/>
              </w:rPr>
              <w:t>Total non‑current provisions for employee benefits</w:t>
            </w:r>
          </w:p>
        </w:tc>
        <w:tc>
          <w:tcPr>
            <w:tcW w:w="866" w:type="dxa"/>
          </w:tcPr>
          <w:p w14:paraId="0EA71519" w14:textId="77777777" w:rsidR="00182709" w:rsidRDefault="0044097C">
            <w:r>
              <w:rPr>
                <w:b/>
              </w:rPr>
              <w:t>4 614</w:t>
            </w:r>
          </w:p>
        </w:tc>
        <w:tc>
          <w:tcPr>
            <w:tcW w:w="866" w:type="dxa"/>
          </w:tcPr>
          <w:p w14:paraId="3AE1197A" w14:textId="77777777" w:rsidR="00182709" w:rsidRDefault="0044097C">
            <w:r>
              <w:rPr>
                <w:b/>
              </w:rPr>
              <w:t>4 365</w:t>
            </w:r>
          </w:p>
        </w:tc>
      </w:tr>
      <w:tr w:rsidR="00182709" w14:paraId="64646D7C" w14:textId="77777777" w:rsidTr="00F82E8F">
        <w:tc>
          <w:tcPr>
            <w:tcW w:w="1349" w:type="dxa"/>
            <w:tcBorders>
              <w:bottom w:val="nil"/>
            </w:tcBorders>
          </w:tcPr>
          <w:p w14:paraId="26692884" w14:textId="77777777" w:rsidR="00182709" w:rsidRDefault="00182709">
            <w:pPr>
              <w:jc w:val="left"/>
            </w:pPr>
          </w:p>
        </w:tc>
        <w:tc>
          <w:tcPr>
            <w:tcW w:w="6558" w:type="dxa"/>
            <w:tcBorders>
              <w:bottom w:val="single" w:sz="12" w:space="0" w:color="auto"/>
            </w:tcBorders>
          </w:tcPr>
          <w:p w14:paraId="2B44156A" w14:textId="77777777" w:rsidR="00182709" w:rsidRDefault="0044097C">
            <w:pPr>
              <w:jc w:val="left"/>
            </w:pPr>
            <w:r>
              <w:rPr>
                <w:b/>
              </w:rPr>
              <w:t>Total provisions for employee benefits</w:t>
            </w:r>
          </w:p>
        </w:tc>
        <w:tc>
          <w:tcPr>
            <w:tcW w:w="866" w:type="dxa"/>
            <w:tcBorders>
              <w:bottom w:val="single" w:sz="12" w:space="0" w:color="auto"/>
            </w:tcBorders>
          </w:tcPr>
          <w:p w14:paraId="6DF64598" w14:textId="77777777" w:rsidR="00182709" w:rsidRDefault="0044097C">
            <w:r>
              <w:rPr>
                <w:b/>
              </w:rPr>
              <w:t>10 754</w:t>
            </w:r>
          </w:p>
        </w:tc>
        <w:tc>
          <w:tcPr>
            <w:tcW w:w="866" w:type="dxa"/>
            <w:tcBorders>
              <w:bottom w:val="single" w:sz="12" w:space="0" w:color="auto"/>
            </w:tcBorders>
          </w:tcPr>
          <w:p w14:paraId="1BD8BA01" w14:textId="77777777" w:rsidR="00182709" w:rsidRDefault="0044097C">
            <w:r>
              <w:rPr>
                <w:b/>
              </w:rPr>
              <w:t>17 073</w:t>
            </w:r>
          </w:p>
        </w:tc>
      </w:tr>
    </w:tbl>
    <w:p w14:paraId="080D65D1" w14:textId="77777777" w:rsidR="003719CD" w:rsidRDefault="003719CD" w:rsidP="00DC39DE"/>
    <w:p w14:paraId="0507B25C" w14:textId="77777777" w:rsidR="003719CD" w:rsidRDefault="003719CD" w:rsidP="007D536F">
      <w:pPr>
        <w:pStyle w:val="Caption"/>
      </w:pPr>
      <w:r>
        <w:t>Reconciliation of movement in on-cost provision</w:t>
      </w:r>
      <w:r>
        <w:tab/>
        <w:t>($ thousand)</w:t>
      </w:r>
    </w:p>
    <w:tbl>
      <w:tblPr>
        <w:tblStyle w:val="DTFTable"/>
        <w:tblW w:w="9639" w:type="dxa"/>
        <w:tblLayout w:type="fixed"/>
        <w:tblLook w:val="0620" w:firstRow="1" w:lastRow="0" w:firstColumn="0" w:lastColumn="0" w:noHBand="1" w:noVBand="1"/>
      </w:tblPr>
      <w:tblGrid>
        <w:gridCol w:w="1350"/>
        <w:gridCol w:w="7422"/>
        <w:gridCol w:w="867"/>
      </w:tblGrid>
      <w:tr w:rsidR="00182709" w14:paraId="1DE93C4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BC925EE" w14:textId="77777777" w:rsidR="00182709" w:rsidRDefault="0044097C">
            <w:pPr>
              <w:keepNext/>
              <w:jc w:val="left"/>
            </w:pPr>
            <w:r>
              <w:rPr>
                <w:color w:val="4472C4"/>
                <w:sz w:val="13"/>
              </w:rPr>
              <w:t>Source reference</w:t>
            </w:r>
          </w:p>
        </w:tc>
        <w:tc>
          <w:tcPr>
            <w:tcW w:w="7824" w:type="dxa"/>
          </w:tcPr>
          <w:p w14:paraId="6EC10D46" w14:textId="77777777" w:rsidR="00182709" w:rsidRDefault="00182709">
            <w:pPr>
              <w:keepNext/>
              <w:jc w:val="left"/>
            </w:pPr>
          </w:p>
        </w:tc>
        <w:tc>
          <w:tcPr>
            <w:tcW w:w="907" w:type="dxa"/>
            <w:tcBorders>
              <w:top w:val="single" w:sz="6" w:space="0" w:color="auto"/>
              <w:bottom w:val="single" w:sz="6" w:space="0" w:color="auto"/>
            </w:tcBorders>
          </w:tcPr>
          <w:p w14:paraId="7F273355" w14:textId="5E723EA0" w:rsidR="00182709" w:rsidRDefault="00F82E8F">
            <w:pPr>
              <w:keepNext/>
            </w:pPr>
            <w:fldSimple w:instr="DOCPROPERTY  YearCurrent \* MERGEFORMAT">
              <w:r>
                <w:t>20X2</w:t>
              </w:r>
            </w:fldSimple>
          </w:p>
        </w:tc>
      </w:tr>
      <w:tr w:rsidR="00182709" w14:paraId="3D3E28BF" w14:textId="77777777" w:rsidTr="00182709">
        <w:tc>
          <w:tcPr>
            <w:tcW w:w="1417" w:type="dxa"/>
          </w:tcPr>
          <w:p w14:paraId="17BAB8D4" w14:textId="77777777" w:rsidR="00182709" w:rsidRDefault="0044097C">
            <w:pPr>
              <w:jc w:val="left"/>
            </w:pPr>
            <w:r>
              <w:rPr>
                <w:color w:val="4472C4"/>
                <w:sz w:val="13"/>
              </w:rPr>
              <w:t>AASB 137.84 (a)</w:t>
            </w:r>
          </w:p>
        </w:tc>
        <w:tc>
          <w:tcPr>
            <w:tcW w:w="7824" w:type="dxa"/>
          </w:tcPr>
          <w:p w14:paraId="71515D9A" w14:textId="77777777" w:rsidR="00182709" w:rsidRDefault="0044097C">
            <w:pPr>
              <w:jc w:val="left"/>
            </w:pPr>
            <w:r>
              <w:rPr>
                <w:b/>
              </w:rPr>
              <w:t>Opening balance</w:t>
            </w:r>
          </w:p>
        </w:tc>
        <w:tc>
          <w:tcPr>
            <w:tcW w:w="907" w:type="dxa"/>
            <w:tcBorders>
              <w:top w:val="single" w:sz="6" w:space="0" w:color="auto"/>
            </w:tcBorders>
          </w:tcPr>
          <w:p w14:paraId="5980CCD0" w14:textId="77777777" w:rsidR="00182709" w:rsidRDefault="0044097C">
            <w:r>
              <w:t>1 991</w:t>
            </w:r>
          </w:p>
        </w:tc>
      </w:tr>
      <w:tr w:rsidR="00182709" w14:paraId="3170771A" w14:textId="77777777">
        <w:tc>
          <w:tcPr>
            <w:tcW w:w="1417" w:type="dxa"/>
          </w:tcPr>
          <w:p w14:paraId="14ADF16B" w14:textId="77777777" w:rsidR="00182709" w:rsidRDefault="0044097C">
            <w:pPr>
              <w:jc w:val="left"/>
            </w:pPr>
            <w:r>
              <w:rPr>
                <w:color w:val="4472C4"/>
                <w:sz w:val="13"/>
              </w:rPr>
              <w:t>AASB 137.84 (b)</w:t>
            </w:r>
          </w:p>
        </w:tc>
        <w:tc>
          <w:tcPr>
            <w:tcW w:w="7824" w:type="dxa"/>
          </w:tcPr>
          <w:p w14:paraId="70135B07" w14:textId="77777777" w:rsidR="00182709" w:rsidRDefault="0044097C">
            <w:pPr>
              <w:jc w:val="left"/>
            </w:pPr>
            <w:r>
              <w:t>Additional provisions recognised</w:t>
            </w:r>
          </w:p>
        </w:tc>
        <w:tc>
          <w:tcPr>
            <w:tcW w:w="907" w:type="dxa"/>
          </w:tcPr>
          <w:p w14:paraId="31980E7C" w14:textId="77777777" w:rsidR="00182709" w:rsidRDefault="0044097C">
            <w:r>
              <w:t>451</w:t>
            </w:r>
          </w:p>
        </w:tc>
      </w:tr>
      <w:tr w:rsidR="00182709" w14:paraId="54ED5520" w14:textId="77777777">
        <w:tc>
          <w:tcPr>
            <w:tcW w:w="1417" w:type="dxa"/>
          </w:tcPr>
          <w:p w14:paraId="4295E1EF" w14:textId="77777777" w:rsidR="00182709" w:rsidRDefault="0044097C">
            <w:pPr>
              <w:jc w:val="left"/>
            </w:pPr>
            <w:r>
              <w:rPr>
                <w:color w:val="4472C4"/>
                <w:sz w:val="13"/>
              </w:rPr>
              <w:t>AASB 137.84 (b)</w:t>
            </w:r>
          </w:p>
        </w:tc>
        <w:tc>
          <w:tcPr>
            <w:tcW w:w="7824" w:type="dxa"/>
          </w:tcPr>
          <w:p w14:paraId="0B095E3A" w14:textId="77777777" w:rsidR="00182709" w:rsidRDefault="0044097C">
            <w:pPr>
              <w:jc w:val="left"/>
            </w:pPr>
            <w:r>
              <w:t>Additions due to transfer in</w:t>
            </w:r>
          </w:p>
        </w:tc>
        <w:tc>
          <w:tcPr>
            <w:tcW w:w="907" w:type="dxa"/>
          </w:tcPr>
          <w:p w14:paraId="017086BB" w14:textId="77777777" w:rsidR="00182709" w:rsidRDefault="0044097C">
            <w:r>
              <w:t>141</w:t>
            </w:r>
          </w:p>
        </w:tc>
      </w:tr>
      <w:tr w:rsidR="00182709" w14:paraId="0B28FDA9" w14:textId="77777777">
        <w:tc>
          <w:tcPr>
            <w:tcW w:w="1417" w:type="dxa"/>
          </w:tcPr>
          <w:p w14:paraId="2FE79860" w14:textId="77777777" w:rsidR="00182709" w:rsidRDefault="0044097C">
            <w:pPr>
              <w:jc w:val="left"/>
            </w:pPr>
            <w:r>
              <w:rPr>
                <w:color w:val="4472C4"/>
                <w:sz w:val="13"/>
              </w:rPr>
              <w:t>AASB 137.84 (b)</w:t>
            </w:r>
          </w:p>
        </w:tc>
        <w:tc>
          <w:tcPr>
            <w:tcW w:w="7824" w:type="dxa"/>
          </w:tcPr>
          <w:p w14:paraId="62CD6175" w14:textId="77777777" w:rsidR="00182709" w:rsidRDefault="0044097C">
            <w:pPr>
              <w:jc w:val="left"/>
            </w:pPr>
            <w:r>
              <w:t>Additions due to acquisitions</w:t>
            </w:r>
          </w:p>
        </w:tc>
        <w:tc>
          <w:tcPr>
            <w:tcW w:w="907" w:type="dxa"/>
          </w:tcPr>
          <w:p w14:paraId="7C20A363" w14:textId="77777777" w:rsidR="00182709" w:rsidRDefault="0044097C">
            <w:r>
              <w:t>117</w:t>
            </w:r>
          </w:p>
        </w:tc>
      </w:tr>
      <w:tr w:rsidR="00182709" w14:paraId="27F6366C" w14:textId="77777777">
        <w:tc>
          <w:tcPr>
            <w:tcW w:w="1417" w:type="dxa"/>
          </w:tcPr>
          <w:p w14:paraId="3E97F710" w14:textId="77777777" w:rsidR="00182709" w:rsidRDefault="0044097C">
            <w:pPr>
              <w:jc w:val="left"/>
            </w:pPr>
            <w:r>
              <w:rPr>
                <w:color w:val="4472C4"/>
                <w:sz w:val="13"/>
              </w:rPr>
              <w:t>AASB 137.84 (c)</w:t>
            </w:r>
          </w:p>
        </w:tc>
        <w:tc>
          <w:tcPr>
            <w:tcW w:w="7824" w:type="dxa"/>
          </w:tcPr>
          <w:p w14:paraId="66EE0344" w14:textId="77777777" w:rsidR="00182709" w:rsidRDefault="0044097C">
            <w:pPr>
              <w:jc w:val="left"/>
            </w:pPr>
            <w:r>
              <w:t>Reductions arising from payments/other sacrifices of future economic benefits</w:t>
            </w:r>
          </w:p>
        </w:tc>
        <w:tc>
          <w:tcPr>
            <w:tcW w:w="907" w:type="dxa"/>
          </w:tcPr>
          <w:p w14:paraId="54003B77" w14:textId="77777777" w:rsidR="00182709" w:rsidRDefault="0044097C">
            <w:r>
              <w:t>(22)</w:t>
            </w:r>
          </w:p>
        </w:tc>
      </w:tr>
      <w:tr w:rsidR="00182709" w14:paraId="2BCD8451" w14:textId="77777777">
        <w:tc>
          <w:tcPr>
            <w:tcW w:w="1417" w:type="dxa"/>
          </w:tcPr>
          <w:p w14:paraId="2B92A02E" w14:textId="77777777" w:rsidR="00182709" w:rsidRDefault="0044097C">
            <w:pPr>
              <w:jc w:val="left"/>
            </w:pPr>
            <w:r>
              <w:rPr>
                <w:color w:val="4472C4"/>
                <w:sz w:val="13"/>
              </w:rPr>
              <w:t>AASB 137.84 (d)</w:t>
            </w:r>
          </w:p>
        </w:tc>
        <w:tc>
          <w:tcPr>
            <w:tcW w:w="7824" w:type="dxa"/>
          </w:tcPr>
          <w:p w14:paraId="3317E179" w14:textId="77777777" w:rsidR="00182709" w:rsidRDefault="0044097C">
            <w:pPr>
              <w:jc w:val="left"/>
            </w:pPr>
            <w:r>
              <w:t>Reductions resulting from re‑measurement or settlement without cost</w:t>
            </w:r>
          </w:p>
        </w:tc>
        <w:tc>
          <w:tcPr>
            <w:tcW w:w="907" w:type="dxa"/>
          </w:tcPr>
          <w:p w14:paraId="3631B3DA" w14:textId="77777777" w:rsidR="00182709" w:rsidRDefault="0044097C">
            <w:r>
              <w:t>(20)</w:t>
            </w:r>
          </w:p>
        </w:tc>
      </w:tr>
      <w:tr w:rsidR="00182709" w14:paraId="49649A0A" w14:textId="77777777">
        <w:tc>
          <w:tcPr>
            <w:tcW w:w="1417" w:type="dxa"/>
          </w:tcPr>
          <w:p w14:paraId="0659F444" w14:textId="77777777" w:rsidR="00182709" w:rsidRDefault="0044097C">
            <w:pPr>
              <w:jc w:val="left"/>
            </w:pPr>
            <w:r>
              <w:rPr>
                <w:color w:val="4472C4"/>
                <w:sz w:val="13"/>
              </w:rPr>
              <w:t>AASB 137.60,84 (e)</w:t>
            </w:r>
          </w:p>
        </w:tc>
        <w:tc>
          <w:tcPr>
            <w:tcW w:w="7824" w:type="dxa"/>
          </w:tcPr>
          <w:p w14:paraId="43FC8A34" w14:textId="77777777" w:rsidR="00182709" w:rsidRDefault="0044097C">
            <w:pPr>
              <w:jc w:val="left"/>
            </w:pPr>
            <w:r>
              <w:t>Unwind of discount and effect of changes in the discount rate</w:t>
            </w:r>
          </w:p>
        </w:tc>
        <w:tc>
          <w:tcPr>
            <w:tcW w:w="907" w:type="dxa"/>
          </w:tcPr>
          <w:p w14:paraId="4A4EBAE4" w14:textId="77777777" w:rsidR="00182709" w:rsidRDefault="0044097C">
            <w:r>
              <w:t>15</w:t>
            </w:r>
          </w:p>
        </w:tc>
      </w:tr>
      <w:tr w:rsidR="00182709" w14:paraId="6137F8E8" w14:textId="77777777">
        <w:tc>
          <w:tcPr>
            <w:tcW w:w="1417" w:type="dxa"/>
          </w:tcPr>
          <w:p w14:paraId="337649F9" w14:textId="77777777" w:rsidR="00182709" w:rsidRDefault="0044097C">
            <w:pPr>
              <w:jc w:val="left"/>
            </w:pPr>
            <w:r>
              <w:rPr>
                <w:color w:val="4472C4"/>
                <w:sz w:val="13"/>
              </w:rPr>
              <w:t>AASB 137.84 (c)</w:t>
            </w:r>
          </w:p>
        </w:tc>
        <w:tc>
          <w:tcPr>
            <w:tcW w:w="7824" w:type="dxa"/>
          </w:tcPr>
          <w:p w14:paraId="5C00B537" w14:textId="77777777" w:rsidR="00182709" w:rsidRDefault="0044097C">
            <w:pPr>
              <w:jc w:val="left"/>
            </w:pPr>
            <w:r>
              <w:t>Reduction held for sale</w:t>
            </w:r>
          </w:p>
        </w:tc>
        <w:tc>
          <w:tcPr>
            <w:tcW w:w="907" w:type="dxa"/>
          </w:tcPr>
          <w:p w14:paraId="2234DE11" w14:textId="77777777" w:rsidR="00182709" w:rsidRDefault="0044097C">
            <w:r>
              <w:t>(304)</w:t>
            </w:r>
          </w:p>
        </w:tc>
      </w:tr>
      <w:tr w:rsidR="00182709" w14:paraId="543532DE" w14:textId="77777777" w:rsidTr="00182709">
        <w:tc>
          <w:tcPr>
            <w:tcW w:w="1417" w:type="dxa"/>
          </w:tcPr>
          <w:p w14:paraId="3B54C81B" w14:textId="77777777" w:rsidR="00182709" w:rsidRDefault="0044097C">
            <w:pPr>
              <w:jc w:val="left"/>
            </w:pPr>
            <w:r>
              <w:rPr>
                <w:color w:val="4472C4"/>
                <w:sz w:val="13"/>
              </w:rPr>
              <w:t>AASB 137.84 (c)</w:t>
            </w:r>
          </w:p>
        </w:tc>
        <w:tc>
          <w:tcPr>
            <w:tcW w:w="7824" w:type="dxa"/>
            <w:tcBorders>
              <w:bottom w:val="single" w:sz="12" w:space="0" w:color="auto"/>
            </w:tcBorders>
          </w:tcPr>
          <w:p w14:paraId="3E8D75E5" w14:textId="77777777" w:rsidR="00182709" w:rsidRDefault="0044097C">
            <w:pPr>
              <w:jc w:val="left"/>
            </w:pPr>
            <w:r>
              <w:t>Reduction transfer out</w:t>
            </w:r>
          </w:p>
        </w:tc>
        <w:tc>
          <w:tcPr>
            <w:tcW w:w="907" w:type="dxa"/>
            <w:tcBorders>
              <w:bottom w:val="single" w:sz="12" w:space="0" w:color="auto"/>
            </w:tcBorders>
          </w:tcPr>
          <w:p w14:paraId="53F0B3F9" w14:textId="77777777" w:rsidR="00182709" w:rsidRDefault="0044097C">
            <w:r>
              <w:t>(847)</w:t>
            </w:r>
          </w:p>
        </w:tc>
      </w:tr>
      <w:tr w:rsidR="00671D55" w14:paraId="4E5C4D94" w14:textId="77777777" w:rsidTr="00182709">
        <w:tc>
          <w:tcPr>
            <w:tcW w:w="1417" w:type="dxa"/>
          </w:tcPr>
          <w:p w14:paraId="17ED5F91" w14:textId="77777777" w:rsidR="00182709" w:rsidRDefault="0044097C">
            <w:pPr>
              <w:jc w:val="left"/>
            </w:pPr>
            <w:r>
              <w:rPr>
                <w:color w:val="4472C4"/>
                <w:sz w:val="13"/>
              </w:rPr>
              <w:t>AASB 137.84 (a)</w:t>
            </w:r>
          </w:p>
        </w:tc>
        <w:tc>
          <w:tcPr>
            <w:tcW w:w="7824" w:type="dxa"/>
          </w:tcPr>
          <w:p w14:paraId="08780D41" w14:textId="77777777" w:rsidR="00182709" w:rsidRDefault="0044097C">
            <w:pPr>
              <w:jc w:val="left"/>
            </w:pPr>
            <w:r>
              <w:rPr>
                <w:b/>
              </w:rPr>
              <w:t>Closing balance</w:t>
            </w:r>
          </w:p>
        </w:tc>
        <w:tc>
          <w:tcPr>
            <w:tcW w:w="907" w:type="dxa"/>
          </w:tcPr>
          <w:p w14:paraId="00A12659" w14:textId="77777777" w:rsidR="00182709" w:rsidRDefault="0044097C">
            <w:r>
              <w:rPr>
                <w:b/>
              </w:rPr>
              <w:t>1 522</w:t>
            </w:r>
          </w:p>
        </w:tc>
      </w:tr>
      <w:tr w:rsidR="00671D55" w14:paraId="4A1356A4" w14:textId="77777777" w:rsidTr="00182709">
        <w:tc>
          <w:tcPr>
            <w:tcW w:w="1417" w:type="dxa"/>
          </w:tcPr>
          <w:p w14:paraId="20D9E567" w14:textId="77777777" w:rsidR="00182709" w:rsidRDefault="0044097C">
            <w:pPr>
              <w:jc w:val="left"/>
            </w:pPr>
            <w:r>
              <w:rPr>
                <w:color w:val="4472C4"/>
                <w:sz w:val="13"/>
              </w:rPr>
              <w:t>AASB 101.61</w:t>
            </w:r>
          </w:p>
        </w:tc>
        <w:tc>
          <w:tcPr>
            <w:tcW w:w="7824" w:type="dxa"/>
          </w:tcPr>
          <w:p w14:paraId="62426760" w14:textId="77777777" w:rsidR="00182709" w:rsidRDefault="0044097C">
            <w:pPr>
              <w:jc w:val="left"/>
            </w:pPr>
            <w:r>
              <w:t>Current</w:t>
            </w:r>
          </w:p>
        </w:tc>
        <w:tc>
          <w:tcPr>
            <w:tcW w:w="907" w:type="dxa"/>
          </w:tcPr>
          <w:p w14:paraId="2884A83E" w14:textId="77777777" w:rsidR="00182709" w:rsidRDefault="0044097C">
            <w:r>
              <w:t>649</w:t>
            </w:r>
          </w:p>
        </w:tc>
      </w:tr>
      <w:tr w:rsidR="00182709" w14:paraId="3B8371C5" w14:textId="77777777" w:rsidTr="00182709">
        <w:tc>
          <w:tcPr>
            <w:tcW w:w="1417" w:type="dxa"/>
            <w:tcBorders>
              <w:bottom w:val="nil"/>
            </w:tcBorders>
          </w:tcPr>
          <w:p w14:paraId="4E443BCB" w14:textId="77777777" w:rsidR="00182709" w:rsidRDefault="0044097C">
            <w:pPr>
              <w:jc w:val="left"/>
            </w:pPr>
            <w:r>
              <w:rPr>
                <w:color w:val="4472C4"/>
                <w:sz w:val="13"/>
              </w:rPr>
              <w:t>AASB 101.61</w:t>
            </w:r>
          </w:p>
        </w:tc>
        <w:tc>
          <w:tcPr>
            <w:tcW w:w="7824" w:type="dxa"/>
            <w:tcBorders>
              <w:bottom w:val="single" w:sz="12" w:space="0" w:color="auto"/>
            </w:tcBorders>
          </w:tcPr>
          <w:p w14:paraId="2AB6AB98" w14:textId="77777777" w:rsidR="00182709" w:rsidRDefault="0044097C">
            <w:pPr>
              <w:jc w:val="left"/>
            </w:pPr>
            <w:r>
              <w:t>Non‑current</w:t>
            </w:r>
          </w:p>
        </w:tc>
        <w:tc>
          <w:tcPr>
            <w:tcW w:w="907" w:type="dxa"/>
            <w:tcBorders>
              <w:bottom w:val="single" w:sz="12" w:space="0" w:color="auto"/>
            </w:tcBorders>
          </w:tcPr>
          <w:p w14:paraId="3CE1BFAF" w14:textId="77777777" w:rsidR="00182709" w:rsidRDefault="0044097C">
            <w:r>
              <w:t>871</w:t>
            </w:r>
          </w:p>
        </w:tc>
      </w:tr>
    </w:tbl>
    <w:p w14:paraId="1905733F" w14:textId="77777777" w:rsidR="003719CD" w:rsidRDefault="003719CD" w:rsidP="00DC39DE"/>
    <w:p w14:paraId="01230A16" w14:textId="77777777" w:rsidR="003719CD" w:rsidRDefault="003719CD" w:rsidP="00DC39DE">
      <w:r w:rsidRPr="00AA7379">
        <w:rPr>
          <w:b/>
          <w:bCs/>
        </w:rPr>
        <w:t>Wages and salaries, annual leave and sick leave</w:t>
      </w:r>
      <w:r>
        <w:t xml:space="preserve">: Liabilities for wages and salaries (including non-monetary benefits, annual leave and on-costs) are recognised as part of the employee benefit provision as current liabilities, because the Department does not have an unconditional right to defer settlements of these liabilities. </w:t>
      </w:r>
      <w:r w:rsidRPr="00AA7379">
        <w:rPr>
          <w:rStyle w:val="Reference"/>
        </w:rPr>
        <w:t>[AASB 101.69 and 119.8]</w:t>
      </w:r>
    </w:p>
    <w:p w14:paraId="3846AB6F" w14:textId="1F47B603" w:rsidR="003719CD" w:rsidRDefault="003719CD" w:rsidP="00DC39DE">
      <w:r w:rsidRPr="008D3989">
        <w:t xml:space="preserve">The liability for salaries and wages are recognised in the balance sheet at remuneration rates which are current at the reporting date. As the Department expects the liabilities to be wholly settled within 12 months of reporting date, they are measured at undiscounted amounts. </w:t>
      </w:r>
      <w:r w:rsidRPr="008D3989">
        <w:rPr>
          <w:rStyle w:val="Reference"/>
        </w:rPr>
        <w:t>[AASB 101.69 and 119.8]</w:t>
      </w:r>
    </w:p>
    <w:p w14:paraId="0A2B9912" w14:textId="25AEF2D9" w:rsidR="003719CD" w:rsidRDefault="003719CD" w:rsidP="00DC39DE">
      <w:r>
        <w:t xml:space="preserve">The annual leave liability is classified as a current liability and measured at the undiscounted amount expected to be paid, as the Department does not have an unconditional right to defer settlement of the liability for at least 12 months after the end of the reporting period. </w:t>
      </w:r>
      <w:r w:rsidRPr="00AA7379">
        <w:rPr>
          <w:rStyle w:val="Reference"/>
        </w:rPr>
        <w:t>[AASB 101.69(d)]</w:t>
      </w:r>
    </w:p>
    <w:p w14:paraId="459BFB04" w14:textId="77777777" w:rsidR="003719CD" w:rsidRDefault="003719CD" w:rsidP="00DC39DE">
      <w:r>
        <w:t>No provision has been made for sick leave as all sick leave is non-vesting and it is not considered probable that the average sick leave taken in the future will be greater than the benefits accrued in the future. As sick leave is non-vesting, an expense is recognised in the Statement of Comprehensive Income as it is taken.</w:t>
      </w:r>
    </w:p>
    <w:p w14:paraId="0BF99A21" w14:textId="77777777" w:rsidR="003719CD" w:rsidRDefault="003719CD" w:rsidP="00DC39DE">
      <w:r>
        <w:t xml:space="preserve">Employment on-costs such as payroll tax, workers compensation and superannuation are not employee benefits. They are disclosed separately as a component of the provision for employee benefits when the employment to which they relate has occurred. </w:t>
      </w:r>
      <w:r w:rsidRPr="00AA7379">
        <w:rPr>
          <w:rStyle w:val="Reference"/>
        </w:rPr>
        <w:t>[AASB 101.78]</w:t>
      </w:r>
    </w:p>
    <w:p w14:paraId="019A9705" w14:textId="4E29794A" w:rsidR="003719CD" w:rsidRDefault="003719CD" w:rsidP="00DC39DE">
      <w:r>
        <w:lastRenderedPageBreak/>
        <w:t>Unconditional LSL is disclosed as a current liability</w:t>
      </w:r>
      <w:r w:rsidR="00E7334F">
        <w:t>,</w:t>
      </w:r>
      <w:r>
        <w:t xml:space="preserve"> even where the Department does not expect to settle the liability within 12 months because it will not have the unconditional right to defer the settlement of the entitlement should an employee take leave within 12 months. </w:t>
      </w:r>
      <w:r w:rsidRPr="00AA7379">
        <w:rPr>
          <w:rStyle w:val="Reference"/>
        </w:rPr>
        <w:t>[AASB 101.69(d)]</w:t>
      </w:r>
    </w:p>
    <w:p w14:paraId="22A042AE" w14:textId="3F3BA604" w:rsidR="003719CD" w:rsidRDefault="003719CD" w:rsidP="00DC39DE">
      <w:r>
        <w:t>The components of this current LSL liability are measured at</w:t>
      </w:r>
      <w:r w:rsidR="00E7334F">
        <w:t xml:space="preserve"> either</w:t>
      </w:r>
      <w:r>
        <w:t>:</w:t>
      </w:r>
    </w:p>
    <w:p w14:paraId="792AD8F6" w14:textId="281EEA4B" w:rsidR="003719CD" w:rsidRDefault="003719CD" w:rsidP="00310F12">
      <w:pPr>
        <w:pStyle w:val="ListBullet"/>
      </w:pPr>
      <w:r>
        <w:t>undiscounted value – if the Department expects to wholly settle within 12 months</w:t>
      </w:r>
    </w:p>
    <w:p w14:paraId="7BD25335" w14:textId="77777777" w:rsidR="003719CD" w:rsidRDefault="003719CD" w:rsidP="00310F12">
      <w:pPr>
        <w:pStyle w:val="ListBullet"/>
      </w:pPr>
      <w:r>
        <w:t>present value – if the Department does not expect to wholly settle within 12 months.</w:t>
      </w:r>
    </w:p>
    <w:p w14:paraId="4ECF07D2" w14:textId="77777777" w:rsidR="003719CD" w:rsidRDefault="003719CD" w:rsidP="00DC39DE">
      <w:r w:rsidRPr="00AA7379">
        <w:rPr>
          <w:b/>
          <w:bCs/>
        </w:rPr>
        <w:t>Conditional LSL</w:t>
      </w:r>
      <w:r>
        <w:t xml:space="preserve"> is disclosed as a non-current liability. There is a conditional right to defer the settlement of the entitlement until the employee has completed the requisite years of service. This non-current LSL is measured at present value.</w:t>
      </w:r>
    </w:p>
    <w:p w14:paraId="776BEEF5" w14:textId="77777777" w:rsidR="003719CD" w:rsidRPr="005D781A" w:rsidRDefault="003719CD" w:rsidP="00DC39DE">
      <w:pPr>
        <w:rPr>
          <w:color w:val="C00000"/>
          <w:sz w:val="16"/>
        </w:rPr>
      </w:pPr>
      <w:r>
        <w:t>Any gain or loss following revaluation of the present value of non-current LSL liability is recognised as a transaction, except to the extent that a gain or loss arises due to changes in bond interest rates for which it is then recognised as an ‘other economic flow’ in the net result.</w:t>
      </w:r>
    </w:p>
    <w:p w14:paraId="02BB2DE2" w14:textId="2955C622" w:rsidR="003719CD" w:rsidRDefault="003719CD" w:rsidP="007D536F">
      <w:pPr>
        <w:pStyle w:val="GuidanceBlockHeading"/>
      </w:pPr>
      <w:r>
        <w:t>Guidance – Employee benefits</w:t>
      </w:r>
      <w:r w:rsidR="00D862C5">
        <w:t xml:space="preserve"> </w:t>
      </w:r>
      <w:r w:rsidR="009A1A54" w:rsidRPr="00F82E8F">
        <w:rPr>
          <w:rStyle w:val="Guidance"/>
          <w:color w:val="FFFFFF" w:themeColor="background1"/>
          <w:shd w:val="clear" w:color="auto" w:fill="7030A0"/>
        </w:rPr>
        <w:t>[REVISED]</w:t>
      </w:r>
    </w:p>
    <w:p w14:paraId="61DBFAC3" w14:textId="77777777" w:rsidR="003719CD" w:rsidRPr="00AA7379" w:rsidRDefault="003719CD" w:rsidP="007D536F">
      <w:pPr>
        <w:rPr>
          <w:rStyle w:val="Guidance"/>
        </w:rPr>
      </w:pPr>
      <w:r w:rsidRPr="00AA7379">
        <w:rPr>
          <w:rStyle w:val="Guidance"/>
        </w:rPr>
        <w:t xml:space="preserve">Entities classifying expenses by function shall disclose additional information on the nature of expenses, including employee benefits expense. </w:t>
      </w:r>
      <w:r w:rsidRPr="00AA7379">
        <w:rPr>
          <w:rStyle w:val="Reference"/>
        </w:rPr>
        <w:t>[AASB 101.104]</w:t>
      </w:r>
    </w:p>
    <w:p w14:paraId="4F2FE581" w14:textId="77777777" w:rsidR="003719CD" w:rsidRPr="00AA7379" w:rsidRDefault="003719CD" w:rsidP="007D536F">
      <w:pPr>
        <w:rPr>
          <w:rStyle w:val="Guidance"/>
        </w:rPr>
      </w:pPr>
      <w:r w:rsidRPr="00AA7379">
        <w:rPr>
          <w:rStyle w:val="Guidance"/>
          <w:b/>
          <w:bCs/>
        </w:rPr>
        <w:t>Distinction between short-term and long-term employee benefits</w:t>
      </w:r>
      <w:r w:rsidRPr="00AA7379">
        <w:rPr>
          <w:rStyle w:val="Guidance"/>
        </w:rPr>
        <w:t xml:space="preserve">: Employee benefits are classified as short-term when they are expected to be settled wholly within 12 months after the employees render the related services. </w:t>
      </w:r>
      <w:r w:rsidRPr="00AA7379">
        <w:rPr>
          <w:rStyle w:val="Reference"/>
        </w:rPr>
        <w:t>[AASB</w:t>
      </w:r>
      <w:r>
        <w:rPr>
          <w:rStyle w:val="Reference"/>
        </w:rPr>
        <w:t> </w:t>
      </w:r>
      <w:r w:rsidRPr="00AA7379">
        <w:rPr>
          <w:rStyle w:val="Reference"/>
        </w:rPr>
        <w:t>119.8]</w:t>
      </w:r>
    </w:p>
    <w:p w14:paraId="7B846E76" w14:textId="77777777" w:rsidR="003719CD" w:rsidRPr="00AA7379" w:rsidRDefault="003719CD" w:rsidP="007D536F">
      <w:pPr>
        <w:rPr>
          <w:rStyle w:val="Guidance"/>
        </w:rPr>
      </w:pPr>
      <w:r w:rsidRPr="00AA7379">
        <w:rPr>
          <w:rStyle w:val="Guidance"/>
        </w:rPr>
        <w:t>Government departments should review their current short-term employee benefits to ensure their classification remains appropriate.</w:t>
      </w:r>
    </w:p>
    <w:p w14:paraId="228E9496" w14:textId="3C57F354" w:rsidR="003719CD" w:rsidRDefault="003719CD" w:rsidP="007D536F">
      <w:pPr>
        <w:rPr>
          <w:rStyle w:val="Guidance"/>
        </w:rPr>
      </w:pPr>
      <w:r w:rsidRPr="00AA7379">
        <w:rPr>
          <w:rStyle w:val="Guidance"/>
          <w:b/>
          <w:bCs/>
        </w:rPr>
        <w:t>Measurement of short-term and long-term employee benefits</w:t>
      </w:r>
      <w:r w:rsidRPr="00AA7379">
        <w:rPr>
          <w:rStyle w:val="Guidance"/>
        </w:rPr>
        <w:t>: Short-term employee benefits are accounted for on an undiscounted basis in the period in which the related service is rendered. For employee benefits that are classified as long</w:t>
      </w:r>
      <w:r w:rsidR="00121E87">
        <w:rPr>
          <w:rStyle w:val="Guidance"/>
        </w:rPr>
        <w:t xml:space="preserve"> </w:t>
      </w:r>
      <w:r w:rsidRPr="00AA7379">
        <w:rPr>
          <w:rStyle w:val="Guidance"/>
        </w:rPr>
        <w:t xml:space="preserve">term, the obligations are measured at present value (discounted basis). The decision tree below highlights the process considering the ‘short-term/long-term’ classification and measurement. </w:t>
      </w:r>
    </w:p>
    <w:p w14:paraId="18F21EBD" w14:textId="036F7850" w:rsidR="004A34CC" w:rsidRDefault="00BC3DBB" w:rsidP="00045F97">
      <w:pPr>
        <w:ind w:left="1985"/>
        <w:rPr>
          <w:rStyle w:val="Guidance"/>
        </w:rPr>
      </w:pPr>
      <w:r>
        <w:rPr>
          <w:noProof/>
        </w:rPr>
        <mc:AlternateContent>
          <mc:Choice Requires="wps">
            <w:drawing>
              <wp:anchor distT="4294967295" distB="4294967295" distL="114300" distR="114300" simplePos="0" relativeHeight="251658240" behindDoc="0" locked="0" layoutInCell="1" allowOverlap="1" wp14:anchorId="1FDC25DD" wp14:editId="29036CBE">
                <wp:simplePos x="0" y="0"/>
                <wp:positionH relativeFrom="column">
                  <wp:posOffset>2070735</wp:posOffset>
                </wp:positionH>
                <wp:positionV relativeFrom="paragraph">
                  <wp:posOffset>384809</wp:posOffset>
                </wp:positionV>
                <wp:extent cx="309880" cy="0"/>
                <wp:effectExtent l="38100" t="76200" r="0" b="76200"/>
                <wp:wrapNone/>
                <wp:docPr id="544778873"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9880" cy="0"/>
                        </a:xfrm>
                        <a:prstGeom prst="straightConnector1">
                          <a:avLst/>
                        </a:prstGeom>
                        <a:ln w="22225" cmpd="sng">
                          <a:solidFill>
                            <a:srgbClr val="385723"/>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6A12F7D" id="_x0000_t32" coordsize="21600,21600" o:spt="32" o:oned="t" path="m,l21600,21600e" filled="f">
                <v:path arrowok="t" fillok="f" o:connecttype="none"/>
                <o:lock v:ext="edit" shapetype="t"/>
              </v:shapetype>
              <v:shape id="Straight Arrow Connector 72" o:spid="_x0000_s1026" type="#_x0000_t32" style="position:absolute;margin-left:163.05pt;margin-top:30.3pt;width:24.4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" strokecolor="#385723" strokeweight="1.75pt">
                <v:stroke endarrow="classic" joinstyle="miter"/>
                <o:lock v:ext="edit" shapetype="f"/>
              </v:shape>
            </w:pict>
          </mc:Fallback>
        </mc:AlternateContent>
      </w:r>
      <w:r>
        <w:rPr>
          <w:noProof/>
        </w:rPr>
        <mc:AlternateContent>
          <mc:Choice Requires="wpg">
            <w:drawing>
              <wp:inline distT="0" distB="0" distL="0" distR="0" wp14:anchorId="67539E5A" wp14:editId="555F87E0">
                <wp:extent cx="3552825" cy="3758565"/>
                <wp:effectExtent l="8890" t="5080" r="635" b="8255"/>
                <wp:docPr id="849464801"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3758565"/>
                          <a:chOff x="0" y="0"/>
                          <a:chExt cx="35528" cy="37583"/>
                        </a:xfrm>
                      </wpg:grpSpPr>
                      <wps:wsp>
                        <wps:cNvPr id="1811191835" name="Rectangle 16"/>
                        <wps:cNvSpPr>
                          <a:spLocks noChangeArrowheads="1"/>
                        </wps:cNvSpPr>
                        <wps:spPr bwMode="auto">
                          <a:xfrm>
                            <a:off x="0" y="8540"/>
                            <a:ext cx="12842" cy="6144"/>
                          </a:xfrm>
                          <a:prstGeom prst="roundRect">
                            <a:avLst>
                              <a:gd name="adj" fmla="val 16667"/>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D8C88" w14:textId="77777777" w:rsidR="00E04523" w:rsidRDefault="00E04523" w:rsidP="00E04523">
                              <w:pPr>
                                <w:pStyle w:val="NormalWeb"/>
                                <w:spacing w:before="0"/>
                                <w:jc w:val="center"/>
                              </w:pPr>
                              <w:r>
                                <w:rPr>
                                  <w:rFonts w:ascii="Arial" w:hAnsi="Arial" w:cs="Arial"/>
                                  <w:color w:val="000000" w:themeColor="text1"/>
                                  <w:kern w:val="24"/>
                                  <w:sz w:val="18"/>
                                  <w:szCs w:val="18"/>
                                </w:rPr>
                                <w:t>Is it a temporary expectation of the timing of settlement?</w:t>
                              </w:r>
                            </w:p>
                          </w:txbxContent>
                        </wps:txbx>
                        <wps:bodyPr rot="0" vert="horz" wrap="square" lIns="36000" tIns="36000" rIns="36000" bIns="36000" anchor="ctr" anchorCtr="0" upright="1">
                          <a:noAutofit/>
                        </wps:bodyPr>
                      </wps:wsp>
                      <wps:wsp>
                        <wps:cNvPr id="381103080" name="Freeform 20"/>
                        <wps:cNvSpPr>
                          <a:spLocks/>
                        </wps:cNvSpPr>
                        <wps:spPr bwMode="auto">
                          <a:xfrm>
                            <a:off x="4524" y="17573"/>
                            <a:ext cx="3794" cy="2096"/>
                          </a:xfrm>
                          <a:prstGeom prst="roundRect">
                            <a:avLst>
                              <a:gd name="adj" fmla="val 16667"/>
                            </a:avLst>
                          </a:prstGeom>
                          <a:solidFill>
                            <a:srgbClr val="376092"/>
                          </a:solidFill>
                          <a:ln w="0">
                            <a:solidFill>
                              <a:srgbClr val="000000"/>
                            </a:solidFill>
                            <a:round/>
                            <a:headEnd/>
                            <a:tailEnd/>
                          </a:ln>
                        </wps:spPr>
                        <wps:txbx>
                          <w:txbxContent>
                            <w:p w14:paraId="45F501BE"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wps:txbx>
                        <wps:bodyPr rot="0" vert="horz" wrap="square" lIns="36000" tIns="36000" rIns="36000" bIns="36000" anchor="ctr" anchorCtr="0" upright="1">
                          <a:noAutofit/>
                        </wps:bodyPr>
                      </wps:wsp>
                      <wps:wsp>
                        <wps:cNvPr id="91365535" name="Rectangle 16"/>
                        <wps:cNvSpPr>
                          <a:spLocks noChangeArrowheads="1"/>
                        </wps:cNvSpPr>
                        <wps:spPr bwMode="auto">
                          <a:xfrm>
                            <a:off x="0" y="22740"/>
                            <a:ext cx="12842" cy="6144"/>
                          </a:xfrm>
                          <a:prstGeom prst="roundRect">
                            <a:avLst>
                              <a:gd name="adj" fmla="val 16667"/>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0A2AC" w14:textId="77777777" w:rsidR="00E04523" w:rsidRDefault="00E04523" w:rsidP="00E04523">
                              <w:pPr>
                                <w:pStyle w:val="NormalWeb"/>
                                <w:spacing w:before="0"/>
                                <w:jc w:val="center"/>
                              </w:pPr>
                              <w:r>
                                <w:rPr>
                                  <w:rFonts w:ascii="Arial" w:hAnsi="Arial" w:cs="Arial"/>
                                  <w:color w:val="000000" w:themeColor="text1"/>
                                  <w:kern w:val="24"/>
                                  <w:sz w:val="18"/>
                                  <w:szCs w:val="18"/>
                                </w:rPr>
                                <w:t>More likely to be classified as long-term employee benefits</w:t>
                              </w:r>
                            </w:p>
                          </w:txbxContent>
                        </wps:txbx>
                        <wps:bodyPr rot="0" vert="horz" wrap="square" lIns="36000" tIns="0" rIns="36000" bIns="0" anchor="ctr" anchorCtr="0" upright="1">
                          <a:noAutofit/>
                        </wps:bodyPr>
                      </wps:wsp>
                      <wps:wsp>
                        <wps:cNvPr id="2061923544" name="Rectangle 16"/>
                        <wps:cNvSpPr>
                          <a:spLocks noChangeArrowheads="1"/>
                        </wps:cNvSpPr>
                        <wps:spPr bwMode="auto">
                          <a:xfrm>
                            <a:off x="0" y="31440"/>
                            <a:ext cx="12842" cy="6143"/>
                          </a:xfrm>
                          <a:prstGeom prst="roundRect">
                            <a:avLst>
                              <a:gd name="adj" fmla="val 16667"/>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D99B8" w14:textId="77777777" w:rsidR="00E04523" w:rsidRDefault="00E04523" w:rsidP="00E04523">
                              <w:pPr>
                                <w:pStyle w:val="NormalWeb"/>
                                <w:spacing w:before="0"/>
                                <w:jc w:val="center"/>
                              </w:pPr>
                              <w:r>
                                <w:rPr>
                                  <w:rFonts w:ascii="Arial" w:hAnsi="Arial" w:cs="Arial"/>
                                  <w:color w:val="000000" w:themeColor="text1"/>
                                  <w:kern w:val="24"/>
                                  <w:sz w:val="18"/>
                                  <w:szCs w:val="18"/>
                                </w:rPr>
                                <w:t>Discounting to present value</w:t>
                              </w:r>
                            </w:p>
                          </w:txbxContent>
                        </wps:txbx>
                        <wps:bodyPr rot="0" vert="horz" wrap="square" lIns="36000" tIns="36000" rIns="36000" bIns="36000" anchor="ctr" anchorCtr="0" upright="1">
                          <a:noAutofit/>
                        </wps:bodyPr>
                      </wps:wsp>
                      <wps:wsp>
                        <wps:cNvPr id="238162503" name="Rectangle 16"/>
                        <wps:cNvSpPr>
                          <a:spLocks noChangeArrowheads="1"/>
                        </wps:cNvSpPr>
                        <wps:spPr bwMode="auto">
                          <a:xfrm>
                            <a:off x="11493" y="0"/>
                            <a:ext cx="12843" cy="6858"/>
                          </a:xfrm>
                          <a:prstGeom prst="roundRect">
                            <a:avLst>
                              <a:gd name="adj" fmla="val 16667"/>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EFDA4"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wps:txbx>
                        <wps:bodyPr rot="0" vert="horz" wrap="square" lIns="36000" tIns="36000" rIns="36000" bIns="36000" anchor="ctr" anchorCtr="0" upright="1">
                          <a:noAutofit/>
                        </wps:bodyPr>
                      </wps:wsp>
                      <wps:wsp>
                        <wps:cNvPr id="1444756716" name="Rectangle 16"/>
                        <wps:cNvSpPr>
                          <a:spLocks noChangeArrowheads="1"/>
                        </wps:cNvSpPr>
                        <wps:spPr bwMode="auto">
                          <a:xfrm>
                            <a:off x="22685" y="22590"/>
                            <a:ext cx="12843" cy="6143"/>
                          </a:xfrm>
                          <a:prstGeom prst="roundRect">
                            <a:avLst>
                              <a:gd name="adj" fmla="val 16667"/>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52F3A"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employee benefits</w:t>
                              </w:r>
                            </w:p>
                          </w:txbxContent>
                        </wps:txbx>
                        <wps:bodyPr rot="0" vert="horz" wrap="square" lIns="36000" tIns="36000" rIns="36000" bIns="36000" anchor="ctr" anchorCtr="0" upright="1">
                          <a:noAutofit/>
                        </wps:bodyPr>
                      </wps:wsp>
                      <wps:wsp>
                        <wps:cNvPr id="350022463" name="Rectangle 16"/>
                        <wps:cNvSpPr>
                          <a:spLocks noChangeArrowheads="1"/>
                        </wps:cNvSpPr>
                        <wps:spPr bwMode="auto">
                          <a:xfrm>
                            <a:off x="22685" y="31226"/>
                            <a:ext cx="12843" cy="6143"/>
                          </a:xfrm>
                          <a:prstGeom prst="roundRect">
                            <a:avLst>
                              <a:gd name="adj" fmla="val 16667"/>
                            </a:avLst>
                          </a:prstGeom>
                          <a:solidFill>
                            <a:srgbClr val="DCE6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1BC2E"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wps:txbx>
                        <wps:bodyPr rot="0" vert="horz" wrap="square" lIns="36000" tIns="36000" rIns="36000" bIns="36000" anchor="ctr" anchorCtr="0" upright="1">
                          <a:noAutofit/>
                        </wps:bodyPr>
                      </wps:wsp>
                      <wps:wsp>
                        <wps:cNvPr id="275699705" name="Straight Arrow Connector 531"/>
                        <wps:cNvCnPr>
                          <a:cxnSpLocks/>
                        </wps:cNvCnPr>
                        <wps:spPr bwMode="auto">
                          <a:xfrm>
                            <a:off x="29106" y="28733"/>
                            <a:ext cx="0" cy="2493"/>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988024914" name="Freeform 20"/>
                        <wps:cNvSpPr>
                          <a:spLocks/>
                        </wps:cNvSpPr>
                        <wps:spPr bwMode="auto">
                          <a:xfrm>
                            <a:off x="4524" y="2381"/>
                            <a:ext cx="3794" cy="2095"/>
                          </a:xfrm>
                          <a:prstGeom prst="roundRect">
                            <a:avLst>
                              <a:gd name="adj" fmla="val 16667"/>
                            </a:avLst>
                          </a:prstGeom>
                          <a:solidFill>
                            <a:srgbClr val="376092"/>
                          </a:solidFill>
                          <a:ln w="0">
                            <a:solidFill>
                              <a:srgbClr val="000000"/>
                            </a:solidFill>
                            <a:round/>
                            <a:headEnd/>
                            <a:tailEnd/>
                          </a:ln>
                        </wps:spPr>
                        <wps:txbx>
                          <w:txbxContent>
                            <w:p w14:paraId="6F1D1111"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wps:txbx>
                        <wps:bodyPr rot="0" vert="horz" wrap="square" lIns="36000" tIns="36000" rIns="36000" bIns="36000" anchor="ctr" anchorCtr="0" upright="1">
                          <a:noAutofit/>
                        </wps:bodyPr>
                      </wps:wsp>
                      <wps:wsp>
                        <wps:cNvPr id="341109113" name="Freeform 20"/>
                        <wps:cNvSpPr>
                          <a:spLocks/>
                        </wps:cNvSpPr>
                        <wps:spPr bwMode="auto">
                          <a:xfrm>
                            <a:off x="27209" y="2381"/>
                            <a:ext cx="3794" cy="2095"/>
                          </a:xfrm>
                          <a:prstGeom prst="roundRect">
                            <a:avLst>
                              <a:gd name="adj" fmla="val 16667"/>
                            </a:avLst>
                          </a:prstGeom>
                          <a:solidFill>
                            <a:srgbClr val="376092"/>
                          </a:solidFill>
                          <a:ln w="0">
                            <a:solidFill>
                              <a:srgbClr val="000000"/>
                            </a:solidFill>
                            <a:round/>
                            <a:headEnd/>
                            <a:tailEnd/>
                          </a:ln>
                        </wps:spPr>
                        <wps:txbx>
                          <w:txbxContent>
                            <w:p w14:paraId="4924A9A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wps:txbx>
                        <wps:bodyPr rot="0" vert="horz" wrap="square" lIns="36000" tIns="36000" rIns="36000" bIns="36000" anchor="ctr" anchorCtr="0" upright="1">
                          <a:noAutofit/>
                        </wps:bodyPr>
                      </wps:wsp>
                      <wps:wsp>
                        <wps:cNvPr id="2129311772" name="Freeform 20"/>
                        <wps:cNvSpPr>
                          <a:spLocks/>
                        </wps:cNvSpPr>
                        <wps:spPr bwMode="auto">
                          <a:xfrm>
                            <a:off x="22685" y="17573"/>
                            <a:ext cx="3794" cy="2096"/>
                          </a:xfrm>
                          <a:prstGeom prst="roundRect">
                            <a:avLst>
                              <a:gd name="adj" fmla="val 16667"/>
                            </a:avLst>
                          </a:prstGeom>
                          <a:solidFill>
                            <a:srgbClr val="376092"/>
                          </a:solidFill>
                          <a:ln w="0">
                            <a:solidFill>
                              <a:srgbClr val="000000"/>
                            </a:solidFill>
                            <a:round/>
                            <a:headEnd/>
                            <a:tailEnd/>
                          </a:ln>
                        </wps:spPr>
                        <wps:txbx>
                          <w:txbxContent>
                            <w:p w14:paraId="1E8CEB2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wps:txbx>
                        <wps:bodyPr rot="0" vert="horz" wrap="square" lIns="36000" tIns="36000" rIns="36000" bIns="36000" anchor="ctr" anchorCtr="0" upright="1">
                          <a:noAutofit/>
                        </wps:bodyPr>
                      </wps:wsp>
                      <wps:wsp>
                        <wps:cNvPr id="931444112" name="Straight Arrow Connector 542"/>
                        <wps:cNvCnPr>
                          <a:cxnSpLocks/>
                        </wps:cNvCnPr>
                        <wps:spPr bwMode="auto">
                          <a:xfrm>
                            <a:off x="29106" y="4476"/>
                            <a:ext cx="0" cy="18114"/>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1822011782" name="Straight Arrow Connector 543"/>
                        <wps:cNvCnPr>
                          <a:cxnSpLocks/>
                        </wps:cNvCnPr>
                        <wps:spPr bwMode="auto">
                          <a:xfrm>
                            <a:off x="6421" y="28884"/>
                            <a:ext cx="0" cy="2556"/>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1610770579" name="Straight Arrow Connector 288"/>
                        <wps:cNvCnPr>
                          <a:cxnSpLocks/>
                        </wps:cNvCnPr>
                        <wps:spPr bwMode="auto">
                          <a:xfrm flipH="1">
                            <a:off x="6421" y="19669"/>
                            <a:ext cx="0" cy="3071"/>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1584452896" name="Straight Arrow Connector 290"/>
                        <wps:cNvCnPr>
                          <a:cxnSpLocks/>
                        </wps:cNvCnPr>
                        <wps:spPr bwMode="auto">
                          <a:xfrm>
                            <a:off x="6421" y="14684"/>
                            <a:ext cx="0" cy="2889"/>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157407639" name="Straight Arrow Connector 291"/>
                        <wps:cNvCnPr>
                          <a:cxnSpLocks/>
                        </wps:cNvCnPr>
                        <wps:spPr bwMode="auto">
                          <a:xfrm flipH="1">
                            <a:off x="6421" y="4476"/>
                            <a:ext cx="0" cy="4064"/>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386925218" name="Straight Arrow Connector 292"/>
                        <wps:cNvCnPr>
                          <a:cxnSpLocks/>
                        </wps:cNvCnPr>
                        <wps:spPr bwMode="auto">
                          <a:xfrm flipH="1">
                            <a:off x="24582" y="19669"/>
                            <a:ext cx="0" cy="3071"/>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844930853" name="Straight Arrow Connector 87"/>
                        <wps:cNvCnPr>
                          <a:cxnSpLocks/>
                        </wps:cNvCnPr>
                        <wps:spPr bwMode="auto">
                          <a:xfrm>
                            <a:off x="12842" y="11612"/>
                            <a:ext cx="11740" cy="5961"/>
                          </a:xfrm>
                          <a:prstGeom prst="bentConnector2">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s:wsp>
                        <wps:cNvPr id="999267654" name="Straight Arrow Connector 294"/>
                        <wps:cNvCnPr>
                          <a:cxnSpLocks/>
                        </wps:cNvCnPr>
                        <wps:spPr bwMode="auto">
                          <a:xfrm>
                            <a:off x="24336" y="3429"/>
                            <a:ext cx="2873" cy="0"/>
                          </a:xfrm>
                          <a:prstGeom prst="straightConnector1">
                            <a:avLst/>
                          </a:prstGeom>
                          <a:noFill/>
                          <a:ln w="22225">
                            <a:solidFill>
                              <a:schemeClr val="accent6">
                                <a:lumMod val="50000"/>
                                <a:lumOff val="0"/>
                              </a:schemeClr>
                            </a:solidFill>
                            <a:miter lim="800000"/>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7539E5A" id="Group 523" o:spid="_x0000_s1026" style="width:279.75pt;height:295.95pt;mso-position-horizontal-relative:char;mso-position-vertical-relative:line" coordsize="35528,3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">
                <v:roundrect id="Rectangle 16" o:spid="_x0000_s1027" style="position:absolute;top:85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" fillcolor="#dce6f2" stroked="f">
                  <v:stroke joinstyle="miter"/>
                  <v:textbox inset="1mm,1mm,1mm,1mm">
                    <w:txbxContent>
                      <w:p w14:paraId="3DAD8C88" w14:textId="77777777" w:rsidR="00E04523" w:rsidRDefault="00E04523" w:rsidP="00E04523">
                        <w:pPr>
                          <w:pStyle w:val="NormalWeb"/>
                          <w:spacing w:before="0"/>
                          <w:jc w:val="center"/>
                        </w:pPr>
                        <w:r>
                          <w:rPr>
                            <w:rFonts w:ascii="Arial" w:hAnsi="Arial" w:cs="Arial"/>
                            <w:color w:val="000000" w:themeColor="text1"/>
                            <w:kern w:val="24"/>
                            <w:sz w:val="18"/>
                            <w:szCs w:val="18"/>
                          </w:rPr>
                          <w:t>Is it a temporary expectation of the timing of settlement?</w:t>
                        </w:r>
                      </w:p>
                    </w:txbxContent>
                  </v:textbox>
                </v:roundrect>
                <v:roundrect id="Freeform 20" o:spid="_x0000_s1028" style="position:absolute;left:4524;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" fillcolor="#376092" strokeweight="0">
                  <v:path arrowok="t"/>
                  <v:textbox inset="1mm,1mm,1mm,1mm">
                    <w:txbxContent>
                      <w:p w14:paraId="45F501BE"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v:textbox>
                </v:roundrect>
                <v:roundrect id="Rectangle 16" o:spid="_x0000_s1029" style="position:absolute;top:22740;width:12842;height:6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" fillcolor="#dce6f2" stroked="f">
                  <v:stroke joinstyle="miter"/>
                  <v:textbox inset="1mm,0,1mm,0">
                    <w:txbxContent>
                      <w:p w14:paraId="6350A2AC" w14:textId="77777777" w:rsidR="00E04523" w:rsidRDefault="00E04523" w:rsidP="00E04523">
                        <w:pPr>
                          <w:pStyle w:val="NormalWeb"/>
                          <w:spacing w:before="0"/>
                          <w:jc w:val="center"/>
                        </w:pPr>
                        <w:r>
                          <w:rPr>
                            <w:rFonts w:ascii="Arial" w:hAnsi="Arial" w:cs="Arial"/>
                            <w:color w:val="000000" w:themeColor="text1"/>
                            <w:kern w:val="24"/>
                            <w:sz w:val="18"/>
                            <w:szCs w:val="18"/>
                          </w:rPr>
                          <w:t>More likely to be classified as long-term employee benefits</w:t>
                        </w:r>
                      </w:p>
                    </w:txbxContent>
                  </v:textbox>
                </v:roundrect>
                <v:roundrect id="Rectangle 16" o:spid="_x0000_s1030" style="position:absolute;top:31440;width:12842;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" fillcolor="#dce6f2" stroked="f">
                  <v:stroke joinstyle="miter"/>
                  <v:textbox inset="1mm,1mm,1mm,1mm">
                    <w:txbxContent>
                      <w:p w14:paraId="277D99B8" w14:textId="77777777" w:rsidR="00E04523" w:rsidRDefault="00E04523" w:rsidP="00E04523">
                        <w:pPr>
                          <w:pStyle w:val="NormalWeb"/>
                          <w:spacing w:before="0"/>
                          <w:jc w:val="center"/>
                        </w:pPr>
                        <w:r>
                          <w:rPr>
                            <w:rFonts w:ascii="Arial" w:hAnsi="Arial" w:cs="Arial"/>
                            <w:color w:val="000000" w:themeColor="text1"/>
                            <w:kern w:val="24"/>
                            <w:sz w:val="18"/>
                            <w:szCs w:val="18"/>
                          </w:rPr>
                          <w:t>Discounting to present value</w:t>
                        </w:r>
                      </w:p>
                    </w:txbxContent>
                  </v:textbox>
                </v:roundrect>
                <v:roundrect id="Rectangle 16" o:spid="_x0000_s1031" style="position:absolute;left:11493;width:12843;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" fillcolor="#dce6f2" stroked="f">
                  <v:stroke joinstyle="miter"/>
                  <v:textbox inset="1mm,1mm,1mm,1mm">
                    <w:txbxContent>
                      <w:p w14:paraId="187EFDA4"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Are the employee benefits expected to be </w:t>
                        </w:r>
                        <w:r>
                          <w:rPr>
                            <w:rFonts w:ascii="Arial" w:hAnsi="Arial" w:cs="Arial"/>
                            <w:b/>
                            <w:bCs/>
                            <w:color w:val="000000" w:themeColor="text1"/>
                            <w:kern w:val="24"/>
                            <w:sz w:val="18"/>
                            <w:szCs w:val="18"/>
                          </w:rPr>
                          <w:t xml:space="preserve">wholly settled </w:t>
                        </w:r>
                        <w:r>
                          <w:rPr>
                            <w:rFonts w:ascii="Arial" w:hAnsi="Arial" w:cs="Arial"/>
                            <w:color w:val="000000" w:themeColor="text1"/>
                            <w:kern w:val="24"/>
                            <w:sz w:val="18"/>
                            <w:szCs w:val="18"/>
                          </w:rPr>
                          <w:t>within 12 months?</w:t>
                        </w:r>
                      </w:p>
                    </w:txbxContent>
                  </v:textbox>
                </v:roundrect>
                <v:roundrect id="Rectangle 16" o:spid="_x0000_s1032" style="position:absolute;left:22685;top:22590;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" fillcolor="#dce6f2" stroked="f">
                  <v:stroke joinstyle="miter"/>
                  <v:textbox inset="1mm,1mm,1mm,1mm">
                    <w:txbxContent>
                      <w:p w14:paraId="5AD52F3A"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Classified as </w:t>
                        </w:r>
                        <w:r>
                          <w:rPr>
                            <w:rFonts w:ascii="Arial" w:hAnsi="Arial" w:cs="Arial"/>
                            <w:color w:val="000000" w:themeColor="text1"/>
                            <w:kern w:val="24"/>
                            <w:sz w:val="18"/>
                            <w:szCs w:val="18"/>
                          </w:rPr>
                          <w:br/>
                          <w:t xml:space="preserve">short-term </w:t>
                        </w:r>
                        <w:r>
                          <w:rPr>
                            <w:rFonts w:ascii="Arial" w:hAnsi="Arial" w:cs="Arial"/>
                            <w:color w:val="000000" w:themeColor="text1"/>
                            <w:kern w:val="24"/>
                            <w:sz w:val="18"/>
                            <w:szCs w:val="18"/>
                          </w:rPr>
                          <w:br/>
                          <w:t>employee benefits</w:t>
                        </w:r>
                      </w:p>
                    </w:txbxContent>
                  </v:textbox>
                </v:roundrect>
                <v:roundrect id="Rectangle 16" o:spid="_x0000_s1033" style="position:absolute;left:22685;top:31226;width:12843;height:6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" fillcolor="#dce6f2" stroked="f">
                  <v:stroke joinstyle="miter"/>
                  <v:textbox inset="1mm,1mm,1mm,1mm">
                    <w:txbxContent>
                      <w:p w14:paraId="3F81BC2E" w14:textId="77777777" w:rsidR="00E04523" w:rsidRDefault="00E04523" w:rsidP="00E04523">
                        <w:pPr>
                          <w:pStyle w:val="NormalWeb"/>
                          <w:spacing w:before="0"/>
                          <w:jc w:val="center"/>
                        </w:pPr>
                        <w:r>
                          <w:rPr>
                            <w:rFonts w:ascii="Arial" w:hAnsi="Arial" w:cs="Arial"/>
                            <w:color w:val="000000" w:themeColor="text1"/>
                            <w:kern w:val="24"/>
                            <w:sz w:val="18"/>
                            <w:szCs w:val="18"/>
                          </w:rPr>
                          <w:t xml:space="preserve">Nominal value with </w:t>
                        </w:r>
                        <w:r>
                          <w:rPr>
                            <w:rFonts w:ascii="Arial" w:hAnsi="Arial" w:cs="Arial"/>
                            <w:color w:val="000000" w:themeColor="text1"/>
                            <w:kern w:val="24"/>
                            <w:sz w:val="18"/>
                            <w:szCs w:val="18"/>
                          </w:rPr>
                          <w:br/>
                          <w:t>no discounting</w:t>
                        </w:r>
                      </w:p>
                    </w:txbxContent>
                  </v:textbox>
                </v:roundrect>
                <v:shape id="Straight Arrow Connector 531" o:spid="_x0000_s1034" type="#_x0000_t32" style="position:absolute;left:29106;top:28733;width:0;height:2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" strokecolor="#375623 [1609]" strokeweight="1.75pt">
                  <v:stroke endarrow="classic" joinstyle="miter"/>
                  <o:lock v:ext="edit" shapetype="f"/>
                </v:shape>
                <v:roundrect id="Freeform 20" o:spid="_x0000_s1035" style="position:absolute;left:4524;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" fillcolor="#376092" strokeweight="0">
                  <v:path arrowok="t"/>
                  <v:textbox inset="1mm,1mm,1mm,1mm">
                    <w:txbxContent>
                      <w:p w14:paraId="6F1D1111" w14:textId="77777777" w:rsidR="00E04523" w:rsidRDefault="00E04523" w:rsidP="00E04523">
                        <w:pPr>
                          <w:pStyle w:val="NormalWeb"/>
                          <w:spacing w:before="0"/>
                          <w:jc w:val="center"/>
                        </w:pPr>
                        <w:r>
                          <w:rPr>
                            <w:rFonts w:ascii="Arial" w:hAnsi="Arial" w:cs="Arial"/>
                            <w:color w:val="FFFFFF" w:themeColor="background1"/>
                            <w:kern w:val="24"/>
                            <w:sz w:val="18"/>
                            <w:szCs w:val="18"/>
                          </w:rPr>
                          <w:t>No</w:t>
                        </w:r>
                      </w:p>
                    </w:txbxContent>
                  </v:textbox>
                </v:roundrect>
                <v:roundrect id="Freeform 20" o:spid="_x0000_s1036" style="position:absolute;left:27209;top:2381;width:3794;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" fillcolor="#376092" strokeweight="0">
                  <v:path arrowok="t"/>
                  <v:textbox inset="1mm,1mm,1mm,1mm">
                    <w:txbxContent>
                      <w:p w14:paraId="4924A9A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v:textbox>
                </v:roundrect>
                <v:roundrect id="Freeform 20" o:spid="_x0000_s1037" style="position:absolute;left:22685;top:17573;width:3794;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" fillcolor="#376092" strokeweight="0">
                  <v:path arrowok="t"/>
                  <v:textbox inset="1mm,1mm,1mm,1mm">
                    <w:txbxContent>
                      <w:p w14:paraId="1E8CEB25" w14:textId="77777777" w:rsidR="00E04523" w:rsidRDefault="00E04523" w:rsidP="00E04523">
                        <w:pPr>
                          <w:pStyle w:val="NormalWeb"/>
                          <w:spacing w:before="0"/>
                          <w:jc w:val="center"/>
                        </w:pPr>
                        <w:r>
                          <w:rPr>
                            <w:rFonts w:ascii="Arial" w:hAnsi="Arial" w:cs="Arial"/>
                            <w:color w:val="FFFFFF" w:themeColor="background1"/>
                            <w:kern w:val="24"/>
                            <w:sz w:val="18"/>
                            <w:szCs w:val="18"/>
                          </w:rPr>
                          <w:t>Yes</w:t>
                        </w:r>
                      </w:p>
                    </w:txbxContent>
                  </v:textbox>
                </v:roundrect>
                <v:shape id="Straight Arrow Connector 542" o:spid="_x0000_s1038" type="#_x0000_t32" style="position:absolute;left:29106;top:4476;width:0;height:18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" strokecolor="#375623 [1609]" strokeweight="1.75pt">
                  <v:stroke endarrow="classic" joinstyle="miter"/>
                  <o:lock v:ext="edit" shapetype="f"/>
                </v:shape>
                <v:shape id="Straight Arrow Connector 543" o:spid="_x0000_s1039" type="#_x0000_t32" style="position:absolute;left:6421;top:28884;width:0;height: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" strokecolor="#375623 [1609]" strokeweight="1.75pt">
                  <v:stroke endarrow="classic" joinstyle="miter"/>
                  <o:lock v:ext="edit" shapetype="f"/>
                </v:shape>
                <v:shape id="Straight Arrow Connector 288" o:spid="_x0000_s1040" type="#_x0000_t32" style="position:absolute;left:6421;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" strokecolor="#375623 [1609]" strokeweight="1.75pt">
                  <v:stroke endarrow="classic" joinstyle="miter"/>
                  <o:lock v:ext="edit" shapetype="f"/>
                </v:shape>
                <v:shape id="Straight Arrow Connector 290" o:spid="_x0000_s1041" type="#_x0000_t32" style="position:absolute;left:6421;top:14684;width:0;height:2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" strokecolor="#375623 [1609]" strokeweight="1.75pt">
                  <v:stroke endarrow="classic" joinstyle="miter"/>
                  <o:lock v:ext="edit" shapetype="f"/>
                </v:shape>
                <v:shape id="Straight Arrow Connector 291" o:spid="_x0000_s1042" type="#_x0000_t32" style="position:absolute;left:6421;top:4476;width:0;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" strokecolor="#375623 [1609]" strokeweight="1.75pt">
                  <v:stroke endarrow="classic" joinstyle="miter"/>
                  <o:lock v:ext="edit" shapetype="f"/>
                </v:shape>
                <v:shape id="Straight Arrow Connector 292" o:spid="_x0000_s1043" type="#_x0000_t32" style="position:absolute;left:24582;top:19669;width:0;height:30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" strokecolor="#375623 [1609]" strokeweight="1.75pt">
                  <v:stroke endarrow="classic" joinstyle="miter"/>
                  <o:lock v:ext="edit" shapetype="f"/>
                </v:shape>
                <v:shapetype id="_x0000_t33" coordsize="21600,21600" o:spt="33" o:oned="t" path="m,l21600,r,21600e" filled="f">
                  <v:stroke joinstyle="miter"/>
                  <v:path arrowok="t" fillok="f" o:connecttype="none"/>
                  <o:lock v:ext="edit" shapetype="t"/>
                </v:shapetype>
                <v:shape id="Straight Arrow Connector 87" o:spid="_x0000_s1044" type="#_x0000_t33" style="position:absolute;left:12842;top:11612;width:11740;height:596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" strokecolor="#375623 [1609]" strokeweight="1.75pt">
                  <v:stroke endarrow="classic"/>
                  <o:lock v:ext="edit" shapetype="f"/>
                </v:shape>
                <v:shape id="Straight Arrow Connector 294" o:spid="_x0000_s1045" type="#_x0000_t32" style="position:absolute;left:24336;top:3429;width:2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" strokecolor="#375623 [1609]" strokeweight="1.75pt">
                  <v:stroke endarrow="classic" joinstyle="miter"/>
                  <o:lock v:ext="edit" shapetype="f"/>
                </v:shape>
                <w10:anchorlock/>
              </v:group>
            </w:pict>
          </mc:Fallback>
        </mc:AlternateContent>
      </w:r>
    </w:p>
    <w:p w14:paraId="52E711BD" w14:textId="10E51A23" w:rsidR="003719CD" w:rsidRPr="00AA7379" w:rsidRDefault="003719CD" w:rsidP="007D536F">
      <w:pPr>
        <w:jc w:val="center"/>
        <w:rPr>
          <w:rStyle w:val="Guidance"/>
        </w:rPr>
      </w:pPr>
    </w:p>
    <w:p w14:paraId="05A051EF" w14:textId="77777777" w:rsidR="003719CD" w:rsidRPr="00AA7379" w:rsidRDefault="003719CD" w:rsidP="007D536F">
      <w:pPr>
        <w:pStyle w:val="Heading4"/>
        <w:rPr>
          <w:rStyle w:val="Guidance"/>
        </w:rPr>
      </w:pPr>
      <w:r w:rsidRPr="00AA7379">
        <w:rPr>
          <w:rStyle w:val="Guidance"/>
        </w:rPr>
        <w:lastRenderedPageBreak/>
        <w:t>Unit of account</w:t>
      </w:r>
    </w:p>
    <w:p w14:paraId="7274023B" w14:textId="77777777" w:rsidR="003719CD" w:rsidRPr="00AA7379" w:rsidRDefault="003719CD" w:rsidP="00A84AAB">
      <w:pPr>
        <w:keepNext/>
        <w:rPr>
          <w:rStyle w:val="Guidance"/>
        </w:rPr>
      </w:pPr>
      <w:r w:rsidRPr="00AA7379">
        <w:rPr>
          <w:rStyle w:val="Guidance"/>
        </w:rPr>
        <w:t xml:space="preserve">The definition of short-term employee benefits introduces the notion of ‘wholly’. The expectation of the timing of settlement is based on the entity level, not at the individual employee level. </w:t>
      </w:r>
    </w:p>
    <w:p w14:paraId="1B247AA6" w14:textId="79A17110" w:rsidR="00417116" w:rsidRDefault="003719CD" w:rsidP="00417116">
      <w:pPr>
        <w:rPr>
          <w:rStyle w:val="Guidance"/>
        </w:rPr>
      </w:pPr>
      <w:r w:rsidRPr="00AA7379">
        <w:rPr>
          <w:rStyle w:val="Guidance"/>
        </w:rPr>
        <w:t xml:space="preserve">It is unnecessary for departments to obtain detailed information of each employee’s anticipated timing for their </w:t>
      </w:r>
      <w:r w:rsidRPr="00966021">
        <w:rPr>
          <w:rStyle w:val="Guidance"/>
        </w:rPr>
        <w:t>l</w:t>
      </w:r>
      <w:r w:rsidR="00127A32">
        <w:rPr>
          <w:rStyle w:val="Guidance"/>
        </w:rPr>
        <w:t>eave settlement.</w:t>
      </w:r>
      <w:r w:rsidRPr="00966021">
        <w:rPr>
          <w:rStyle w:val="Guidance"/>
        </w:rPr>
        <w:t xml:space="preserve"> </w:t>
      </w:r>
      <w:r w:rsidRPr="00AA7379">
        <w:rPr>
          <w:rStyle w:val="Guidance"/>
        </w:rPr>
        <w:t xml:space="preserve">Entities should form their own reasonable expectations of the timing of employee benefit settlement </w:t>
      </w:r>
      <w:r w:rsidRPr="00966021">
        <w:rPr>
          <w:rStyle w:val="Guidance"/>
        </w:rPr>
        <w:t>as</w:t>
      </w:r>
      <w:r w:rsidRPr="00AA7379">
        <w:rPr>
          <w:rStyle w:val="Guidance"/>
        </w:rPr>
        <w:t xml:space="preserve"> long as it is not temporary in their own context. Where employee benefits are expected to be wholly </w:t>
      </w:r>
      <w:r w:rsidR="001B172F">
        <w:rPr>
          <w:rStyle w:val="Guidance"/>
        </w:rPr>
        <w:t>settled</w:t>
      </w:r>
      <w:r w:rsidRPr="00966021">
        <w:rPr>
          <w:rStyle w:val="Guidance"/>
        </w:rPr>
        <w:t xml:space="preserve"> </w:t>
      </w:r>
      <w:r w:rsidRPr="00AA7379">
        <w:rPr>
          <w:rStyle w:val="Guidance"/>
        </w:rPr>
        <w:t>within 12 months, they should be classified as ‘short-term employee benefits’ and measured at nominal values without discounting.</w:t>
      </w:r>
      <w:r w:rsidR="00F76D96">
        <w:rPr>
          <w:rStyle w:val="Guidance"/>
        </w:rPr>
        <w:t xml:space="preserve"> </w:t>
      </w:r>
      <w:r w:rsidR="002F305A">
        <w:rPr>
          <w:rStyle w:val="Guidance"/>
        </w:rPr>
        <w:t>Where</w:t>
      </w:r>
      <w:r w:rsidR="00417116" w:rsidRPr="0067024C">
        <w:rPr>
          <w:rStyle w:val="Guidance"/>
        </w:rPr>
        <w:t xml:space="preserve"> employee benefits </w:t>
      </w:r>
      <w:r w:rsidR="005C27B3">
        <w:rPr>
          <w:rStyle w:val="Guidance"/>
        </w:rPr>
        <w:t>are no</w:t>
      </w:r>
      <w:r w:rsidR="001B172F">
        <w:rPr>
          <w:rStyle w:val="Guidance"/>
        </w:rPr>
        <w:t>t</w:t>
      </w:r>
      <w:r w:rsidR="005C27B3">
        <w:rPr>
          <w:rStyle w:val="Guidance"/>
        </w:rPr>
        <w:t xml:space="preserve"> expected to be </w:t>
      </w:r>
      <w:r w:rsidR="00417116" w:rsidRPr="0067024C">
        <w:rPr>
          <w:rStyle w:val="Guidance"/>
        </w:rPr>
        <w:t xml:space="preserve">wholly settled </w:t>
      </w:r>
      <w:r w:rsidR="002F305A">
        <w:rPr>
          <w:rStyle w:val="Guidance"/>
        </w:rPr>
        <w:t>within 12 months</w:t>
      </w:r>
      <w:r w:rsidR="00417116" w:rsidRPr="0067024C">
        <w:rPr>
          <w:rStyle w:val="Guidance"/>
        </w:rPr>
        <w:t>, provisions will need to be measured at present values (on a discounted basis).</w:t>
      </w:r>
    </w:p>
    <w:p w14:paraId="0ECAE7EF" w14:textId="0D0FD6DB" w:rsidR="003719CD" w:rsidRDefault="003719CD" w:rsidP="007D536F">
      <w:pPr>
        <w:rPr>
          <w:rStyle w:val="Guidance"/>
        </w:rPr>
      </w:pPr>
      <w:r w:rsidRPr="00AA7379">
        <w:rPr>
          <w:rStyle w:val="Guidance"/>
        </w:rPr>
        <w:t xml:space="preserve">The Model Report assumes the discounting method is done on an annual basis, and entities are encouraged to adopt similar assumptions to ensure the consistency of departmental reports. Please refer </w:t>
      </w:r>
      <w:r w:rsidRPr="009E5D89">
        <w:rPr>
          <w:rStyle w:val="Guidance"/>
        </w:rPr>
        <w:t xml:space="preserve">to </w:t>
      </w:r>
      <w:hyperlink r:id="rId52" w:history="1">
        <w:r w:rsidRPr="009E5D89">
          <w:rPr>
            <w:rStyle w:val="Hyperlink"/>
            <w:i/>
          </w:rPr>
          <w:t>Annual leav</w:t>
        </w:r>
        <w:bookmarkStart w:id="32" w:name="_Hlt178778396"/>
        <w:bookmarkStart w:id="33" w:name="_Hlt178778397"/>
        <w:r w:rsidRPr="009E5D89">
          <w:rPr>
            <w:rStyle w:val="Hyperlink"/>
            <w:i/>
          </w:rPr>
          <w:t>e</w:t>
        </w:r>
        <w:bookmarkEnd w:id="32"/>
        <w:bookmarkEnd w:id="33"/>
        <w:r w:rsidRPr="009E5D89">
          <w:rPr>
            <w:rStyle w:val="Hyperlink"/>
            <w:i/>
          </w:rPr>
          <w:t xml:space="preserve"> provisions</w:t>
        </w:r>
        <w:r w:rsidRPr="009E5D89">
          <w:rPr>
            <w:rStyle w:val="Hyperlink"/>
          </w:rPr>
          <w:t xml:space="preserve"> on the DTF website</w:t>
        </w:r>
      </w:hyperlink>
      <w:r w:rsidRPr="009E5D89">
        <w:rPr>
          <w:rStyle w:val="Guidance"/>
        </w:rPr>
        <w:t xml:space="preserve"> for further guidance on estimating annual leave provisions under</w:t>
      </w:r>
      <w:r w:rsidRPr="00AA7379">
        <w:rPr>
          <w:rStyle w:val="Guidance"/>
        </w:rPr>
        <w:t xml:space="preserve"> AASB 119.</w:t>
      </w:r>
    </w:p>
    <w:p w14:paraId="5C554407" w14:textId="70E704D1" w:rsidR="00830E01" w:rsidRPr="00AA7379" w:rsidRDefault="00830E01" w:rsidP="007D536F">
      <w:pPr>
        <w:rPr>
          <w:rStyle w:val="Guidance"/>
        </w:rPr>
      </w:pPr>
      <w:r w:rsidRPr="00830E01">
        <w:rPr>
          <w:rStyle w:val="Guidance"/>
        </w:rPr>
        <w:t>When calculating employee provision balances, entities shall consider the relevant salary on-costs. This includes assessing if there ha</w:t>
      </w:r>
      <w:r w:rsidR="008D43CC">
        <w:rPr>
          <w:rStyle w:val="Guidance"/>
        </w:rPr>
        <w:t>ve</w:t>
      </w:r>
      <w:r w:rsidRPr="00830E01">
        <w:rPr>
          <w:rStyle w:val="Guidance"/>
        </w:rPr>
        <w:t xml:space="preserve"> been any changes to these on-costs for the reporting period.</w:t>
      </w:r>
    </w:p>
    <w:p w14:paraId="7183F625" w14:textId="77777777" w:rsidR="003719CD" w:rsidRPr="00AA7379" w:rsidRDefault="003719CD" w:rsidP="007D536F">
      <w:pPr>
        <w:rPr>
          <w:rStyle w:val="Guidance"/>
        </w:rPr>
      </w:pPr>
      <w:r w:rsidRPr="00AA7379">
        <w:rPr>
          <w:rStyle w:val="Guidance"/>
          <w:b/>
          <w:bCs/>
        </w:rPr>
        <w:t>Current/non-current classification of employee benefits</w:t>
      </w:r>
      <w:r w:rsidRPr="00AA7379">
        <w:rPr>
          <w:rStyle w:val="Guidance"/>
        </w:rPr>
        <w:t xml:space="preserve">: All annual leave and unconditional vested LSL are disclosed as current liabilities. </w:t>
      </w:r>
      <w:r w:rsidRPr="00AA7379">
        <w:rPr>
          <w:rStyle w:val="Reference"/>
        </w:rPr>
        <w:t>[AASB 101.69(d)]</w:t>
      </w:r>
    </w:p>
    <w:p w14:paraId="6E86CBAB" w14:textId="4AB93594" w:rsidR="003719CD" w:rsidRPr="00AA7379" w:rsidRDefault="003719CD" w:rsidP="007D536F">
      <w:pPr>
        <w:rPr>
          <w:rStyle w:val="Guidance"/>
        </w:rPr>
      </w:pPr>
      <w:r w:rsidRPr="00AA7379">
        <w:rPr>
          <w:rStyle w:val="Guidance"/>
        </w:rPr>
        <w:t>Conditional LSL (less than s</w:t>
      </w:r>
      <w:r w:rsidR="006B34CB">
        <w:rPr>
          <w:rStyle w:val="Guidance"/>
        </w:rPr>
        <w:t>ix</w:t>
      </w:r>
      <w:r w:rsidRPr="00AA7379">
        <w:rPr>
          <w:rStyle w:val="Guidance"/>
        </w:rPr>
        <w:t xml:space="preserve"> years of continuous service) is disclosed as a non-current liability and measured at present value.</w:t>
      </w:r>
    </w:p>
    <w:p w14:paraId="4440646B" w14:textId="77777777" w:rsidR="003719CD" w:rsidRPr="00AA7379" w:rsidRDefault="003719CD" w:rsidP="007D536F">
      <w:pPr>
        <w:keepNext/>
        <w:rPr>
          <w:rStyle w:val="Guidance"/>
        </w:rPr>
      </w:pPr>
      <w:r w:rsidRPr="00AA7379">
        <w:rPr>
          <w:rStyle w:val="Guidance"/>
        </w:rPr>
        <w:t>In measuring employee benefits, consideration is given to expected future wage and salary levels, experience of employee departures and periods of service. Expected future payments are discounted using a single weighted average discount rate based on market yields of national government bonds in Australia that reflects the estimated timing and amount of benefit payment.</w:t>
      </w:r>
    </w:p>
    <w:p w14:paraId="75593C1A" w14:textId="77777777" w:rsidR="003719CD" w:rsidRDefault="003719CD" w:rsidP="007D536F">
      <w:pPr>
        <w:pStyle w:val="GuidanceEnd"/>
      </w:pPr>
    </w:p>
    <w:p w14:paraId="38822B2A" w14:textId="77777777" w:rsidR="00D70E94" w:rsidRDefault="00D70E94">
      <w:pPr>
        <w:keepLines w:val="0"/>
        <w:rPr>
          <w:rFonts w:asciiTheme="majorHAnsi" w:eastAsiaTheme="majorEastAsia" w:hAnsiTheme="majorHAnsi" w:cstheme="majorBidi"/>
          <w:b/>
          <w:sz w:val="22"/>
          <w:szCs w:val="24"/>
        </w:rPr>
      </w:pPr>
      <w:bookmarkStart w:id="34" w:name="INDEX_DBPObligation"/>
      <w:bookmarkEnd w:id="34"/>
      <w:r>
        <w:br w:type="page"/>
      </w:r>
    </w:p>
    <w:p w14:paraId="7B63AC79" w14:textId="7A415C63" w:rsidR="003719CD" w:rsidRDefault="003719CD" w:rsidP="001B5265">
      <w:pPr>
        <w:pStyle w:val="Heading3numbered"/>
      </w:pPr>
      <w:r>
        <w:lastRenderedPageBreak/>
        <w:t>Superannuation contributions</w:t>
      </w:r>
    </w:p>
    <w:p w14:paraId="39DCA80D" w14:textId="77777777" w:rsidR="003719CD" w:rsidRDefault="003719CD" w:rsidP="00DC39DE">
      <w:r>
        <w:t>Employees of the Department are entitled to receive superannuation benefits and the Department contributes to both defined benefit and defined contribution plans. The defined benefit plan(s) provides benefits based on years of service and final average salary.</w:t>
      </w:r>
    </w:p>
    <w:p w14:paraId="6127CB92"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182709" w14:paraId="3BAC91B3" w14:textId="77777777" w:rsidTr="00F82E8F">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0AC0BBF6" w14:textId="77777777" w:rsidR="00182709" w:rsidRDefault="0044097C">
            <w:pPr>
              <w:keepNext/>
              <w:jc w:val="left"/>
            </w:pPr>
            <w:r>
              <w:rPr>
                <w:color w:val="4472C4"/>
                <w:sz w:val="13"/>
              </w:rPr>
              <w:t>Source reference</w:t>
            </w:r>
          </w:p>
        </w:tc>
        <w:tc>
          <w:tcPr>
            <w:tcW w:w="4832" w:type="dxa"/>
          </w:tcPr>
          <w:p w14:paraId="1EF772F6" w14:textId="77777777" w:rsidR="00182709" w:rsidRDefault="00182709">
            <w:pPr>
              <w:keepNext/>
              <w:jc w:val="left"/>
            </w:pPr>
          </w:p>
        </w:tc>
        <w:tc>
          <w:tcPr>
            <w:tcW w:w="1730" w:type="dxa"/>
            <w:gridSpan w:val="2"/>
          </w:tcPr>
          <w:p w14:paraId="1601F7C4" w14:textId="77777777" w:rsidR="00182709" w:rsidRDefault="0044097C">
            <w:pPr>
              <w:keepNext/>
              <w:jc w:val="center"/>
            </w:pPr>
            <w:r>
              <w:t>Paid contribution for the year</w:t>
            </w:r>
          </w:p>
        </w:tc>
        <w:tc>
          <w:tcPr>
            <w:tcW w:w="1730" w:type="dxa"/>
            <w:gridSpan w:val="2"/>
          </w:tcPr>
          <w:p w14:paraId="648ACB77" w14:textId="77777777" w:rsidR="00182709" w:rsidRDefault="0044097C">
            <w:pPr>
              <w:keepNext/>
              <w:jc w:val="center"/>
            </w:pPr>
            <w:r>
              <w:t>Contribution outstanding at year</w:t>
            </w:r>
            <w:r>
              <w:noBreakHyphen/>
              <w:t>end</w:t>
            </w:r>
          </w:p>
        </w:tc>
      </w:tr>
      <w:tr w:rsidR="00F82E8F" w14:paraId="4934D3E5" w14:textId="77777777" w:rsidTr="00F82E8F">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665E4CC0" w14:textId="77777777" w:rsidR="00F82E8F" w:rsidRDefault="00F82E8F" w:rsidP="00F82E8F">
            <w:pPr>
              <w:keepNext/>
              <w:jc w:val="left"/>
            </w:pPr>
          </w:p>
        </w:tc>
        <w:tc>
          <w:tcPr>
            <w:tcW w:w="4832" w:type="dxa"/>
          </w:tcPr>
          <w:p w14:paraId="4AB361F4" w14:textId="77777777" w:rsidR="00F82E8F" w:rsidRDefault="00F82E8F" w:rsidP="00F82E8F">
            <w:pPr>
              <w:keepNext/>
              <w:jc w:val="left"/>
            </w:pPr>
          </w:p>
        </w:tc>
        <w:tc>
          <w:tcPr>
            <w:tcW w:w="865" w:type="dxa"/>
          </w:tcPr>
          <w:p w14:paraId="5EC19F50" w14:textId="06AA2C35" w:rsidR="00F82E8F" w:rsidRDefault="00F82E8F" w:rsidP="00F82E8F">
            <w:pPr>
              <w:keepNext/>
            </w:pPr>
            <w:r>
              <w:fldChar w:fldCharType="begin"/>
            </w:r>
            <w:r>
              <w:rPr>
                <w:bCs w:val="0"/>
                <w:i w:val="0"/>
              </w:rPr>
              <w:instrText>DOCPROPERTY  YearCurrent \* MERGEFORMAT</w:instrText>
            </w:r>
            <w:r>
              <w:fldChar w:fldCharType="separate"/>
            </w:r>
            <w:r>
              <w:rPr>
                <w:bCs w:val="0"/>
                <w:i w:val="0"/>
              </w:rPr>
              <w:t>20X2</w:t>
            </w:r>
            <w:r>
              <w:fldChar w:fldCharType="end"/>
            </w:r>
          </w:p>
        </w:tc>
        <w:tc>
          <w:tcPr>
            <w:tcW w:w="865" w:type="dxa"/>
          </w:tcPr>
          <w:p w14:paraId="45099974" w14:textId="496E9EA2" w:rsidR="00F82E8F" w:rsidRDefault="00F82E8F" w:rsidP="00F82E8F">
            <w:pPr>
              <w:keepNext/>
            </w:pPr>
            <w:r>
              <w:fldChar w:fldCharType="begin"/>
            </w:r>
            <w:r>
              <w:rPr>
                <w:bCs w:val="0"/>
                <w:i w:val="0"/>
              </w:rPr>
              <w:instrText>DOCPROPERTY  YearPrevious  \* MERGEFORMAT</w:instrText>
            </w:r>
            <w:r>
              <w:fldChar w:fldCharType="separate"/>
            </w:r>
            <w:r>
              <w:rPr>
                <w:bCs w:val="0"/>
                <w:i w:val="0"/>
              </w:rPr>
              <w:t>20X1</w:t>
            </w:r>
            <w:r>
              <w:fldChar w:fldCharType="end"/>
            </w:r>
          </w:p>
        </w:tc>
        <w:tc>
          <w:tcPr>
            <w:tcW w:w="865" w:type="dxa"/>
          </w:tcPr>
          <w:p w14:paraId="1C50C55E" w14:textId="69AD273B" w:rsidR="00F82E8F" w:rsidRDefault="00F82E8F" w:rsidP="00F82E8F">
            <w:pPr>
              <w:keepNext/>
            </w:pPr>
            <w:r>
              <w:fldChar w:fldCharType="begin"/>
            </w:r>
            <w:r>
              <w:rPr>
                <w:bCs w:val="0"/>
                <w:i w:val="0"/>
              </w:rPr>
              <w:instrText>DOCPROPERTY  YearCurrent \* MERGEFORMAT</w:instrText>
            </w:r>
            <w:r>
              <w:fldChar w:fldCharType="separate"/>
            </w:r>
            <w:r>
              <w:rPr>
                <w:bCs w:val="0"/>
                <w:i w:val="0"/>
              </w:rPr>
              <w:t>20X2</w:t>
            </w:r>
            <w:r>
              <w:fldChar w:fldCharType="end"/>
            </w:r>
          </w:p>
        </w:tc>
        <w:tc>
          <w:tcPr>
            <w:tcW w:w="865" w:type="dxa"/>
          </w:tcPr>
          <w:p w14:paraId="61B072E6" w14:textId="14A67C74" w:rsidR="00F82E8F" w:rsidRDefault="00F82E8F" w:rsidP="00F82E8F">
            <w:pPr>
              <w:keepNext/>
            </w:pPr>
            <w:r>
              <w:fldChar w:fldCharType="begin"/>
            </w:r>
            <w:r>
              <w:rPr>
                <w:bCs w:val="0"/>
                <w:i w:val="0"/>
              </w:rPr>
              <w:instrText>DOCPROPERTY  YearPrevious  \* MERGEFORMAT</w:instrText>
            </w:r>
            <w:r>
              <w:fldChar w:fldCharType="separate"/>
            </w:r>
            <w:r>
              <w:rPr>
                <w:bCs w:val="0"/>
                <w:i w:val="0"/>
              </w:rPr>
              <w:t>20X1</w:t>
            </w:r>
            <w:r>
              <w:fldChar w:fldCharType="end"/>
            </w:r>
          </w:p>
        </w:tc>
      </w:tr>
      <w:tr w:rsidR="00182709" w14:paraId="619D998B" w14:textId="77777777" w:rsidTr="00F82E8F">
        <w:tc>
          <w:tcPr>
            <w:tcW w:w="1347" w:type="dxa"/>
          </w:tcPr>
          <w:p w14:paraId="0AB1D914" w14:textId="77777777" w:rsidR="00182709" w:rsidRDefault="00182709">
            <w:pPr>
              <w:jc w:val="left"/>
            </w:pPr>
          </w:p>
        </w:tc>
        <w:tc>
          <w:tcPr>
            <w:tcW w:w="4832" w:type="dxa"/>
          </w:tcPr>
          <w:p w14:paraId="63E1826B" w14:textId="77777777" w:rsidR="00182709" w:rsidRDefault="0044097C">
            <w:pPr>
              <w:jc w:val="left"/>
            </w:pPr>
            <w:r>
              <w:rPr>
                <w:b/>
              </w:rPr>
              <w:t xml:space="preserve">Defined benefit plans </w:t>
            </w:r>
            <w:r>
              <w:rPr>
                <w:b/>
                <w:vertAlign w:val="superscript"/>
              </w:rPr>
              <w:t>(a)</w:t>
            </w:r>
          </w:p>
        </w:tc>
        <w:tc>
          <w:tcPr>
            <w:tcW w:w="865" w:type="dxa"/>
          </w:tcPr>
          <w:p w14:paraId="5D553EE0" w14:textId="77777777" w:rsidR="00182709" w:rsidRDefault="00182709"/>
        </w:tc>
        <w:tc>
          <w:tcPr>
            <w:tcW w:w="865" w:type="dxa"/>
          </w:tcPr>
          <w:p w14:paraId="2A5A08D1" w14:textId="77777777" w:rsidR="00182709" w:rsidRDefault="00182709"/>
        </w:tc>
        <w:tc>
          <w:tcPr>
            <w:tcW w:w="865" w:type="dxa"/>
          </w:tcPr>
          <w:p w14:paraId="5B1113EA" w14:textId="77777777" w:rsidR="00182709" w:rsidRDefault="00182709"/>
        </w:tc>
        <w:tc>
          <w:tcPr>
            <w:tcW w:w="865" w:type="dxa"/>
          </w:tcPr>
          <w:p w14:paraId="3935D79E" w14:textId="77777777" w:rsidR="00182709" w:rsidRDefault="00182709"/>
        </w:tc>
      </w:tr>
      <w:tr w:rsidR="00182709" w14:paraId="67F5CBB2" w14:textId="77777777" w:rsidTr="00F82E8F">
        <w:tc>
          <w:tcPr>
            <w:tcW w:w="1347" w:type="dxa"/>
          </w:tcPr>
          <w:p w14:paraId="76185ED5" w14:textId="77777777" w:rsidR="00182709" w:rsidRDefault="00182709">
            <w:pPr>
              <w:jc w:val="left"/>
            </w:pPr>
          </w:p>
        </w:tc>
        <w:tc>
          <w:tcPr>
            <w:tcW w:w="4832" w:type="dxa"/>
          </w:tcPr>
          <w:p w14:paraId="1FFAFC74" w14:textId="77777777" w:rsidR="00182709" w:rsidRDefault="0044097C">
            <w:pPr>
              <w:jc w:val="left"/>
            </w:pPr>
            <w:r>
              <w:t>State Superannuation Fund</w:t>
            </w:r>
          </w:p>
        </w:tc>
        <w:tc>
          <w:tcPr>
            <w:tcW w:w="865" w:type="dxa"/>
          </w:tcPr>
          <w:p w14:paraId="7AB3B758" w14:textId="77777777" w:rsidR="00182709" w:rsidRDefault="0044097C">
            <w:r>
              <w:t>271</w:t>
            </w:r>
          </w:p>
        </w:tc>
        <w:tc>
          <w:tcPr>
            <w:tcW w:w="865" w:type="dxa"/>
          </w:tcPr>
          <w:p w14:paraId="5B8D9690" w14:textId="77777777" w:rsidR="00182709" w:rsidRDefault="0044097C">
            <w:r>
              <w:t>195</w:t>
            </w:r>
          </w:p>
        </w:tc>
        <w:tc>
          <w:tcPr>
            <w:tcW w:w="865" w:type="dxa"/>
          </w:tcPr>
          <w:p w14:paraId="61D60C38" w14:textId="77777777" w:rsidR="00182709" w:rsidRDefault="0044097C">
            <w:r>
              <w:t>45</w:t>
            </w:r>
          </w:p>
        </w:tc>
        <w:tc>
          <w:tcPr>
            <w:tcW w:w="865" w:type="dxa"/>
          </w:tcPr>
          <w:p w14:paraId="6B9FAE7C" w14:textId="77777777" w:rsidR="00182709" w:rsidRDefault="0044097C">
            <w:r>
              <w:t>33</w:t>
            </w:r>
          </w:p>
        </w:tc>
      </w:tr>
      <w:tr w:rsidR="00182709" w14:paraId="34D23B22" w14:textId="77777777" w:rsidTr="00F82E8F">
        <w:tc>
          <w:tcPr>
            <w:tcW w:w="1347" w:type="dxa"/>
          </w:tcPr>
          <w:p w14:paraId="5B946738" w14:textId="77777777" w:rsidR="00182709" w:rsidRDefault="00182709">
            <w:pPr>
              <w:jc w:val="left"/>
            </w:pPr>
          </w:p>
        </w:tc>
        <w:tc>
          <w:tcPr>
            <w:tcW w:w="4832" w:type="dxa"/>
          </w:tcPr>
          <w:p w14:paraId="6748BD56" w14:textId="77777777" w:rsidR="00182709" w:rsidRDefault="0044097C">
            <w:pPr>
              <w:jc w:val="left"/>
            </w:pPr>
            <w:r>
              <w:t>Other</w:t>
            </w:r>
          </w:p>
        </w:tc>
        <w:tc>
          <w:tcPr>
            <w:tcW w:w="865" w:type="dxa"/>
          </w:tcPr>
          <w:p w14:paraId="6C947EF4" w14:textId="77777777" w:rsidR="00182709" w:rsidRDefault="0044097C">
            <w:r>
              <w:t>113</w:t>
            </w:r>
          </w:p>
        </w:tc>
        <w:tc>
          <w:tcPr>
            <w:tcW w:w="865" w:type="dxa"/>
          </w:tcPr>
          <w:p w14:paraId="17D75A5E" w14:textId="77777777" w:rsidR="00182709" w:rsidRDefault="0044097C">
            <w:r>
              <w:t>81</w:t>
            </w:r>
          </w:p>
        </w:tc>
        <w:tc>
          <w:tcPr>
            <w:tcW w:w="865" w:type="dxa"/>
          </w:tcPr>
          <w:p w14:paraId="3BB28836" w14:textId="77777777" w:rsidR="00182709" w:rsidRDefault="0044097C">
            <w:r>
              <w:t>23</w:t>
            </w:r>
          </w:p>
        </w:tc>
        <w:tc>
          <w:tcPr>
            <w:tcW w:w="865" w:type="dxa"/>
          </w:tcPr>
          <w:p w14:paraId="4B206512" w14:textId="77777777" w:rsidR="00182709" w:rsidRDefault="0044097C">
            <w:r>
              <w:t>16</w:t>
            </w:r>
          </w:p>
        </w:tc>
      </w:tr>
      <w:tr w:rsidR="00182709" w14:paraId="77060899" w14:textId="77777777" w:rsidTr="00F82E8F">
        <w:tc>
          <w:tcPr>
            <w:tcW w:w="1347" w:type="dxa"/>
          </w:tcPr>
          <w:p w14:paraId="003347CB" w14:textId="77777777" w:rsidR="00182709" w:rsidRDefault="0044097C">
            <w:pPr>
              <w:jc w:val="left"/>
            </w:pPr>
            <w:r>
              <w:rPr>
                <w:color w:val="4472C4"/>
                <w:sz w:val="13"/>
              </w:rPr>
              <w:t>AASB 119.53</w:t>
            </w:r>
          </w:p>
        </w:tc>
        <w:tc>
          <w:tcPr>
            <w:tcW w:w="4832" w:type="dxa"/>
          </w:tcPr>
          <w:p w14:paraId="4A55F250" w14:textId="77777777" w:rsidR="00182709" w:rsidRDefault="0044097C">
            <w:pPr>
              <w:jc w:val="left"/>
            </w:pPr>
            <w:r>
              <w:rPr>
                <w:b/>
              </w:rPr>
              <w:t>Defined contribution plans</w:t>
            </w:r>
          </w:p>
        </w:tc>
        <w:tc>
          <w:tcPr>
            <w:tcW w:w="865" w:type="dxa"/>
          </w:tcPr>
          <w:p w14:paraId="5E3DD069" w14:textId="77777777" w:rsidR="00182709" w:rsidRDefault="00182709"/>
        </w:tc>
        <w:tc>
          <w:tcPr>
            <w:tcW w:w="865" w:type="dxa"/>
          </w:tcPr>
          <w:p w14:paraId="04714336" w14:textId="77777777" w:rsidR="00182709" w:rsidRDefault="00182709"/>
        </w:tc>
        <w:tc>
          <w:tcPr>
            <w:tcW w:w="865" w:type="dxa"/>
          </w:tcPr>
          <w:p w14:paraId="082C13C9" w14:textId="77777777" w:rsidR="00182709" w:rsidRDefault="00182709"/>
        </w:tc>
        <w:tc>
          <w:tcPr>
            <w:tcW w:w="865" w:type="dxa"/>
          </w:tcPr>
          <w:p w14:paraId="1DFFBD18" w14:textId="77777777" w:rsidR="00182709" w:rsidRDefault="00182709"/>
        </w:tc>
      </w:tr>
      <w:tr w:rsidR="00182709" w14:paraId="4859EE7F" w14:textId="77777777" w:rsidTr="00F82E8F">
        <w:tc>
          <w:tcPr>
            <w:tcW w:w="1347" w:type="dxa"/>
          </w:tcPr>
          <w:p w14:paraId="3D84CF57" w14:textId="77777777" w:rsidR="00182709" w:rsidRDefault="00182709">
            <w:pPr>
              <w:jc w:val="left"/>
            </w:pPr>
          </w:p>
        </w:tc>
        <w:tc>
          <w:tcPr>
            <w:tcW w:w="4832" w:type="dxa"/>
          </w:tcPr>
          <w:p w14:paraId="2B131CE4" w14:textId="77777777" w:rsidR="00182709" w:rsidRDefault="0044097C">
            <w:pPr>
              <w:jc w:val="left"/>
            </w:pPr>
            <w:r>
              <w:t>VicSuper</w:t>
            </w:r>
          </w:p>
        </w:tc>
        <w:tc>
          <w:tcPr>
            <w:tcW w:w="865" w:type="dxa"/>
          </w:tcPr>
          <w:p w14:paraId="174819F7" w14:textId="77777777" w:rsidR="00182709" w:rsidRDefault="0044097C">
            <w:r>
              <w:t>141</w:t>
            </w:r>
          </w:p>
        </w:tc>
        <w:tc>
          <w:tcPr>
            <w:tcW w:w="865" w:type="dxa"/>
          </w:tcPr>
          <w:p w14:paraId="4418E8FB" w14:textId="77777777" w:rsidR="00182709" w:rsidRDefault="0044097C">
            <w:r>
              <w:t>93</w:t>
            </w:r>
          </w:p>
        </w:tc>
        <w:tc>
          <w:tcPr>
            <w:tcW w:w="865" w:type="dxa"/>
          </w:tcPr>
          <w:p w14:paraId="0AAEAD45" w14:textId="77777777" w:rsidR="00182709" w:rsidRDefault="0044097C">
            <w:r>
              <w:t>24</w:t>
            </w:r>
          </w:p>
        </w:tc>
        <w:tc>
          <w:tcPr>
            <w:tcW w:w="865" w:type="dxa"/>
          </w:tcPr>
          <w:p w14:paraId="6A39D980" w14:textId="77777777" w:rsidR="00182709" w:rsidRDefault="0044097C">
            <w:r>
              <w:t>16</w:t>
            </w:r>
          </w:p>
        </w:tc>
      </w:tr>
      <w:tr w:rsidR="00182709" w14:paraId="35B59807" w14:textId="77777777" w:rsidTr="00F82E8F">
        <w:tc>
          <w:tcPr>
            <w:tcW w:w="1347" w:type="dxa"/>
          </w:tcPr>
          <w:p w14:paraId="3D1F66AA" w14:textId="77777777" w:rsidR="00182709" w:rsidRDefault="00182709">
            <w:pPr>
              <w:jc w:val="left"/>
            </w:pPr>
          </w:p>
        </w:tc>
        <w:tc>
          <w:tcPr>
            <w:tcW w:w="4832" w:type="dxa"/>
            <w:tcBorders>
              <w:bottom w:val="single" w:sz="12" w:space="0" w:color="auto"/>
            </w:tcBorders>
          </w:tcPr>
          <w:p w14:paraId="78B24A24" w14:textId="77777777" w:rsidR="00182709" w:rsidRDefault="0044097C">
            <w:pPr>
              <w:jc w:val="left"/>
            </w:pPr>
            <w:r>
              <w:t>Other</w:t>
            </w:r>
          </w:p>
        </w:tc>
        <w:tc>
          <w:tcPr>
            <w:tcW w:w="865" w:type="dxa"/>
            <w:tcBorders>
              <w:bottom w:val="single" w:sz="12" w:space="0" w:color="auto"/>
            </w:tcBorders>
          </w:tcPr>
          <w:p w14:paraId="6AD344BB" w14:textId="77777777" w:rsidR="00182709" w:rsidRDefault="0044097C">
            <w:r>
              <w:t>59</w:t>
            </w:r>
          </w:p>
        </w:tc>
        <w:tc>
          <w:tcPr>
            <w:tcW w:w="865" w:type="dxa"/>
            <w:tcBorders>
              <w:bottom w:val="single" w:sz="12" w:space="0" w:color="auto"/>
            </w:tcBorders>
          </w:tcPr>
          <w:p w14:paraId="4600AB4D" w14:textId="77777777" w:rsidR="00182709" w:rsidRDefault="0044097C">
            <w:r>
              <w:t>39</w:t>
            </w:r>
          </w:p>
        </w:tc>
        <w:tc>
          <w:tcPr>
            <w:tcW w:w="865" w:type="dxa"/>
            <w:tcBorders>
              <w:bottom w:val="single" w:sz="12" w:space="0" w:color="auto"/>
            </w:tcBorders>
          </w:tcPr>
          <w:p w14:paraId="22B87C12" w14:textId="77777777" w:rsidR="00182709" w:rsidRDefault="0044097C">
            <w:r>
              <w:t>12</w:t>
            </w:r>
          </w:p>
        </w:tc>
        <w:tc>
          <w:tcPr>
            <w:tcW w:w="865" w:type="dxa"/>
            <w:tcBorders>
              <w:bottom w:val="single" w:sz="12" w:space="0" w:color="auto"/>
            </w:tcBorders>
          </w:tcPr>
          <w:p w14:paraId="1A7C82E0" w14:textId="77777777" w:rsidR="00182709" w:rsidRDefault="0044097C">
            <w:r>
              <w:t>8</w:t>
            </w:r>
          </w:p>
        </w:tc>
      </w:tr>
      <w:tr w:rsidR="00671D55" w14:paraId="21140816" w14:textId="77777777" w:rsidTr="00F82E8F">
        <w:tc>
          <w:tcPr>
            <w:tcW w:w="1347" w:type="dxa"/>
            <w:tcBorders>
              <w:bottom w:val="nil"/>
            </w:tcBorders>
          </w:tcPr>
          <w:p w14:paraId="1296176B" w14:textId="77777777" w:rsidR="00182709" w:rsidRDefault="00182709">
            <w:pPr>
              <w:jc w:val="left"/>
            </w:pPr>
          </w:p>
        </w:tc>
        <w:tc>
          <w:tcPr>
            <w:tcW w:w="4832" w:type="dxa"/>
          </w:tcPr>
          <w:p w14:paraId="230D134E" w14:textId="77777777" w:rsidR="00182709" w:rsidRDefault="0044097C">
            <w:pPr>
              <w:jc w:val="left"/>
            </w:pPr>
            <w:r>
              <w:rPr>
                <w:b/>
              </w:rPr>
              <w:t>Total</w:t>
            </w:r>
          </w:p>
        </w:tc>
        <w:tc>
          <w:tcPr>
            <w:tcW w:w="865" w:type="dxa"/>
          </w:tcPr>
          <w:p w14:paraId="47AA49FD" w14:textId="77777777" w:rsidR="00182709" w:rsidRDefault="0044097C">
            <w:r>
              <w:rPr>
                <w:b/>
              </w:rPr>
              <w:t>584</w:t>
            </w:r>
          </w:p>
        </w:tc>
        <w:tc>
          <w:tcPr>
            <w:tcW w:w="865" w:type="dxa"/>
          </w:tcPr>
          <w:p w14:paraId="6AE540A8" w14:textId="77777777" w:rsidR="00182709" w:rsidRDefault="0044097C">
            <w:r>
              <w:rPr>
                <w:b/>
              </w:rPr>
              <w:t>408</w:t>
            </w:r>
          </w:p>
        </w:tc>
        <w:tc>
          <w:tcPr>
            <w:tcW w:w="865" w:type="dxa"/>
          </w:tcPr>
          <w:p w14:paraId="77EE4D63" w14:textId="77777777" w:rsidR="00182709" w:rsidRDefault="0044097C">
            <w:r>
              <w:rPr>
                <w:b/>
              </w:rPr>
              <w:t>104</w:t>
            </w:r>
          </w:p>
        </w:tc>
        <w:tc>
          <w:tcPr>
            <w:tcW w:w="865" w:type="dxa"/>
          </w:tcPr>
          <w:p w14:paraId="0C1BBF96" w14:textId="77777777" w:rsidR="00182709" w:rsidRDefault="0044097C">
            <w:r>
              <w:rPr>
                <w:b/>
              </w:rPr>
              <w:t>73</w:t>
            </w:r>
          </w:p>
        </w:tc>
      </w:tr>
    </w:tbl>
    <w:p w14:paraId="46738CEF" w14:textId="77777777" w:rsidR="003719CD" w:rsidRDefault="003719CD" w:rsidP="007D536F">
      <w:pPr>
        <w:pStyle w:val="Note"/>
      </w:pPr>
      <w:r>
        <w:t>Note:</w:t>
      </w:r>
    </w:p>
    <w:p w14:paraId="52CCC789" w14:textId="2BF1AC95" w:rsidR="00D70E94" w:rsidRPr="00830E01" w:rsidRDefault="003719CD" w:rsidP="00830E01">
      <w:pPr>
        <w:pStyle w:val="Note"/>
      </w:pPr>
      <w:r>
        <w:t>(a)</w:t>
      </w:r>
      <w:r>
        <w:tab/>
        <w:t>The basis for determining the level of contributions is determined by the various actuaries of the defined benefit superannuation plans.</w:t>
      </w:r>
    </w:p>
    <w:p w14:paraId="4A52ABCE" w14:textId="341633C4" w:rsidR="003719CD" w:rsidRDefault="003719CD" w:rsidP="007D536F">
      <w:pPr>
        <w:pStyle w:val="GuidanceBlockHeading"/>
      </w:pPr>
      <w:r>
        <w:t>Guidance – Superannuation</w:t>
      </w:r>
    </w:p>
    <w:p w14:paraId="6095D55A" w14:textId="77777777" w:rsidR="003719CD" w:rsidRPr="00065305" w:rsidRDefault="003719CD" w:rsidP="007D536F">
      <w:pPr>
        <w:rPr>
          <w:rStyle w:val="Guidance"/>
        </w:rPr>
      </w:pPr>
      <w:r w:rsidRPr="00065305">
        <w:rPr>
          <w:rStyle w:val="Guidance"/>
        </w:rPr>
        <w:t xml:space="preserve">Superannuation expenses are reported differently depending on whether employees are members of defined benefit or defined contribution plans. For defined contribution (accumulation) superannuation plans, expenses are the employer contributions paid or payable in respect of employees who are members of the plans during the reporting period. </w:t>
      </w:r>
    </w:p>
    <w:p w14:paraId="6F26BD87" w14:textId="1CB25D7F" w:rsidR="003719CD" w:rsidRPr="00065305" w:rsidRDefault="003719CD" w:rsidP="007D536F">
      <w:pPr>
        <w:rPr>
          <w:rStyle w:val="Guidance"/>
        </w:rPr>
      </w:pPr>
      <w:r w:rsidRPr="00065305">
        <w:rPr>
          <w:rStyle w:val="Guidance"/>
        </w:rPr>
        <w:t xml:space="preserve">Employer superannuation expenses in relation to employees who are members of defined benefit superannuation plans are disclosed as an expense. FRD 112 </w:t>
      </w:r>
      <w:r w:rsidR="00970F95" w:rsidRPr="00994C66">
        <w:rPr>
          <w:rStyle w:val="Guidance"/>
          <w:i/>
          <w:iCs/>
        </w:rPr>
        <w:t>Defined benefit superannuation obligations</w:t>
      </w:r>
      <w:r w:rsidR="00970F95">
        <w:rPr>
          <w:rStyle w:val="Guidance"/>
        </w:rPr>
        <w:t xml:space="preserve"> </w:t>
      </w:r>
      <w:r w:rsidRPr="00065305">
        <w:rPr>
          <w:rStyle w:val="Guidance"/>
        </w:rPr>
        <w:t>requires certain entities, such as the Director of Housing and Victorian Universities, to recognise defined benefit liabilities or surpluses of defined benefit plans (listed in Appendix A of FRD</w:t>
      </w:r>
      <w:r>
        <w:rPr>
          <w:rStyle w:val="Guidance"/>
        </w:rPr>
        <w:t> </w:t>
      </w:r>
      <w:r w:rsidRPr="00065305">
        <w:rPr>
          <w:rStyle w:val="Guidance"/>
        </w:rPr>
        <w:t>112) in accordance with the requirements of AASB 119. All other entities are exempt from the recognition of the defined benefit liability or surplus of the plans. Instead, the entities account for contributions to these plans as if they were defined contribution plans under AASB 119.</w:t>
      </w:r>
    </w:p>
    <w:p w14:paraId="3C41CA19" w14:textId="38D2FAA0" w:rsidR="003719CD" w:rsidRPr="00065305" w:rsidRDefault="003719CD" w:rsidP="007D536F">
      <w:pPr>
        <w:rPr>
          <w:rStyle w:val="Guidance"/>
        </w:rPr>
      </w:pPr>
      <w:r w:rsidRPr="00065305">
        <w:rPr>
          <w:rStyle w:val="Guidance"/>
        </w:rPr>
        <w:t>Where an entity has employees who are members of defined benefit plans not listed in Appendix A of FRD 112, it must recognise any associated defined benefit liability or surplus in accordance with requirements for defined benefit plans under AASB 119.</w:t>
      </w:r>
    </w:p>
    <w:p w14:paraId="42F2E3D8" w14:textId="77777777" w:rsidR="003719CD" w:rsidRPr="00065305" w:rsidRDefault="003719CD" w:rsidP="007D536F">
      <w:pPr>
        <w:rPr>
          <w:rStyle w:val="Guidance"/>
        </w:rPr>
      </w:pPr>
      <w:r w:rsidRPr="00065305">
        <w:rPr>
          <w:rStyle w:val="Guidance"/>
          <w:b/>
          <w:bCs/>
        </w:rPr>
        <w:t>Multi-employer plans</w:t>
      </w:r>
      <w:r w:rsidRPr="00065305">
        <w:rPr>
          <w:rStyle w:val="Guidance"/>
        </w:rPr>
        <w:t xml:space="preserve">: Defined contribution plans (other than state plans) or defined benefit plans that: </w:t>
      </w:r>
    </w:p>
    <w:p w14:paraId="7B1BA93C" w14:textId="10E5A119" w:rsidR="003719CD" w:rsidRPr="00065305" w:rsidRDefault="003719CD" w:rsidP="00310F12">
      <w:pPr>
        <w:pStyle w:val="ListBullet"/>
        <w:rPr>
          <w:rStyle w:val="Guidance"/>
        </w:rPr>
      </w:pPr>
      <w:r w:rsidRPr="00065305">
        <w:rPr>
          <w:rStyle w:val="Guidance"/>
        </w:rPr>
        <w:t>pool the assets of contributed entities that are not under common control</w:t>
      </w:r>
    </w:p>
    <w:p w14:paraId="6F3865D8" w14:textId="77777777" w:rsidR="003719CD" w:rsidRPr="00065305" w:rsidRDefault="003719CD" w:rsidP="00310F12">
      <w:pPr>
        <w:pStyle w:val="ListBullet"/>
        <w:rPr>
          <w:rStyle w:val="Guidance"/>
        </w:rPr>
      </w:pPr>
      <w:r w:rsidRPr="00065305">
        <w:rPr>
          <w:rStyle w:val="Guidance"/>
        </w:rPr>
        <w:t xml:space="preserve">use those assets to provide benefits to employees of more than one entity (without regard to the identity of the entity that employs the employees concerned). </w:t>
      </w:r>
      <w:r w:rsidRPr="00065305">
        <w:rPr>
          <w:rStyle w:val="Reference"/>
        </w:rPr>
        <w:t>[AASB 119.7, 31, 33 34]</w:t>
      </w:r>
    </w:p>
    <w:p w14:paraId="61A803D5" w14:textId="77777777" w:rsidR="003719CD" w:rsidRPr="00065305" w:rsidRDefault="003719CD" w:rsidP="007D536F">
      <w:pPr>
        <w:rPr>
          <w:rStyle w:val="Guidance"/>
        </w:rPr>
      </w:pPr>
      <w:r w:rsidRPr="00065305">
        <w:rPr>
          <w:rStyle w:val="Guidance"/>
        </w:rPr>
        <w:t>Multi-employer plans are distinct from group administration plans and plans that share risks between various entities under common control.</w:t>
      </w:r>
    </w:p>
    <w:p w14:paraId="05A7DFAB" w14:textId="4C1353EA" w:rsidR="003719CD" w:rsidRPr="00065305" w:rsidRDefault="003719CD" w:rsidP="007D536F">
      <w:pPr>
        <w:rPr>
          <w:rStyle w:val="Guidance"/>
        </w:rPr>
      </w:pPr>
      <w:r w:rsidRPr="00065305">
        <w:rPr>
          <w:rStyle w:val="Guidance"/>
          <w:b/>
          <w:bCs/>
        </w:rPr>
        <w:t>Insufficient information</w:t>
      </w:r>
      <w:r w:rsidRPr="00065305">
        <w:rPr>
          <w:rStyle w:val="Guidance"/>
        </w:rPr>
        <w:t xml:space="preserve">: When sufficient information is not available to use defined benefit accounting for a </w:t>
      </w:r>
      <w:r w:rsidR="007A24D3">
        <w:br/>
      </w:r>
      <w:r w:rsidR="007A24D3" w:rsidRPr="00065305">
        <w:rPr>
          <w:rStyle w:val="Guidance"/>
        </w:rPr>
        <w:t>multi-employer</w:t>
      </w:r>
      <w:r w:rsidRPr="00065305">
        <w:rPr>
          <w:rStyle w:val="Guidance"/>
        </w:rPr>
        <w:t xml:space="preserve"> plan that is a defined benefit plan, an entity shall account for the plan as though it were a defined contribution plan and</w:t>
      </w:r>
      <w:r w:rsidR="007A24D3">
        <w:rPr>
          <w:rStyle w:val="Guidance"/>
        </w:rPr>
        <w:t>,</w:t>
      </w:r>
      <w:r w:rsidRPr="00065305">
        <w:rPr>
          <w:rStyle w:val="Guidance"/>
        </w:rPr>
        <w:t xml:space="preserve"> </w:t>
      </w:r>
      <w:r w:rsidR="007A24D3">
        <w:rPr>
          <w:rStyle w:val="Guidance"/>
        </w:rPr>
        <w:t>as such,</w:t>
      </w:r>
      <w:r w:rsidRPr="00065305">
        <w:rPr>
          <w:rStyle w:val="Guidance"/>
        </w:rPr>
        <w:t xml:space="preserve"> disclose:</w:t>
      </w:r>
    </w:p>
    <w:p w14:paraId="143C5C12" w14:textId="1C87143F" w:rsidR="003719CD" w:rsidRPr="00065305" w:rsidRDefault="003719CD" w:rsidP="00310F12">
      <w:pPr>
        <w:pStyle w:val="ListBullet"/>
        <w:rPr>
          <w:rStyle w:val="Guidance"/>
        </w:rPr>
      </w:pPr>
      <w:r w:rsidRPr="00065305">
        <w:rPr>
          <w:rStyle w:val="Guidance"/>
        </w:rPr>
        <w:t xml:space="preserve">the fact that the plan is a defined benefit plan </w:t>
      </w:r>
    </w:p>
    <w:p w14:paraId="1FF13798" w14:textId="16831BAB" w:rsidR="00CC6361" w:rsidRPr="00065305" w:rsidRDefault="003719CD" w:rsidP="00310F12">
      <w:pPr>
        <w:pStyle w:val="ListBullet"/>
        <w:rPr>
          <w:rStyle w:val="Guidance"/>
        </w:rPr>
      </w:pPr>
      <w:r w:rsidRPr="00065305">
        <w:rPr>
          <w:rStyle w:val="Guidance"/>
        </w:rPr>
        <w:t>the reason why sufficient information is not available to enable the entity to account for the plan as a defined benefit plan</w:t>
      </w:r>
    </w:p>
    <w:p w14:paraId="505EB205" w14:textId="77777777" w:rsidR="003719CD" w:rsidRPr="00065305" w:rsidRDefault="003719CD" w:rsidP="00310F12">
      <w:pPr>
        <w:pStyle w:val="ListBullet"/>
        <w:rPr>
          <w:rStyle w:val="Guidance"/>
        </w:rPr>
      </w:pPr>
      <w:r w:rsidRPr="00065305">
        <w:rPr>
          <w:rStyle w:val="Guidance"/>
        </w:rPr>
        <w:t>to the extent that a surplus or deficit in the plan may affect the amount of future contributions:</w:t>
      </w:r>
    </w:p>
    <w:p w14:paraId="5BE05364" w14:textId="3EC933E8" w:rsidR="003719CD" w:rsidRPr="00065305" w:rsidRDefault="003719CD" w:rsidP="00D0008D">
      <w:pPr>
        <w:pStyle w:val="ListBullet2"/>
        <w:rPr>
          <w:rStyle w:val="Guidance"/>
        </w:rPr>
      </w:pPr>
      <w:r w:rsidRPr="00065305">
        <w:rPr>
          <w:rStyle w:val="Guidance"/>
        </w:rPr>
        <w:t>any available information about that surplus or deficit</w:t>
      </w:r>
    </w:p>
    <w:p w14:paraId="47EBFA8B" w14:textId="47D91B61" w:rsidR="003719CD" w:rsidRPr="00065305" w:rsidRDefault="003719CD" w:rsidP="00D0008D">
      <w:pPr>
        <w:pStyle w:val="ListBullet2"/>
        <w:rPr>
          <w:rStyle w:val="Guidance"/>
        </w:rPr>
      </w:pPr>
      <w:r w:rsidRPr="00065305">
        <w:rPr>
          <w:rStyle w:val="Guidance"/>
        </w:rPr>
        <w:t>the basis used to determine that surplus or deficit</w:t>
      </w:r>
    </w:p>
    <w:p w14:paraId="42F790D2" w14:textId="77777777" w:rsidR="003719CD" w:rsidRPr="00065305" w:rsidRDefault="003719CD" w:rsidP="00D0008D">
      <w:pPr>
        <w:pStyle w:val="ListBullet2"/>
        <w:rPr>
          <w:rStyle w:val="Guidance"/>
        </w:rPr>
      </w:pPr>
      <w:r w:rsidRPr="00065305">
        <w:rPr>
          <w:rStyle w:val="Guidance"/>
        </w:rPr>
        <w:t xml:space="preserve">the implications, if any, for the entity. </w:t>
      </w:r>
      <w:r w:rsidRPr="00065305">
        <w:rPr>
          <w:rStyle w:val="Reference"/>
        </w:rPr>
        <w:t>[AASB 119.30]</w:t>
      </w:r>
    </w:p>
    <w:p w14:paraId="2E7B9877" w14:textId="77777777" w:rsidR="003719CD" w:rsidRDefault="003719CD" w:rsidP="007D536F">
      <w:pPr>
        <w:pStyle w:val="GuidanceEnd"/>
      </w:pPr>
    </w:p>
    <w:p w14:paraId="5694CE58" w14:textId="77777777" w:rsidR="003719CD" w:rsidRDefault="003719CD" w:rsidP="001B5265">
      <w:pPr>
        <w:pStyle w:val="Heading2numbered"/>
      </w:pPr>
      <w:bookmarkStart w:id="35" w:name="_Toc130225936"/>
      <w:bookmarkStart w:id="36" w:name="_Toc130288860"/>
      <w:bookmarkStart w:id="37" w:name="_Toc66190573"/>
      <w:r>
        <w:lastRenderedPageBreak/>
        <w:t>Grant expenses</w:t>
      </w:r>
      <w:bookmarkEnd w:id="35"/>
      <w:bookmarkEnd w:id="36"/>
      <w:bookmarkEnd w:id="37"/>
    </w:p>
    <w:p w14:paraId="25BCD9E4"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F82E8F" w14:paraId="6D02CEA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2E7ECB40" w14:textId="77777777" w:rsidR="00F82E8F" w:rsidRDefault="00F82E8F" w:rsidP="00F82E8F">
            <w:pPr>
              <w:keepNext/>
            </w:pPr>
          </w:p>
        </w:tc>
        <w:tc>
          <w:tcPr>
            <w:tcW w:w="907" w:type="dxa"/>
          </w:tcPr>
          <w:p w14:paraId="51481F28" w14:textId="68E4A0EA" w:rsidR="00F82E8F" w:rsidRDefault="00F82E8F" w:rsidP="00F82E8F">
            <w:pPr>
              <w:keepNext/>
              <w:cnfStyle w:val="100000000000" w:firstRow="1" w:lastRow="0" w:firstColumn="0" w:lastColumn="0" w:oddVBand="0" w:evenVBand="0" w:oddHBand="0" w:evenHBand="0" w:firstRowFirstColumn="0" w:firstRowLastColumn="0" w:lastRowFirstColumn="0" w:lastRowLastColumn="0"/>
            </w:pPr>
            <w:r>
              <w:fldChar w:fldCharType="begin"/>
            </w:r>
            <w:r>
              <w:rPr>
                <w:bCs w:val="0"/>
                <w:i w:val="0"/>
              </w:rPr>
              <w:instrText>DOCPROPERTY  YearCurrent \* MERGEFORMAT</w:instrText>
            </w:r>
            <w:r>
              <w:fldChar w:fldCharType="separate"/>
            </w:r>
            <w:r>
              <w:rPr>
                <w:bCs w:val="0"/>
                <w:i w:val="0"/>
              </w:rPr>
              <w:t>20X2</w:t>
            </w:r>
            <w:r>
              <w:fldChar w:fldCharType="end"/>
            </w:r>
          </w:p>
        </w:tc>
        <w:tc>
          <w:tcPr>
            <w:tcW w:w="907" w:type="dxa"/>
          </w:tcPr>
          <w:p w14:paraId="56E01141" w14:textId="238A781A" w:rsidR="00F82E8F" w:rsidRDefault="00F82E8F" w:rsidP="00F82E8F">
            <w:pPr>
              <w:keepNext/>
              <w:cnfStyle w:val="100000000000" w:firstRow="1" w:lastRow="0" w:firstColumn="0" w:lastColumn="0" w:oddVBand="0" w:evenVBand="0" w:oddHBand="0" w:evenHBand="0" w:firstRowFirstColumn="0" w:firstRowLastColumn="0" w:lastRowFirstColumn="0" w:lastRowLastColumn="0"/>
            </w:pPr>
            <w:r>
              <w:fldChar w:fldCharType="begin"/>
            </w:r>
            <w:r>
              <w:rPr>
                <w:bCs w:val="0"/>
                <w:i w:val="0"/>
              </w:rPr>
              <w:instrText>DOCPROPERTY  YearPrevious  \* MERGEFORMAT</w:instrText>
            </w:r>
            <w:r>
              <w:fldChar w:fldCharType="separate"/>
            </w:r>
            <w:r>
              <w:rPr>
                <w:bCs w:val="0"/>
                <w:i w:val="0"/>
              </w:rPr>
              <w:t>20X1</w:t>
            </w:r>
            <w:r>
              <w:fldChar w:fldCharType="end"/>
            </w:r>
          </w:p>
        </w:tc>
      </w:tr>
      <w:tr w:rsidR="008E5233" w14:paraId="47209B5E" w14:textId="77777777">
        <w:tc>
          <w:tcPr>
            <w:cnfStyle w:val="001000000000" w:firstRow="0" w:lastRow="0" w:firstColumn="1" w:lastColumn="0" w:oddVBand="0" w:evenVBand="0" w:oddHBand="0" w:evenHBand="0" w:firstRowFirstColumn="0" w:firstRowLastColumn="0" w:lastRowFirstColumn="0" w:lastRowLastColumn="0"/>
            <w:tcW w:w="7825" w:type="dxa"/>
          </w:tcPr>
          <w:p w14:paraId="1FBE563A" w14:textId="77777777" w:rsidR="008E5233" w:rsidRDefault="005648A9">
            <w:r>
              <w:t>General purpose grants</w:t>
            </w:r>
          </w:p>
        </w:tc>
        <w:tc>
          <w:tcPr>
            <w:tcW w:w="907" w:type="dxa"/>
          </w:tcPr>
          <w:p w14:paraId="63FEB13B" w14:textId="77777777" w:rsidR="008E5233" w:rsidRDefault="005648A9">
            <w:pPr>
              <w:cnfStyle w:val="000000000000" w:firstRow="0" w:lastRow="0" w:firstColumn="0" w:lastColumn="0" w:oddVBand="0" w:evenVBand="0" w:oddHBand="0" w:evenHBand="0" w:firstRowFirstColumn="0" w:firstRowLastColumn="0" w:lastRowFirstColumn="0" w:lastRowLastColumn="0"/>
            </w:pPr>
            <w:r>
              <w:t>19 052</w:t>
            </w:r>
          </w:p>
        </w:tc>
        <w:tc>
          <w:tcPr>
            <w:tcW w:w="907" w:type="dxa"/>
          </w:tcPr>
          <w:p w14:paraId="3CE20D2F" w14:textId="77777777" w:rsidR="008E5233" w:rsidRDefault="005648A9">
            <w:pPr>
              <w:cnfStyle w:val="000000000000" w:firstRow="0" w:lastRow="0" w:firstColumn="0" w:lastColumn="0" w:oddVBand="0" w:evenVBand="0" w:oddHBand="0" w:evenHBand="0" w:firstRowFirstColumn="0" w:firstRowLastColumn="0" w:lastRowFirstColumn="0" w:lastRowLastColumn="0"/>
            </w:pPr>
            <w:r>
              <w:t>29 445</w:t>
            </w:r>
          </w:p>
        </w:tc>
      </w:tr>
      <w:tr w:rsidR="008E5233" w14:paraId="1261C632" w14:textId="77777777">
        <w:tc>
          <w:tcPr>
            <w:cnfStyle w:val="001000000000" w:firstRow="0" w:lastRow="0" w:firstColumn="1" w:lastColumn="0" w:oddVBand="0" w:evenVBand="0" w:oddHBand="0" w:evenHBand="0" w:firstRowFirstColumn="0" w:firstRowLastColumn="0" w:lastRowFirstColumn="0" w:lastRowLastColumn="0"/>
            <w:tcW w:w="7825" w:type="dxa"/>
          </w:tcPr>
          <w:p w14:paraId="48F53014" w14:textId="77777777" w:rsidR="008E5233" w:rsidRDefault="005648A9">
            <w:r>
              <w:t>Specific purpose grants for on‑passing</w:t>
            </w:r>
          </w:p>
        </w:tc>
        <w:tc>
          <w:tcPr>
            <w:tcW w:w="907" w:type="dxa"/>
          </w:tcPr>
          <w:p w14:paraId="01423B52" w14:textId="77777777" w:rsidR="008E5233" w:rsidRDefault="005648A9">
            <w:pPr>
              <w:cnfStyle w:val="000000000000" w:firstRow="0" w:lastRow="0" w:firstColumn="0" w:lastColumn="0" w:oddVBand="0" w:evenVBand="0" w:oddHBand="0" w:evenHBand="0" w:firstRowFirstColumn="0" w:firstRowLastColumn="0" w:lastRowFirstColumn="0" w:lastRowLastColumn="0"/>
            </w:pPr>
            <w:r>
              <w:t>11 688</w:t>
            </w:r>
          </w:p>
        </w:tc>
        <w:tc>
          <w:tcPr>
            <w:tcW w:w="907" w:type="dxa"/>
          </w:tcPr>
          <w:p w14:paraId="64EA7A46" w14:textId="77777777" w:rsidR="008E5233" w:rsidRDefault="005648A9">
            <w:pPr>
              <w:cnfStyle w:val="000000000000" w:firstRow="0" w:lastRow="0" w:firstColumn="0" w:lastColumn="0" w:oddVBand="0" w:evenVBand="0" w:oddHBand="0" w:evenHBand="0" w:firstRowFirstColumn="0" w:firstRowLastColumn="0" w:lastRowFirstColumn="0" w:lastRowLastColumn="0"/>
            </w:pPr>
            <w:r>
              <w:t>12 000</w:t>
            </w:r>
          </w:p>
        </w:tc>
      </w:tr>
      <w:tr w:rsidR="008E5233" w14:paraId="276AEE7D"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BFD2748" w14:textId="77777777" w:rsidR="008E5233" w:rsidRDefault="005648A9">
            <w:r>
              <w:t>Payments for specific purposes</w:t>
            </w:r>
          </w:p>
        </w:tc>
        <w:tc>
          <w:tcPr>
            <w:tcW w:w="907" w:type="dxa"/>
            <w:tcBorders>
              <w:bottom w:val="single" w:sz="12" w:space="0" w:color="auto"/>
            </w:tcBorders>
          </w:tcPr>
          <w:p w14:paraId="49D8DB0F" w14:textId="77777777" w:rsidR="008E5233" w:rsidRDefault="005648A9">
            <w:pPr>
              <w:cnfStyle w:val="000000000000" w:firstRow="0" w:lastRow="0" w:firstColumn="0" w:lastColumn="0" w:oddVBand="0" w:evenVBand="0" w:oddHBand="0" w:evenHBand="0" w:firstRowFirstColumn="0" w:firstRowLastColumn="0" w:lastRowFirstColumn="0" w:lastRowLastColumn="0"/>
            </w:pPr>
            <w:r>
              <w:t>2 144</w:t>
            </w:r>
          </w:p>
        </w:tc>
        <w:tc>
          <w:tcPr>
            <w:tcW w:w="907" w:type="dxa"/>
            <w:tcBorders>
              <w:bottom w:val="single" w:sz="12" w:space="0" w:color="auto"/>
            </w:tcBorders>
          </w:tcPr>
          <w:p w14:paraId="1F58A97D" w14:textId="77777777" w:rsidR="008E5233" w:rsidRDefault="005648A9">
            <w:pPr>
              <w:cnfStyle w:val="000000000000" w:firstRow="0" w:lastRow="0" w:firstColumn="0" w:lastColumn="0" w:oddVBand="0" w:evenVBand="0" w:oddHBand="0" w:evenHBand="0" w:firstRowFirstColumn="0" w:firstRowLastColumn="0" w:lastRowFirstColumn="0" w:lastRowLastColumn="0"/>
            </w:pPr>
            <w:r>
              <w:t>1 595</w:t>
            </w:r>
          </w:p>
        </w:tc>
      </w:tr>
      <w:tr w:rsidR="00671D55" w14:paraId="0D367811"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4C4BEF3A" w14:textId="77777777" w:rsidR="008E5233" w:rsidRDefault="005648A9">
            <w:r>
              <w:rPr>
                <w:b/>
              </w:rPr>
              <w:t>Total grant expenses</w:t>
            </w:r>
          </w:p>
        </w:tc>
        <w:tc>
          <w:tcPr>
            <w:tcW w:w="907" w:type="dxa"/>
          </w:tcPr>
          <w:p w14:paraId="1825584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32 884</w:t>
            </w:r>
          </w:p>
        </w:tc>
        <w:tc>
          <w:tcPr>
            <w:tcW w:w="907" w:type="dxa"/>
          </w:tcPr>
          <w:p w14:paraId="6BB8EF0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43 040</w:t>
            </w:r>
          </w:p>
        </w:tc>
      </w:tr>
    </w:tbl>
    <w:p w14:paraId="3BB6736F" w14:textId="77777777" w:rsidR="003719CD" w:rsidRDefault="003719CD" w:rsidP="00DC39DE">
      <w:r>
        <w:t xml:space="preserve">Grant expenses are contributions of the Department’s resources to another party for specific or general purposes where there is no expectation that the amount will be repaid in equal value (either by money, goods or services). </w:t>
      </w:r>
    </w:p>
    <w:p w14:paraId="61773EF7" w14:textId="77777777" w:rsidR="003719CD" w:rsidRDefault="003719CD" w:rsidP="00DC39DE">
      <w:r>
        <w:t>Grants can either be operating or capital in nature. 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36B77B2C" w14:textId="77777777" w:rsidR="003719CD" w:rsidRDefault="003719CD" w:rsidP="00DC39DE">
      <w:r>
        <w:t xml:space="preserve">Grant expenses are recognised in the reporting period in which they are paid or payable. Grants can take the form of money, assets, goods, services or forgiveness of liabilities. </w:t>
      </w:r>
      <w:r w:rsidRPr="00052843">
        <w:rPr>
          <w:rStyle w:val="Reference"/>
        </w:rPr>
        <w:t>[AASB Framework paragraph 83]</w:t>
      </w:r>
    </w:p>
    <w:p w14:paraId="45C51040" w14:textId="77777777" w:rsidR="00D70E94" w:rsidRDefault="00D70E94">
      <w:pPr>
        <w:keepLines w:val="0"/>
        <w:rPr>
          <w:rFonts w:asciiTheme="majorHAnsi" w:eastAsiaTheme="majorEastAsia" w:hAnsiTheme="majorHAnsi" w:cstheme="majorBidi"/>
          <w:b/>
          <w:sz w:val="26"/>
          <w:szCs w:val="26"/>
        </w:rPr>
      </w:pPr>
      <w:bookmarkStart w:id="38" w:name="_Toc66190575"/>
      <w:r>
        <w:br w:type="page"/>
      </w:r>
    </w:p>
    <w:p w14:paraId="06F14D5F" w14:textId="144B7CB7" w:rsidR="003719CD" w:rsidRPr="008A57A4" w:rsidRDefault="003719CD" w:rsidP="001B5265">
      <w:pPr>
        <w:pStyle w:val="Heading2numbered"/>
      </w:pPr>
      <w:bookmarkStart w:id="39" w:name="_Toc130225937"/>
      <w:bookmarkStart w:id="40" w:name="_Toc130288861"/>
      <w:r w:rsidRPr="008A57A4">
        <w:lastRenderedPageBreak/>
        <w:t>Other operating expenses</w:t>
      </w:r>
      <w:bookmarkEnd w:id="38"/>
      <w:bookmarkEnd w:id="39"/>
      <w:bookmarkEnd w:id="40"/>
      <w:r w:rsidR="00EE47D4">
        <w:t xml:space="preserve"> </w:t>
      </w:r>
      <w:r w:rsidR="00EE47D4">
        <w:rPr>
          <w:rStyle w:val="Guidance"/>
          <w:color w:val="7030A0"/>
        </w:rPr>
        <w:t>[R</w:t>
      </w:r>
      <w:r w:rsidR="00EE47D4" w:rsidRPr="00994C66">
        <w:rPr>
          <w:rStyle w:val="Guidance"/>
          <w:color w:val="7030A0"/>
        </w:rPr>
        <w:t>EVISED]</w:t>
      </w:r>
    </w:p>
    <w:p w14:paraId="7231E371"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6520"/>
        <w:gridCol w:w="693"/>
        <w:gridCol w:w="866"/>
      </w:tblGrid>
      <w:tr w:rsidR="00F82E8F" w14:paraId="39453B5E" w14:textId="77777777" w:rsidTr="00FC003A">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4E70B450" w14:textId="77777777" w:rsidR="00F82E8F" w:rsidRDefault="00F82E8F" w:rsidP="00F82E8F">
            <w:pPr>
              <w:keepNext/>
              <w:jc w:val="left"/>
            </w:pPr>
            <w:r>
              <w:rPr>
                <w:color w:val="4472C4"/>
                <w:sz w:val="13"/>
              </w:rPr>
              <w:t>Source reference</w:t>
            </w:r>
          </w:p>
        </w:tc>
        <w:tc>
          <w:tcPr>
            <w:tcW w:w="6520" w:type="dxa"/>
          </w:tcPr>
          <w:p w14:paraId="54C24730" w14:textId="77777777" w:rsidR="00F82E8F" w:rsidRDefault="00F82E8F" w:rsidP="00F82E8F">
            <w:pPr>
              <w:keepNext/>
              <w:jc w:val="left"/>
            </w:pPr>
          </w:p>
        </w:tc>
        <w:tc>
          <w:tcPr>
            <w:tcW w:w="693" w:type="dxa"/>
          </w:tcPr>
          <w:p w14:paraId="3C31EC62" w14:textId="71489339" w:rsidR="00F82E8F" w:rsidRDefault="00F82E8F" w:rsidP="00F82E8F">
            <w:pPr>
              <w:keepNext/>
            </w:pPr>
            <w:r>
              <w:fldChar w:fldCharType="begin"/>
            </w:r>
            <w:r>
              <w:rPr>
                <w:bCs w:val="0"/>
                <w:i w:val="0"/>
              </w:rPr>
              <w:instrText>DOCPROPERTY  YearCurrent \* MERGEFORMAT</w:instrText>
            </w:r>
            <w:r>
              <w:fldChar w:fldCharType="separate"/>
            </w:r>
            <w:r>
              <w:rPr>
                <w:bCs w:val="0"/>
                <w:i w:val="0"/>
              </w:rPr>
              <w:t>20X2</w:t>
            </w:r>
            <w:r>
              <w:fldChar w:fldCharType="end"/>
            </w:r>
          </w:p>
        </w:tc>
        <w:tc>
          <w:tcPr>
            <w:tcW w:w="866" w:type="dxa"/>
          </w:tcPr>
          <w:p w14:paraId="62462D50" w14:textId="53E258C7" w:rsidR="00F82E8F" w:rsidRDefault="00F82E8F" w:rsidP="00F82E8F">
            <w:pPr>
              <w:keepNext/>
            </w:pPr>
            <w:r>
              <w:fldChar w:fldCharType="begin"/>
            </w:r>
            <w:r>
              <w:rPr>
                <w:bCs w:val="0"/>
                <w:i w:val="0"/>
              </w:rPr>
              <w:instrText>DOCPROPERTY  YearPrevious  \* MERGEFORMAT</w:instrText>
            </w:r>
            <w:r>
              <w:fldChar w:fldCharType="separate"/>
            </w:r>
            <w:r>
              <w:rPr>
                <w:bCs w:val="0"/>
                <w:i w:val="0"/>
              </w:rPr>
              <w:t>20X1</w:t>
            </w:r>
            <w:r>
              <w:fldChar w:fldCharType="end"/>
            </w:r>
          </w:p>
        </w:tc>
      </w:tr>
      <w:tr w:rsidR="00182709" w14:paraId="2CB6EE8C" w14:textId="77777777" w:rsidTr="00FC003A">
        <w:tc>
          <w:tcPr>
            <w:tcW w:w="1560" w:type="dxa"/>
          </w:tcPr>
          <w:p w14:paraId="30034ECE" w14:textId="77777777" w:rsidR="00182709" w:rsidRDefault="0044097C">
            <w:pPr>
              <w:jc w:val="left"/>
            </w:pPr>
            <w:r>
              <w:rPr>
                <w:color w:val="4472C4"/>
                <w:sz w:val="13"/>
              </w:rPr>
              <w:t>AASB 101.97</w:t>
            </w:r>
          </w:p>
        </w:tc>
        <w:tc>
          <w:tcPr>
            <w:tcW w:w="6520" w:type="dxa"/>
          </w:tcPr>
          <w:p w14:paraId="09F2FD85" w14:textId="77777777" w:rsidR="00182709" w:rsidRPr="00DE643D" w:rsidRDefault="0044097C">
            <w:pPr>
              <w:jc w:val="left"/>
              <w:rPr>
                <w:b/>
                <w:bCs/>
              </w:rPr>
            </w:pPr>
            <w:r w:rsidRPr="00DE643D">
              <w:rPr>
                <w:b/>
                <w:bCs/>
              </w:rPr>
              <w:t>Supplies and services</w:t>
            </w:r>
          </w:p>
        </w:tc>
        <w:tc>
          <w:tcPr>
            <w:tcW w:w="693" w:type="dxa"/>
          </w:tcPr>
          <w:p w14:paraId="49F49223" w14:textId="77777777" w:rsidR="00182709" w:rsidRDefault="00182709"/>
        </w:tc>
        <w:tc>
          <w:tcPr>
            <w:tcW w:w="866" w:type="dxa"/>
          </w:tcPr>
          <w:p w14:paraId="469712BE" w14:textId="77777777" w:rsidR="00182709" w:rsidRDefault="00182709"/>
        </w:tc>
      </w:tr>
      <w:tr w:rsidR="00182709" w14:paraId="080DA3AD" w14:textId="77777777" w:rsidTr="00FC003A">
        <w:tc>
          <w:tcPr>
            <w:tcW w:w="1560" w:type="dxa"/>
          </w:tcPr>
          <w:p w14:paraId="00EA3D71" w14:textId="77777777" w:rsidR="00182709" w:rsidRDefault="00182709">
            <w:pPr>
              <w:jc w:val="left"/>
            </w:pPr>
          </w:p>
        </w:tc>
        <w:tc>
          <w:tcPr>
            <w:tcW w:w="6520" w:type="dxa"/>
          </w:tcPr>
          <w:p w14:paraId="3543BD97" w14:textId="77777777" w:rsidR="00182709" w:rsidRPr="00511A83" w:rsidRDefault="0044097C">
            <w:pPr>
              <w:jc w:val="left"/>
            </w:pPr>
            <w:r w:rsidRPr="00511A83">
              <w:t>Purchase of inventories</w:t>
            </w:r>
          </w:p>
        </w:tc>
        <w:tc>
          <w:tcPr>
            <w:tcW w:w="693" w:type="dxa"/>
          </w:tcPr>
          <w:p w14:paraId="02CD23C6" w14:textId="77777777" w:rsidR="00182709" w:rsidRDefault="0044097C">
            <w:r>
              <w:t>2 005</w:t>
            </w:r>
          </w:p>
        </w:tc>
        <w:tc>
          <w:tcPr>
            <w:tcW w:w="866" w:type="dxa"/>
          </w:tcPr>
          <w:p w14:paraId="12E220B6" w14:textId="77777777" w:rsidR="00182709" w:rsidRDefault="0044097C">
            <w:r>
              <w:t>1 334</w:t>
            </w:r>
          </w:p>
        </w:tc>
      </w:tr>
      <w:tr w:rsidR="00182709" w14:paraId="48A9C3FC" w14:textId="77777777" w:rsidTr="00FC003A">
        <w:tc>
          <w:tcPr>
            <w:tcW w:w="1560" w:type="dxa"/>
          </w:tcPr>
          <w:p w14:paraId="0E4CE381" w14:textId="77777777" w:rsidR="00182709" w:rsidRDefault="00182709">
            <w:pPr>
              <w:jc w:val="left"/>
            </w:pPr>
          </w:p>
        </w:tc>
        <w:tc>
          <w:tcPr>
            <w:tcW w:w="6520" w:type="dxa"/>
          </w:tcPr>
          <w:p w14:paraId="36C077CF" w14:textId="77777777" w:rsidR="00182709" w:rsidRPr="00511A83" w:rsidRDefault="0044097C">
            <w:pPr>
              <w:jc w:val="left"/>
            </w:pPr>
            <w:r w:rsidRPr="00511A83">
              <w:t>Purchase of services (including remuneration of auditors)</w:t>
            </w:r>
            <w:r w:rsidRPr="00511A83">
              <w:rPr>
                <w:vertAlign w:val="superscript"/>
              </w:rPr>
              <w:t xml:space="preserve"> (a)</w:t>
            </w:r>
          </w:p>
        </w:tc>
        <w:tc>
          <w:tcPr>
            <w:tcW w:w="693" w:type="dxa"/>
          </w:tcPr>
          <w:p w14:paraId="10C11B47" w14:textId="77777777" w:rsidR="00182709" w:rsidRDefault="0044097C">
            <w:r>
              <w:t>4 135</w:t>
            </w:r>
          </w:p>
        </w:tc>
        <w:tc>
          <w:tcPr>
            <w:tcW w:w="866" w:type="dxa"/>
          </w:tcPr>
          <w:p w14:paraId="5B403122" w14:textId="77777777" w:rsidR="00182709" w:rsidRDefault="0044097C">
            <w:r>
              <w:t>2 776</w:t>
            </w:r>
          </w:p>
        </w:tc>
      </w:tr>
      <w:tr w:rsidR="00182709" w14:paraId="48C8AB61" w14:textId="77777777" w:rsidTr="00FC003A">
        <w:tc>
          <w:tcPr>
            <w:tcW w:w="1560" w:type="dxa"/>
          </w:tcPr>
          <w:p w14:paraId="33D08432" w14:textId="77777777" w:rsidR="00182709" w:rsidRDefault="00182709">
            <w:pPr>
              <w:jc w:val="left"/>
            </w:pPr>
          </w:p>
        </w:tc>
        <w:tc>
          <w:tcPr>
            <w:tcW w:w="6520" w:type="dxa"/>
          </w:tcPr>
          <w:p w14:paraId="616C5059" w14:textId="77777777" w:rsidR="00182709" w:rsidRDefault="0044097C">
            <w:pPr>
              <w:jc w:val="left"/>
            </w:pPr>
            <w:r>
              <w:t>Maintenance</w:t>
            </w:r>
            <w:r>
              <w:rPr>
                <w:vertAlign w:val="superscript"/>
              </w:rPr>
              <w:t xml:space="preserve"> (b)</w:t>
            </w:r>
          </w:p>
        </w:tc>
        <w:tc>
          <w:tcPr>
            <w:tcW w:w="693" w:type="dxa"/>
          </w:tcPr>
          <w:p w14:paraId="13534C8A" w14:textId="77777777" w:rsidR="00182709" w:rsidRDefault="0044097C">
            <w:r>
              <w:t>223</w:t>
            </w:r>
          </w:p>
        </w:tc>
        <w:tc>
          <w:tcPr>
            <w:tcW w:w="866" w:type="dxa"/>
          </w:tcPr>
          <w:p w14:paraId="7DABF450" w14:textId="77777777" w:rsidR="00182709" w:rsidRDefault="0044097C">
            <w:r>
              <w:t>94</w:t>
            </w:r>
          </w:p>
        </w:tc>
      </w:tr>
      <w:tr w:rsidR="00182709" w14:paraId="30EE2811" w14:textId="3EFAE274" w:rsidTr="00FC003A">
        <w:tc>
          <w:tcPr>
            <w:tcW w:w="1560" w:type="dxa"/>
          </w:tcPr>
          <w:p w14:paraId="55638E11" w14:textId="580CA87C" w:rsidR="00182709" w:rsidRDefault="00182709">
            <w:pPr>
              <w:jc w:val="left"/>
            </w:pPr>
          </w:p>
        </w:tc>
        <w:tc>
          <w:tcPr>
            <w:tcW w:w="6520" w:type="dxa"/>
          </w:tcPr>
          <w:p w14:paraId="674DF63E" w14:textId="003EAAC4" w:rsidR="00182709" w:rsidRDefault="0044097C">
            <w:pPr>
              <w:jc w:val="left"/>
            </w:pPr>
            <w:r>
              <w:t>Other borrowing cost (other than interest)</w:t>
            </w:r>
          </w:p>
        </w:tc>
        <w:tc>
          <w:tcPr>
            <w:tcW w:w="693" w:type="dxa"/>
          </w:tcPr>
          <w:p w14:paraId="34ECA116" w14:textId="00A901B8" w:rsidR="00182709" w:rsidRDefault="0044097C">
            <w:r>
              <w:t>307</w:t>
            </w:r>
          </w:p>
        </w:tc>
        <w:tc>
          <w:tcPr>
            <w:tcW w:w="866" w:type="dxa"/>
          </w:tcPr>
          <w:p w14:paraId="74EC866E" w14:textId="7C7C133C" w:rsidR="00182709" w:rsidRDefault="0044097C">
            <w:r>
              <w:t>144</w:t>
            </w:r>
          </w:p>
        </w:tc>
      </w:tr>
      <w:tr w:rsidR="00182709" w14:paraId="7ECD5BDF" w14:textId="77777777" w:rsidTr="00FC003A">
        <w:tc>
          <w:tcPr>
            <w:tcW w:w="1560" w:type="dxa"/>
          </w:tcPr>
          <w:p w14:paraId="3B83E2A0" w14:textId="77777777" w:rsidR="00182709" w:rsidRDefault="00182709">
            <w:pPr>
              <w:jc w:val="left"/>
            </w:pPr>
          </w:p>
        </w:tc>
        <w:tc>
          <w:tcPr>
            <w:tcW w:w="6520" w:type="dxa"/>
          </w:tcPr>
          <w:p w14:paraId="4D99F4C8" w14:textId="77777777" w:rsidR="00182709" w:rsidRPr="00484183" w:rsidRDefault="0044097C">
            <w:pPr>
              <w:jc w:val="left"/>
              <w:rPr>
                <w:b/>
                <w:bCs/>
              </w:rPr>
            </w:pPr>
            <w:r w:rsidRPr="00484183">
              <w:rPr>
                <w:b/>
                <w:bCs/>
              </w:rPr>
              <w:t>Fair value assets and services provided free of charge or for nominal consideration</w:t>
            </w:r>
          </w:p>
        </w:tc>
        <w:tc>
          <w:tcPr>
            <w:tcW w:w="693" w:type="dxa"/>
          </w:tcPr>
          <w:p w14:paraId="265082A3" w14:textId="77777777" w:rsidR="00182709" w:rsidRDefault="00182709"/>
        </w:tc>
        <w:tc>
          <w:tcPr>
            <w:tcW w:w="866" w:type="dxa"/>
          </w:tcPr>
          <w:p w14:paraId="79B062DB" w14:textId="77777777" w:rsidR="00182709" w:rsidRDefault="00182709"/>
        </w:tc>
      </w:tr>
      <w:tr w:rsidR="00182709" w14:paraId="73796BC0" w14:textId="77777777" w:rsidTr="00FC003A">
        <w:tc>
          <w:tcPr>
            <w:tcW w:w="1560" w:type="dxa"/>
          </w:tcPr>
          <w:p w14:paraId="274A8501" w14:textId="77777777" w:rsidR="00182709" w:rsidRDefault="00182709">
            <w:pPr>
              <w:jc w:val="left"/>
            </w:pPr>
          </w:p>
        </w:tc>
        <w:tc>
          <w:tcPr>
            <w:tcW w:w="6520" w:type="dxa"/>
          </w:tcPr>
          <w:p w14:paraId="70DD4F1A" w14:textId="77777777" w:rsidR="00182709" w:rsidRDefault="0044097C">
            <w:pPr>
              <w:jc w:val="left"/>
            </w:pPr>
            <w:r w:rsidRPr="00511A83">
              <w:t>Cash donations and gifts</w:t>
            </w:r>
          </w:p>
        </w:tc>
        <w:tc>
          <w:tcPr>
            <w:tcW w:w="693" w:type="dxa"/>
          </w:tcPr>
          <w:p w14:paraId="75308D2E" w14:textId="77777777" w:rsidR="00182709" w:rsidRDefault="0044097C">
            <w:r>
              <w:t>303</w:t>
            </w:r>
          </w:p>
        </w:tc>
        <w:tc>
          <w:tcPr>
            <w:tcW w:w="866" w:type="dxa"/>
          </w:tcPr>
          <w:p w14:paraId="62A51DE9" w14:textId="77777777" w:rsidR="00182709" w:rsidRDefault="0044097C">
            <w:r>
              <w:t>214</w:t>
            </w:r>
          </w:p>
        </w:tc>
      </w:tr>
      <w:tr w:rsidR="00182709" w14:paraId="47D1F769" w14:textId="77777777" w:rsidTr="00FC003A">
        <w:tc>
          <w:tcPr>
            <w:tcW w:w="1560" w:type="dxa"/>
          </w:tcPr>
          <w:p w14:paraId="1427AB79" w14:textId="77777777" w:rsidR="00182709" w:rsidRDefault="00182709">
            <w:pPr>
              <w:jc w:val="left"/>
            </w:pPr>
          </w:p>
        </w:tc>
        <w:tc>
          <w:tcPr>
            <w:tcW w:w="6520" w:type="dxa"/>
          </w:tcPr>
          <w:p w14:paraId="50EA0B36" w14:textId="77777777" w:rsidR="00182709" w:rsidRPr="00511A83" w:rsidRDefault="0044097C">
            <w:pPr>
              <w:jc w:val="left"/>
            </w:pPr>
            <w:r w:rsidRPr="00511A83">
              <w:t>Land at fair value</w:t>
            </w:r>
          </w:p>
        </w:tc>
        <w:tc>
          <w:tcPr>
            <w:tcW w:w="693" w:type="dxa"/>
          </w:tcPr>
          <w:p w14:paraId="3DBCF0AE" w14:textId="77777777" w:rsidR="00182709" w:rsidRDefault="0044097C">
            <w:r>
              <w:t>142</w:t>
            </w:r>
          </w:p>
        </w:tc>
        <w:tc>
          <w:tcPr>
            <w:tcW w:w="866" w:type="dxa"/>
          </w:tcPr>
          <w:p w14:paraId="146A29CA" w14:textId="77777777" w:rsidR="00182709" w:rsidRDefault="0044097C">
            <w:r>
              <w:t>123</w:t>
            </w:r>
          </w:p>
        </w:tc>
      </w:tr>
      <w:tr w:rsidR="00182709" w14:paraId="115308C7" w14:textId="77777777" w:rsidTr="00FC003A">
        <w:tc>
          <w:tcPr>
            <w:tcW w:w="1560" w:type="dxa"/>
          </w:tcPr>
          <w:p w14:paraId="5D0D467E" w14:textId="77777777" w:rsidR="00182709" w:rsidRDefault="00182709">
            <w:pPr>
              <w:jc w:val="left"/>
            </w:pPr>
          </w:p>
        </w:tc>
        <w:tc>
          <w:tcPr>
            <w:tcW w:w="6520" w:type="dxa"/>
          </w:tcPr>
          <w:p w14:paraId="61563753" w14:textId="77777777" w:rsidR="00182709" w:rsidRDefault="0044097C">
            <w:pPr>
              <w:jc w:val="left"/>
            </w:pPr>
            <w:r>
              <w:t>Plant and equipment at cost</w:t>
            </w:r>
          </w:p>
        </w:tc>
        <w:tc>
          <w:tcPr>
            <w:tcW w:w="693" w:type="dxa"/>
          </w:tcPr>
          <w:p w14:paraId="4395460A" w14:textId="77777777" w:rsidR="00182709" w:rsidRDefault="0044097C">
            <w:r>
              <w:t>110</w:t>
            </w:r>
          </w:p>
        </w:tc>
        <w:tc>
          <w:tcPr>
            <w:tcW w:w="866" w:type="dxa"/>
          </w:tcPr>
          <w:p w14:paraId="50ACD422" w14:textId="77777777" w:rsidR="00182709" w:rsidRDefault="0044097C">
            <w:r>
              <w:t>15</w:t>
            </w:r>
          </w:p>
        </w:tc>
      </w:tr>
      <w:tr w:rsidR="00182709" w14:paraId="3D54AD2A" w14:textId="77777777" w:rsidTr="00FC003A">
        <w:trPr>
          <w:trHeight w:val="56"/>
        </w:trPr>
        <w:tc>
          <w:tcPr>
            <w:tcW w:w="1560" w:type="dxa"/>
          </w:tcPr>
          <w:p w14:paraId="39846767" w14:textId="77777777" w:rsidR="00182709" w:rsidRDefault="00182709">
            <w:pPr>
              <w:jc w:val="left"/>
            </w:pPr>
          </w:p>
        </w:tc>
        <w:tc>
          <w:tcPr>
            <w:tcW w:w="6520" w:type="dxa"/>
          </w:tcPr>
          <w:p w14:paraId="277F9B3C" w14:textId="77777777" w:rsidR="00182709" w:rsidRPr="00511A83" w:rsidRDefault="0044097C">
            <w:pPr>
              <w:jc w:val="left"/>
            </w:pPr>
            <w:r w:rsidRPr="00511A83">
              <w:t>Cultural assets at fair value</w:t>
            </w:r>
          </w:p>
        </w:tc>
        <w:tc>
          <w:tcPr>
            <w:tcW w:w="693" w:type="dxa"/>
          </w:tcPr>
          <w:p w14:paraId="657304D7" w14:textId="77777777" w:rsidR="00182709" w:rsidRDefault="0044097C">
            <w:r>
              <w:t>154</w:t>
            </w:r>
          </w:p>
        </w:tc>
        <w:tc>
          <w:tcPr>
            <w:tcW w:w="866" w:type="dxa"/>
          </w:tcPr>
          <w:p w14:paraId="088DA737" w14:textId="77777777" w:rsidR="00182709" w:rsidRDefault="0044097C">
            <w:r>
              <w:t>..</w:t>
            </w:r>
          </w:p>
        </w:tc>
      </w:tr>
      <w:tr w:rsidR="00182709" w14:paraId="6531019B" w14:textId="77777777" w:rsidTr="00FC003A">
        <w:tc>
          <w:tcPr>
            <w:tcW w:w="1560" w:type="dxa"/>
          </w:tcPr>
          <w:p w14:paraId="74840955" w14:textId="77777777" w:rsidR="00182709" w:rsidRDefault="00182709">
            <w:pPr>
              <w:jc w:val="left"/>
            </w:pPr>
          </w:p>
        </w:tc>
        <w:tc>
          <w:tcPr>
            <w:tcW w:w="6520" w:type="dxa"/>
          </w:tcPr>
          <w:p w14:paraId="0867035C" w14:textId="77777777" w:rsidR="00182709" w:rsidRPr="00511A83" w:rsidRDefault="0044097C">
            <w:pPr>
              <w:jc w:val="left"/>
            </w:pPr>
            <w:r w:rsidRPr="00511A83">
              <w:t>Other assets</w:t>
            </w:r>
          </w:p>
        </w:tc>
        <w:tc>
          <w:tcPr>
            <w:tcW w:w="693" w:type="dxa"/>
          </w:tcPr>
          <w:p w14:paraId="72F88F19" w14:textId="77777777" w:rsidR="00182709" w:rsidRDefault="0044097C">
            <w:r>
              <w:t>57</w:t>
            </w:r>
          </w:p>
        </w:tc>
        <w:tc>
          <w:tcPr>
            <w:tcW w:w="866" w:type="dxa"/>
          </w:tcPr>
          <w:p w14:paraId="4496B881" w14:textId="77777777" w:rsidR="00182709" w:rsidRDefault="0044097C">
            <w:r>
              <w:t>194</w:t>
            </w:r>
          </w:p>
        </w:tc>
      </w:tr>
      <w:tr w:rsidR="00182709" w14:paraId="13D99403" w14:textId="696534AC" w:rsidTr="00FC003A">
        <w:tc>
          <w:tcPr>
            <w:tcW w:w="1560" w:type="dxa"/>
          </w:tcPr>
          <w:p w14:paraId="241781DC" w14:textId="440272BC" w:rsidR="00182709" w:rsidRDefault="0044097C">
            <w:pPr>
              <w:jc w:val="left"/>
            </w:pPr>
            <w:r>
              <w:rPr>
                <w:color w:val="4472C4"/>
                <w:sz w:val="13"/>
              </w:rPr>
              <w:t>AASB 140.75(f)(ii),(iii)</w:t>
            </w:r>
          </w:p>
        </w:tc>
        <w:tc>
          <w:tcPr>
            <w:tcW w:w="6520" w:type="dxa"/>
          </w:tcPr>
          <w:p w14:paraId="34DD93A3" w14:textId="50495387" w:rsidR="00182709" w:rsidRDefault="0044097C">
            <w:pPr>
              <w:jc w:val="left"/>
            </w:pPr>
            <w:r>
              <w:t>Direct operating expenses of investment properties generating rental income</w:t>
            </w:r>
          </w:p>
        </w:tc>
        <w:tc>
          <w:tcPr>
            <w:tcW w:w="693" w:type="dxa"/>
          </w:tcPr>
          <w:p w14:paraId="3375AF54" w14:textId="775D6645" w:rsidR="00182709" w:rsidRDefault="0044097C">
            <w:r>
              <w:t>421</w:t>
            </w:r>
          </w:p>
        </w:tc>
        <w:tc>
          <w:tcPr>
            <w:tcW w:w="866" w:type="dxa"/>
          </w:tcPr>
          <w:p w14:paraId="44D3FE8F" w14:textId="3160CB54" w:rsidR="00182709" w:rsidRDefault="0044097C">
            <w:r>
              <w:t>409</w:t>
            </w:r>
          </w:p>
        </w:tc>
      </w:tr>
      <w:tr w:rsidR="00182709" w14:paraId="24584240" w14:textId="77777777" w:rsidTr="00FC003A">
        <w:tc>
          <w:tcPr>
            <w:tcW w:w="1560" w:type="dxa"/>
          </w:tcPr>
          <w:p w14:paraId="1D0FE553" w14:textId="77777777" w:rsidR="00182709" w:rsidRDefault="00182709">
            <w:pPr>
              <w:jc w:val="left"/>
            </w:pPr>
          </w:p>
        </w:tc>
        <w:tc>
          <w:tcPr>
            <w:tcW w:w="6520" w:type="dxa"/>
          </w:tcPr>
          <w:p w14:paraId="05DD5768" w14:textId="77777777" w:rsidR="00182709" w:rsidRPr="00484183" w:rsidRDefault="0044097C">
            <w:pPr>
              <w:jc w:val="left"/>
              <w:rPr>
                <w:b/>
                <w:bCs/>
              </w:rPr>
            </w:pPr>
            <w:r w:rsidRPr="00484183">
              <w:rPr>
                <w:b/>
                <w:bCs/>
              </w:rPr>
              <w:t>Lease rental expenses</w:t>
            </w:r>
          </w:p>
        </w:tc>
        <w:tc>
          <w:tcPr>
            <w:tcW w:w="693" w:type="dxa"/>
          </w:tcPr>
          <w:p w14:paraId="176ED161" w14:textId="77777777" w:rsidR="00182709" w:rsidRDefault="00182709"/>
        </w:tc>
        <w:tc>
          <w:tcPr>
            <w:tcW w:w="866" w:type="dxa"/>
          </w:tcPr>
          <w:p w14:paraId="11632A3E" w14:textId="77777777" w:rsidR="00182709" w:rsidRDefault="00182709"/>
        </w:tc>
      </w:tr>
      <w:tr w:rsidR="00182709" w14:paraId="4E0B0C33" w14:textId="77777777" w:rsidTr="00FC003A">
        <w:tc>
          <w:tcPr>
            <w:tcW w:w="1560" w:type="dxa"/>
          </w:tcPr>
          <w:p w14:paraId="68F24DCA" w14:textId="77777777" w:rsidR="00182709" w:rsidRDefault="0044097C">
            <w:pPr>
              <w:jc w:val="left"/>
            </w:pPr>
            <w:r>
              <w:rPr>
                <w:color w:val="4472C4"/>
                <w:sz w:val="13"/>
              </w:rPr>
              <w:t>AASB 16.53 (c)</w:t>
            </w:r>
          </w:p>
        </w:tc>
        <w:tc>
          <w:tcPr>
            <w:tcW w:w="6520" w:type="dxa"/>
          </w:tcPr>
          <w:p w14:paraId="329F3598" w14:textId="441419E1" w:rsidR="00182709" w:rsidRDefault="0044097C">
            <w:pPr>
              <w:jc w:val="left"/>
            </w:pPr>
            <w:r w:rsidRPr="2856114A">
              <w:t>Short</w:t>
            </w:r>
            <w:r w:rsidR="00EB2E34">
              <w:t>-</w:t>
            </w:r>
            <w:r w:rsidRPr="2856114A">
              <w:t>term</w:t>
            </w:r>
            <w:r>
              <w:t xml:space="preserve"> lease expenses</w:t>
            </w:r>
          </w:p>
        </w:tc>
        <w:tc>
          <w:tcPr>
            <w:tcW w:w="693" w:type="dxa"/>
          </w:tcPr>
          <w:p w14:paraId="20D7E1AF" w14:textId="77777777" w:rsidR="00182709" w:rsidRDefault="0044097C">
            <w:r>
              <w:t>2 036</w:t>
            </w:r>
          </w:p>
        </w:tc>
        <w:tc>
          <w:tcPr>
            <w:tcW w:w="866" w:type="dxa"/>
          </w:tcPr>
          <w:p w14:paraId="14F9CBC5" w14:textId="77777777" w:rsidR="00182709" w:rsidRDefault="0044097C">
            <w:r>
              <w:t>1 000</w:t>
            </w:r>
          </w:p>
        </w:tc>
      </w:tr>
      <w:tr w:rsidR="00182709" w14:paraId="2199F906" w14:textId="77777777" w:rsidTr="00FC003A">
        <w:tc>
          <w:tcPr>
            <w:tcW w:w="1560" w:type="dxa"/>
          </w:tcPr>
          <w:p w14:paraId="18DFCCE2" w14:textId="77777777" w:rsidR="00182709" w:rsidRDefault="0044097C">
            <w:pPr>
              <w:jc w:val="left"/>
            </w:pPr>
            <w:r>
              <w:rPr>
                <w:color w:val="4472C4"/>
                <w:sz w:val="13"/>
              </w:rPr>
              <w:t>AASB 16.53 (d)</w:t>
            </w:r>
          </w:p>
        </w:tc>
        <w:tc>
          <w:tcPr>
            <w:tcW w:w="6520" w:type="dxa"/>
          </w:tcPr>
          <w:p w14:paraId="5CC3B119" w14:textId="53FC6106" w:rsidR="00182709" w:rsidRDefault="0044097C">
            <w:pPr>
              <w:jc w:val="left"/>
            </w:pPr>
            <w:r w:rsidRPr="2856114A">
              <w:t>Low</w:t>
            </w:r>
            <w:r w:rsidR="00EB2E34">
              <w:t>-</w:t>
            </w:r>
            <w:r w:rsidRPr="2856114A">
              <w:t>Value</w:t>
            </w:r>
            <w:r>
              <w:t xml:space="preserve"> assets</w:t>
            </w:r>
          </w:p>
        </w:tc>
        <w:tc>
          <w:tcPr>
            <w:tcW w:w="693" w:type="dxa"/>
          </w:tcPr>
          <w:p w14:paraId="5A6DF25C" w14:textId="77777777" w:rsidR="00182709" w:rsidRDefault="0044097C">
            <w:r>
              <w:t>1 681</w:t>
            </w:r>
          </w:p>
        </w:tc>
        <w:tc>
          <w:tcPr>
            <w:tcW w:w="866" w:type="dxa"/>
          </w:tcPr>
          <w:p w14:paraId="46F78AF0" w14:textId="77777777" w:rsidR="00182709" w:rsidRDefault="0044097C">
            <w:r>
              <w:t>98</w:t>
            </w:r>
          </w:p>
        </w:tc>
      </w:tr>
      <w:tr w:rsidR="00C515B4" w14:paraId="10D0CFDE" w14:textId="77777777" w:rsidTr="00FC003A">
        <w:tc>
          <w:tcPr>
            <w:tcW w:w="1560" w:type="dxa"/>
          </w:tcPr>
          <w:p w14:paraId="168D7B08" w14:textId="77777777" w:rsidR="00C515B4" w:rsidRDefault="00C515B4"/>
        </w:tc>
        <w:tc>
          <w:tcPr>
            <w:tcW w:w="6520" w:type="dxa"/>
          </w:tcPr>
          <w:p w14:paraId="4CB5B06E" w14:textId="7862B43B" w:rsidR="00C515B4" w:rsidRPr="00484183" w:rsidRDefault="00C515B4" w:rsidP="00484183">
            <w:pPr>
              <w:tabs>
                <w:tab w:val="left" w:pos="313"/>
              </w:tabs>
              <w:jc w:val="left"/>
              <w:rPr>
                <w:b/>
                <w:bCs/>
              </w:rPr>
            </w:pPr>
            <w:r w:rsidRPr="00484183">
              <w:rPr>
                <w:b/>
                <w:bCs/>
              </w:rPr>
              <w:t>Other</w:t>
            </w:r>
            <w:r w:rsidRPr="00484183">
              <w:rPr>
                <w:b/>
                <w:bCs/>
              </w:rPr>
              <w:tab/>
            </w:r>
          </w:p>
        </w:tc>
        <w:tc>
          <w:tcPr>
            <w:tcW w:w="693" w:type="dxa"/>
          </w:tcPr>
          <w:p w14:paraId="713E5396" w14:textId="77777777" w:rsidR="00C515B4" w:rsidRDefault="00C515B4"/>
        </w:tc>
        <w:tc>
          <w:tcPr>
            <w:tcW w:w="866" w:type="dxa"/>
          </w:tcPr>
          <w:p w14:paraId="7F198358" w14:textId="77777777" w:rsidR="00C515B4" w:rsidRDefault="00C515B4"/>
        </w:tc>
      </w:tr>
      <w:tr w:rsidR="00285D4B" w14:paraId="1D11FF14" w14:textId="77777777" w:rsidTr="00FC003A">
        <w:tc>
          <w:tcPr>
            <w:tcW w:w="1560" w:type="dxa"/>
          </w:tcPr>
          <w:p w14:paraId="2AF31ADF" w14:textId="77777777" w:rsidR="00285D4B" w:rsidRDefault="00285D4B" w:rsidP="00285D4B">
            <w:pPr>
              <w:jc w:val="left"/>
            </w:pPr>
          </w:p>
        </w:tc>
        <w:tc>
          <w:tcPr>
            <w:tcW w:w="6520" w:type="dxa"/>
          </w:tcPr>
          <w:p w14:paraId="4B5A9F9F" w14:textId="77777777" w:rsidR="00285D4B" w:rsidRDefault="00285D4B" w:rsidP="00285D4B">
            <w:pPr>
              <w:jc w:val="left"/>
            </w:pPr>
            <w:r>
              <w:t>Bad debts from transactions</w:t>
            </w:r>
          </w:p>
        </w:tc>
        <w:tc>
          <w:tcPr>
            <w:tcW w:w="693" w:type="dxa"/>
          </w:tcPr>
          <w:p w14:paraId="6EAA82F5" w14:textId="77777777" w:rsidR="00285D4B" w:rsidRDefault="00285D4B" w:rsidP="00285D4B">
            <w:r>
              <w:t>75</w:t>
            </w:r>
          </w:p>
        </w:tc>
        <w:tc>
          <w:tcPr>
            <w:tcW w:w="866" w:type="dxa"/>
          </w:tcPr>
          <w:p w14:paraId="1E6ED5EF" w14:textId="77777777" w:rsidR="00285D4B" w:rsidRDefault="00285D4B" w:rsidP="00285D4B">
            <w:r>
              <w:t>50</w:t>
            </w:r>
          </w:p>
        </w:tc>
      </w:tr>
      <w:tr w:rsidR="00285D4B" w14:paraId="1C11B12F" w14:textId="77777777" w:rsidTr="00FC003A">
        <w:tc>
          <w:tcPr>
            <w:tcW w:w="1560" w:type="dxa"/>
          </w:tcPr>
          <w:p w14:paraId="56736028" w14:textId="77777777" w:rsidR="00285D4B" w:rsidRDefault="00285D4B" w:rsidP="00285D4B">
            <w:pPr>
              <w:jc w:val="left"/>
            </w:pPr>
            <w:r>
              <w:rPr>
                <w:color w:val="4472C4"/>
                <w:sz w:val="13"/>
              </w:rPr>
              <w:t>AASB 102.36 (d)</w:t>
            </w:r>
          </w:p>
        </w:tc>
        <w:tc>
          <w:tcPr>
            <w:tcW w:w="6520" w:type="dxa"/>
          </w:tcPr>
          <w:p w14:paraId="233CB9B9" w14:textId="77777777" w:rsidR="00285D4B" w:rsidRDefault="00285D4B" w:rsidP="00285D4B">
            <w:pPr>
              <w:jc w:val="left"/>
            </w:pPr>
            <w:r>
              <w:t>Cost of goods sold/distributed</w:t>
            </w:r>
          </w:p>
        </w:tc>
        <w:tc>
          <w:tcPr>
            <w:tcW w:w="693" w:type="dxa"/>
          </w:tcPr>
          <w:p w14:paraId="6BADA3DA" w14:textId="77777777" w:rsidR="00285D4B" w:rsidRDefault="00285D4B" w:rsidP="00285D4B">
            <w:r>
              <w:t>1 463</w:t>
            </w:r>
          </w:p>
        </w:tc>
        <w:tc>
          <w:tcPr>
            <w:tcW w:w="866" w:type="dxa"/>
          </w:tcPr>
          <w:p w14:paraId="7F73E47E" w14:textId="77777777" w:rsidR="00285D4B" w:rsidRDefault="00285D4B" w:rsidP="00285D4B">
            <w:r>
              <w:t>1 077</w:t>
            </w:r>
          </w:p>
        </w:tc>
      </w:tr>
      <w:tr w:rsidR="00285D4B" w14:paraId="4EEDF696" w14:textId="77777777" w:rsidTr="00FC003A">
        <w:tc>
          <w:tcPr>
            <w:tcW w:w="1560" w:type="dxa"/>
          </w:tcPr>
          <w:p w14:paraId="6DC711D7" w14:textId="77777777" w:rsidR="00285D4B" w:rsidRDefault="00285D4B" w:rsidP="00285D4B">
            <w:pPr>
              <w:jc w:val="left"/>
            </w:pPr>
          </w:p>
        </w:tc>
        <w:tc>
          <w:tcPr>
            <w:tcW w:w="6520" w:type="dxa"/>
          </w:tcPr>
          <w:p w14:paraId="09046709" w14:textId="77777777" w:rsidR="00285D4B" w:rsidRDefault="00285D4B" w:rsidP="00285D4B">
            <w:pPr>
              <w:jc w:val="left"/>
            </w:pPr>
            <w:r w:rsidRPr="00511A83">
              <w:t>Cost of biological assets sold – commercial</w:t>
            </w:r>
          </w:p>
        </w:tc>
        <w:tc>
          <w:tcPr>
            <w:tcW w:w="693" w:type="dxa"/>
          </w:tcPr>
          <w:p w14:paraId="08F1768D" w14:textId="77777777" w:rsidR="00285D4B" w:rsidRDefault="00285D4B" w:rsidP="00285D4B">
            <w:r>
              <w:t>1 290</w:t>
            </w:r>
          </w:p>
        </w:tc>
        <w:tc>
          <w:tcPr>
            <w:tcW w:w="866" w:type="dxa"/>
          </w:tcPr>
          <w:p w14:paraId="325DAE21" w14:textId="77777777" w:rsidR="00285D4B" w:rsidRDefault="00285D4B" w:rsidP="00285D4B">
            <w:r>
              <w:t>..</w:t>
            </w:r>
          </w:p>
        </w:tc>
      </w:tr>
      <w:tr w:rsidR="00285D4B" w14:paraId="5F38224D" w14:textId="77777777" w:rsidTr="00FC003A">
        <w:tc>
          <w:tcPr>
            <w:tcW w:w="1560" w:type="dxa"/>
          </w:tcPr>
          <w:p w14:paraId="1A19C717" w14:textId="77777777" w:rsidR="00285D4B" w:rsidRDefault="00285D4B" w:rsidP="00285D4B">
            <w:pPr>
              <w:jc w:val="left"/>
            </w:pPr>
          </w:p>
        </w:tc>
        <w:tc>
          <w:tcPr>
            <w:tcW w:w="6520" w:type="dxa"/>
          </w:tcPr>
          <w:p w14:paraId="69F774BA" w14:textId="77777777" w:rsidR="00285D4B" w:rsidRDefault="00285D4B" w:rsidP="00285D4B">
            <w:pPr>
              <w:jc w:val="left"/>
            </w:pPr>
            <w:r>
              <w:t>Cost of biological assets sold – livestock</w:t>
            </w:r>
          </w:p>
        </w:tc>
        <w:tc>
          <w:tcPr>
            <w:tcW w:w="693" w:type="dxa"/>
          </w:tcPr>
          <w:p w14:paraId="5545E653" w14:textId="77777777" w:rsidR="00285D4B" w:rsidRDefault="00285D4B" w:rsidP="00285D4B">
            <w:r>
              <w:t>250</w:t>
            </w:r>
          </w:p>
        </w:tc>
        <w:tc>
          <w:tcPr>
            <w:tcW w:w="866" w:type="dxa"/>
          </w:tcPr>
          <w:p w14:paraId="75A1E76C" w14:textId="77777777" w:rsidR="00285D4B" w:rsidRDefault="00285D4B" w:rsidP="00285D4B">
            <w:r>
              <w:t>..</w:t>
            </w:r>
          </w:p>
        </w:tc>
      </w:tr>
      <w:tr w:rsidR="00285D4B" w14:paraId="51C81FDE" w14:textId="77777777" w:rsidTr="00FC003A">
        <w:tc>
          <w:tcPr>
            <w:tcW w:w="1560" w:type="dxa"/>
          </w:tcPr>
          <w:p w14:paraId="0788DEC9" w14:textId="77777777" w:rsidR="00285D4B" w:rsidRDefault="00285D4B" w:rsidP="00285D4B">
            <w:pPr>
              <w:jc w:val="left"/>
            </w:pPr>
            <w:r>
              <w:rPr>
                <w:color w:val="4472C4"/>
                <w:sz w:val="13"/>
              </w:rPr>
              <w:t>AASB 101.98 (f)</w:t>
            </w:r>
          </w:p>
        </w:tc>
        <w:tc>
          <w:tcPr>
            <w:tcW w:w="6520" w:type="dxa"/>
          </w:tcPr>
          <w:p w14:paraId="28D76D55" w14:textId="77777777" w:rsidR="00285D4B" w:rsidRDefault="00285D4B" w:rsidP="00285D4B">
            <w:pPr>
              <w:jc w:val="left"/>
            </w:pPr>
            <w:r>
              <w:t>Settlement of litigation</w:t>
            </w:r>
          </w:p>
        </w:tc>
        <w:tc>
          <w:tcPr>
            <w:tcW w:w="693" w:type="dxa"/>
          </w:tcPr>
          <w:p w14:paraId="6B8A2513" w14:textId="77777777" w:rsidR="00285D4B" w:rsidRDefault="00285D4B" w:rsidP="00285D4B">
            <w:r>
              <w:t>869</w:t>
            </w:r>
          </w:p>
        </w:tc>
        <w:tc>
          <w:tcPr>
            <w:tcW w:w="866" w:type="dxa"/>
          </w:tcPr>
          <w:p w14:paraId="2DBD49E2" w14:textId="77777777" w:rsidR="00285D4B" w:rsidRDefault="00285D4B" w:rsidP="00285D4B">
            <w:r>
              <w:t>783</w:t>
            </w:r>
          </w:p>
        </w:tc>
      </w:tr>
      <w:tr w:rsidR="00285D4B" w14:paraId="024DF46C" w14:textId="77777777" w:rsidTr="00FC003A">
        <w:tc>
          <w:tcPr>
            <w:tcW w:w="1560" w:type="dxa"/>
          </w:tcPr>
          <w:p w14:paraId="057B6D68" w14:textId="77777777" w:rsidR="00285D4B" w:rsidRDefault="00285D4B" w:rsidP="00285D4B">
            <w:pPr>
              <w:jc w:val="left"/>
            </w:pPr>
            <w:r>
              <w:rPr>
                <w:color w:val="4472C4"/>
                <w:sz w:val="13"/>
              </w:rPr>
              <w:t>AASB 138.126</w:t>
            </w:r>
          </w:p>
        </w:tc>
        <w:tc>
          <w:tcPr>
            <w:tcW w:w="6520" w:type="dxa"/>
          </w:tcPr>
          <w:p w14:paraId="6B20D584" w14:textId="77777777" w:rsidR="00285D4B" w:rsidRDefault="00285D4B" w:rsidP="00285D4B">
            <w:pPr>
              <w:jc w:val="left"/>
            </w:pPr>
            <w:r>
              <w:t>Research and development costs immediately expensed</w:t>
            </w:r>
          </w:p>
        </w:tc>
        <w:tc>
          <w:tcPr>
            <w:tcW w:w="693" w:type="dxa"/>
          </w:tcPr>
          <w:p w14:paraId="65AC25A2" w14:textId="77777777" w:rsidR="00285D4B" w:rsidRDefault="00285D4B" w:rsidP="00285D4B">
            <w:r>
              <w:t>651</w:t>
            </w:r>
          </w:p>
        </w:tc>
        <w:tc>
          <w:tcPr>
            <w:tcW w:w="866" w:type="dxa"/>
          </w:tcPr>
          <w:p w14:paraId="182C9B49" w14:textId="77777777" w:rsidR="00285D4B" w:rsidRDefault="00285D4B" w:rsidP="00285D4B">
            <w:r>
              <w:t>495</w:t>
            </w:r>
          </w:p>
        </w:tc>
      </w:tr>
      <w:tr w:rsidR="00285D4B" w14:paraId="368AB172" w14:textId="77777777" w:rsidTr="00FC003A">
        <w:tc>
          <w:tcPr>
            <w:tcW w:w="1560" w:type="dxa"/>
          </w:tcPr>
          <w:p w14:paraId="03A68FDB" w14:textId="1664FAF3" w:rsidR="00285D4B" w:rsidRDefault="00285D4B" w:rsidP="00285D4B">
            <w:pPr>
              <w:jc w:val="left"/>
            </w:pPr>
            <w:r>
              <w:rPr>
                <w:color w:val="4472C4"/>
                <w:sz w:val="13"/>
              </w:rPr>
              <w:t>FRD 11.5.1</w:t>
            </w:r>
          </w:p>
        </w:tc>
        <w:tc>
          <w:tcPr>
            <w:tcW w:w="6520" w:type="dxa"/>
            <w:tcBorders>
              <w:bottom w:val="single" w:sz="12" w:space="0" w:color="auto"/>
            </w:tcBorders>
          </w:tcPr>
          <w:p w14:paraId="27E97604" w14:textId="77777777" w:rsidR="00285D4B" w:rsidRDefault="00285D4B" w:rsidP="00285D4B">
            <w:pPr>
              <w:jc w:val="left"/>
            </w:pPr>
            <w:r>
              <w:t>Ex gratia expense</w:t>
            </w:r>
          </w:p>
        </w:tc>
        <w:tc>
          <w:tcPr>
            <w:tcW w:w="693" w:type="dxa"/>
            <w:tcBorders>
              <w:bottom w:val="single" w:sz="12" w:space="0" w:color="auto"/>
            </w:tcBorders>
          </w:tcPr>
          <w:p w14:paraId="42613D6D" w14:textId="77777777" w:rsidR="00285D4B" w:rsidRDefault="00285D4B" w:rsidP="00285D4B">
            <w:r>
              <w:t>156</w:t>
            </w:r>
          </w:p>
        </w:tc>
        <w:tc>
          <w:tcPr>
            <w:tcW w:w="866" w:type="dxa"/>
            <w:tcBorders>
              <w:bottom w:val="single" w:sz="12" w:space="0" w:color="auto"/>
            </w:tcBorders>
          </w:tcPr>
          <w:p w14:paraId="277E6237" w14:textId="77777777" w:rsidR="00285D4B" w:rsidRDefault="00285D4B" w:rsidP="00285D4B">
            <w:r>
              <w:t>16</w:t>
            </w:r>
          </w:p>
        </w:tc>
      </w:tr>
      <w:tr w:rsidR="00285D4B" w14:paraId="52C7836F" w14:textId="77777777" w:rsidTr="00FC003A">
        <w:tc>
          <w:tcPr>
            <w:tcW w:w="1560" w:type="dxa"/>
            <w:tcBorders>
              <w:bottom w:val="nil"/>
            </w:tcBorders>
          </w:tcPr>
          <w:p w14:paraId="01C6379D" w14:textId="77777777" w:rsidR="00285D4B" w:rsidRDefault="00285D4B" w:rsidP="00285D4B">
            <w:pPr>
              <w:jc w:val="left"/>
            </w:pPr>
          </w:p>
        </w:tc>
        <w:tc>
          <w:tcPr>
            <w:tcW w:w="6520" w:type="dxa"/>
          </w:tcPr>
          <w:p w14:paraId="2C50234E" w14:textId="77777777" w:rsidR="00285D4B" w:rsidRDefault="00285D4B" w:rsidP="00285D4B">
            <w:pPr>
              <w:jc w:val="left"/>
            </w:pPr>
            <w:r>
              <w:rPr>
                <w:b/>
              </w:rPr>
              <w:t>Total other operating expenses</w:t>
            </w:r>
          </w:p>
        </w:tc>
        <w:tc>
          <w:tcPr>
            <w:tcW w:w="693" w:type="dxa"/>
          </w:tcPr>
          <w:p w14:paraId="196733B1" w14:textId="77777777" w:rsidR="00285D4B" w:rsidRDefault="00285D4B" w:rsidP="00285D4B">
            <w:r>
              <w:rPr>
                <w:b/>
              </w:rPr>
              <w:t>16 328</w:t>
            </w:r>
          </w:p>
        </w:tc>
        <w:tc>
          <w:tcPr>
            <w:tcW w:w="866" w:type="dxa"/>
          </w:tcPr>
          <w:p w14:paraId="2736DB4E" w14:textId="7AD699FE" w:rsidR="00285D4B" w:rsidRDefault="00285D4B" w:rsidP="00285D4B">
            <w:r>
              <w:rPr>
                <w:b/>
              </w:rPr>
              <w:t>8 822</w:t>
            </w:r>
          </w:p>
        </w:tc>
      </w:tr>
    </w:tbl>
    <w:p w14:paraId="0A2CEBE7" w14:textId="77777777" w:rsidR="003719CD" w:rsidRDefault="003719CD" w:rsidP="007D536F">
      <w:pPr>
        <w:pStyle w:val="Note"/>
      </w:pPr>
      <w:r>
        <w:t xml:space="preserve">Notes: </w:t>
      </w:r>
    </w:p>
    <w:p w14:paraId="7862B915" w14:textId="77777777" w:rsidR="003719CD" w:rsidRDefault="003719CD" w:rsidP="007D536F">
      <w:pPr>
        <w:pStyle w:val="Note"/>
      </w:pPr>
      <w:r>
        <w:t>(a)</w:t>
      </w:r>
      <w:r>
        <w:tab/>
        <w:t xml:space="preserve">This includes quarterly payments relating to the Intellectual property and registry functions commercialisation arrangement. Refer to section 7.5.3 </w:t>
      </w:r>
      <w:r w:rsidRPr="00D70E94">
        <w:rPr>
          <w:i w:val="0"/>
          <w:iCs/>
        </w:rPr>
        <w:t>Service Concession Arrangements: Grantors</w:t>
      </w:r>
      <w:r>
        <w:t xml:space="preserve">. </w:t>
      </w:r>
    </w:p>
    <w:p w14:paraId="43CE98A4" w14:textId="21F7D25C" w:rsidR="003719CD" w:rsidRDefault="003719CD" w:rsidP="00373841">
      <w:pPr>
        <w:pStyle w:val="Note"/>
      </w:pPr>
      <w:r>
        <w:t>(b)</w:t>
      </w:r>
      <w:r>
        <w:tab/>
        <w:t xml:space="preserve">Of the balance in ‘other operating expenses – maintenance’, $XXX [$xxx in </w:t>
      </w:r>
      <w:r w:rsidR="001C2A32">
        <w:rPr>
          <w:i w:val="0"/>
        </w:rPr>
        <w:fldChar w:fldCharType="begin"/>
      </w:r>
      <w:r w:rsidR="001C2A32">
        <w:rPr>
          <w:i w:val="0"/>
        </w:rPr>
        <w:instrText xml:space="preserve"> DOCPROPERTY  YearPrevious  \* MERGEFORMAT </w:instrText>
      </w:r>
      <w:r w:rsidR="001C2A32">
        <w:rPr>
          <w:i w:val="0"/>
        </w:rPr>
        <w:fldChar w:fldCharType="separate"/>
      </w:r>
      <w:r w:rsidR="008D26B2">
        <w:t>20X1</w:t>
      </w:r>
      <w:r w:rsidR="001C2A32">
        <w:rPr>
          <w:i w:val="0"/>
        </w:rPr>
        <w:fldChar w:fldCharType="end"/>
      </w:r>
      <w:r>
        <w:t xml:space="preserve">] related to operating and maintenance expenses of assets contracted under the public private partnership arrangements [insert if relevant]. </w:t>
      </w:r>
      <w:r w:rsidRPr="00052843">
        <w:rPr>
          <w:rStyle w:val="Reference"/>
          <w:sz w:val="14"/>
          <w:szCs w:val="16"/>
        </w:rPr>
        <w:t xml:space="preserve">[PAEC Report </w:t>
      </w:r>
      <w:r w:rsidR="00437E8E">
        <w:rPr>
          <w:rStyle w:val="Reference"/>
          <w:sz w:val="14"/>
          <w:szCs w:val="16"/>
        </w:rPr>
        <w:t>on the 2011-12 Financial and Performance Outcomes</w:t>
      </w:r>
      <w:r w:rsidRPr="00052843">
        <w:rPr>
          <w:rStyle w:val="Reference"/>
          <w:sz w:val="14"/>
          <w:szCs w:val="16"/>
        </w:rPr>
        <w:t>, Recommendation 13]</w:t>
      </w:r>
    </w:p>
    <w:p w14:paraId="67C2ACE8" w14:textId="77777777" w:rsidR="003719CD" w:rsidRDefault="003719CD" w:rsidP="00DC39DE">
      <w:r>
        <w:t>Other operating expenses generally represent the day-to-day running costs incurred in normal operations. It also includes bad debts expense from transactions that are mutually agreed.</w:t>
      </w:r>
    </w:p>
    <w:p w14:paraId="32703E9D" w14:textId="77777777" w:rsidR="003719CD" w:rsidRDefault="003719CD" w:rsidP="00DC39DE">
      <w:r w:rsidRPr="00052843">
        <w:rPr>
          <w:b/>
          <w:bCs/>
        </w:rPr>
        <w:t>Supplies and services</w:t>
      </w:r>
      <w:r>
        <w:t xml:space="preserve"> are recognised as an expense in the reporting period in which they are incurred. The carrying amounts of any inventories held for distribution are expensed when the inventories are distributed.</w:t>
      </w:r>
    </w:p>
    <w:p w14:paraId="31D30541" w14:textId="77777777" w:rsidR="00C515B4" w:rsidRDefault="003C13D2" w:rsidP="00DC39DE">
      <w:r>
        <w:rPr>
          <w:b/>
          <w:bCs/>
        </w:rPr>
        <w:t>Lease rental expenses</w:t>
      </w:r>
    </w:p>
    <w:p w14:paraId="133662F8" w14:textId="40C71DE7" w:rsidR="003719CD" w:rsidRDefault="003719CD" w:rsidP="00DC39DE">
      <w:r>
        <w:t>The following lease payments are recognised on a straight-line basis:</w:t>
      </w:r>
    </w:p>
    <w:p w14:paraId="287F88F4" w14:textId="12A748FD" w:rsidR="003719CD" w:rsidRDefault="003719CD" w:rsidP="00310F12">
      <w:pPr>
        <w:pStyle w:val="ListBullet"/>
      </w:pPr>
      <w:r>
        <w:t>Short-term leases – leases with a term 12 months</w:t>
      </w:r>
      <w:r w:rsidR="00612D9A">
        <w:t xml:space="preserve"> or less</w:t>
      </w:r>
      <w:r w:rsidR="00B223B0">
        <w:t xml:space="preserve"> </w:t>
      </w:r>
      <w:r w:rsidR="00B223B0" w:rsidRPr="00052843">
        <w:rPr>
          <w:rStyle w:val="Reference"/>
        </w:rPr>
        <w:t>[AASB 16.5</w:t>
      </w:r>
      <w:r w:rsidR="00B223B0">
        <w:rPr>
          <w:rStyle w:val="Reference"/>
        </w:rPr>
        <w:t>(a)]</w:t>
      </w:r>
    </w:p>
    <w:p w14:paraId="3FB5CFB5" w14:textId="6AA7EAEC" w:rsidR="003719CD" w:rsidRDefault="003719CD" w:rsidP="00310F12">
      <w:pPr>
        <w:pStyle w:val="ListBullet"/>
      </w:pPr>
      <w:r>
        <w:t xml:space="preserve">Low value leases – leases with the underlying asset’s fair value (when new, regardless of the age of the asset being leased) is no more than $10 000. </w:t>
      </w:r>
      <w:r w:rsidRPr="00052843">
        <w:rPr>
          <w:rStyle w:val="Reference"/>
        </w:rPr>
        <w:t>[AASB 16.5</w:t>
      </w:r>
      <w:r w:rsidR="00B223B0">
        <w:rPr>
          <w:rStyle w:val="Reference"/>
        </w:rPr>
        <w:t>(b)</w:t>
      </w:r>
      <w:r w:rsidRPr="00052843">
        <w:rPr>
          <w:rStyle w:val="Reference"/>
        </w:rPr>
        <w:t xml:space="preserve">, FRD </w:t>
      </w:r>
      <w:r w:rsidR="00DE643D">
        <w:rPr>
          <w:rStyle w:val="Reference"/>
        </w:rPr>
        <w:t>104</w:t>
      </w:r>
      <w:r w:rsidRPr="00052843">
        <w:rPr>
          <w:rStyle w:val="Reference"/>
        </w:rPr>
        <w:t>]</w:t>
      </w:r>
    </w:p>
    <w:p w14:paraId="3CEE2F24" w14:textId="61B2C8E6" w:rsidR="003719CD" w:rsidRDefault="003719CD" w:rsidP="00DC39DE">
      <w:r>
        <w:t>Variable lease payments that are not included in the measurement of the lease liability (i.e. variable lease payments that do not depend on an index or a rate and which are not, in substance fixed)</w:t>
      </w:r>
      <w:r w:rsidR="00241028">
        <w:t>,</w:t>
      </w:r>
      <w:r>
        <w:t xml:space="preserve"> such as those based on performance or usage of the underlying asset, are recognised in the </w:t>
      </w:r>
      <w:r w:rsidR="001D078F">
        <w:t>C</w:t>
      </w:r>
      <w:r>
        <w:t xml:space="preserve">omprehensive </w:t>
      </w:r>
      <w:r w:rsidR="001D078F">
        <w:t>O</w:t>
      </w:r>
      <w:r>
        <w:t xml:space="preserve">perating </w:t>
      </w:r>
      <w:r w:rsidR="001D078F">
        <w:t>S</w:t>
      </w:r>
      <w:r>
        <w:t>tatement (except for payments which ha</w:t>
      </w:r>
      <w:r w:rsidR="001D078F">
        <w:t>ve</w:t>
      </w:r>
      <w:r>
        <w:t xml:space="preserve"> been included in the carrying amount of another asset) in the period in which the event or condition that triggers those payments occur. </w:t>
      </w:r>
      <w:r w:rsidRPr="00052843">
        <w:rPr>
          <w:rStyle w:val="Reference"/>
        </w:rPr>
        <w:t>[AASB 16.38</w:t>
      </w:r>
      <w:r w:rsidR="000C023E">
        <w:rPr>
          <w:rStyle w:val="Reference"/>
        </w:rPr>
        <w:t>(b)</w:t>
      </w:r>
      <w:r w:rsidRPr="00052843">
        <w:rPr>
          <w:rStyle w:val="Reference"/>
        </w:rPr>
        <w:t>]</w:t>
      </w:r>
    </w:p>
    <w:p w14:paraId="1893507F" w14:textId="77777777" w:rsidR="003719CD" w:rsidRDefault="003719CD" w:rsidP="00DC39DE">
      <w:r w:rsidRPr="00052843">
        <w:rPr>
          <w:b/>
          <w:bCs/>
        </w:rPr>
        <w:t>Research activities</w:t>
      </w:r>
      <w:r>
        <w:t xml:space="preserve">: Expenditure on research activities is recognised as an expense in the period in which it is incurred. </w:t>
      </w:r>
      <w:r w:rsidRPr="00052843">
        <w:rPr>
          <w:rStyle w:val="Reference"/>
        </w:rPr>
        <w:t>[AASB 138.54]</w:t>
      </w:r>
    </w:p>
    <w:p w14:paraId="6683D880" w14:textId="3B4DCEEA" w:rsidR="003719CD" w:rsidRDefault="003719CD" w:rsidP="00DC39DE">
      <w:r w:rsidRPr="00052843">
        <w:rPr>
          <w:b/>
          <w:bCs/>
        </w:rPr>
        <w:t xml:space="preserve">Cost of </w:t>
      </w:r>
      <w:r w:rsidR="00EF4575">
        <w:rPr>
          <w:b/>
          <w:bCs/>
        </w:rPr>
        <w:t>goods sold/distributed</w:t>
      </w:r>
      <w:r>
        <w:t xml:space="preserve">: When inventories are sold, the carrying amount of those inventories shall be recognised as an expense in the period in which the related income is recognised. The amount of any write down of inventories to net realisable value and all losses of inventories shall be recognised as an expense in the period the write down or loss occurs. </w:t>
      </w:r>
    </w:p>
    <w:p w14:paraId="6B158176" w14:textId="77777777" w:rsidR="003719CD" w:rsidRDefault="003719CD" w:rsidP="00DC39DE">
      <w:pPr>
        <w:rPr>
          <w:rStyle w:val="Reference"/>
        </w:rPr>
      </w:pPr>
      <w:r>
        <w:t xml:space="preserve">The amount of any reversal of any write down of inventories, arising from an increase in net realisable value, shall be recognised as a reduction in the amount of inventories recognised as an expense in the period in which the reversal occurs. </w:t>
      </w:r>
      <w:r w:rsidRPr="00052843">
        <w:rPr>
          <w:rStyle w:val="Reference"/>
        </w:rPr>
        <w:t>[AASB 102.34]</w:t>
      </w:r>
    </w:p>
    <w:p w14:paraId="33147957" w14:textId="77777777" w:rsidR="003719CD" w:rsidRDefault="003719CD" w:rsidP="007D536F"/>
    <w:p w14:paraId="337FC09E" w14:textId="77777777" w:rsidR="003719CD" w:rsidRDefault="003719CD" w:rsidP="007D536F">
      <w:pPr>
        <w:pStyle w:val="GuidanceBlockHeading"/>
      </w:pPr>
      <w:r>
        <w:lastRenderedPageBreak/>
        <w:t>Guidance – Other operating expenses</w:t>
      </w:r>
    </w:p>
    <w:p w14:paraId="470D4836" w14:textId="3307C964" w:rsidR="003719CD" w:rsidRPr="00052843" w:rsidRDefault="003719CD" w:rsidP="007D536F">
      <w:pPr>
        <w:rPr>
          <w:rStyle w:val="Guidance"/>
        </w:rPr>
      </w:pPr>
      <w:r w:rsidRPr="00052843">
        <w:rPr>
          <w:rStyle w:val="Guidance"/>
        </w:rPr>
        <w:t xml:space="preserve">Public Accounts and Estimates Committee (PAEC) Report </w:t>
      </w:r>
      <w:r w:rsidR="00864328">
        <w:rPr>
          <w:rStyle w:val="Guidance"/>
        </w:rPr>
        <w:t>on the 2011-12 Bu</w:t>
      </w:r>
      <w:r w:rsidR="0058137D">
        <w:rPr>
          <w:rStyle w:val="Guidance"/>
        </w:rPr>
        <w:t xml:space="preserve">dget Estimates - </w:t>
      </w:r>
      <w:r w:rsidR="00F66494">
        <w:rPr>
          <w:rStyle w:val="Guidance"/>
        </w:rPr>
        <w:t>Part three</w:t>
      </w:r>
      <w:r w:rsidRPr="00052843">
        <w:rPr>
          <w:rStyle w:val="Guidance"/>
        </w:rPr>
        <w:t>, recommendation 70 requested more detailed disclosure of other operating expenses. The illustrative disclosures include the more common items required to be disclosed by other AAS.</w:t>
      </w:r>
    </w:p>
    <w:p w14:paraId="63981F26" w14:textId="4CC5C7C3" w:rsidR="003719CD" w:rsidRPr="00052843" w:rsidRDefault="003719CD" w:rsidP="007D536F">
      <w:pPr>
        <w:rPr>
          <w:rStyle w:val="Guidance"/>
        </w:rPr>
      </w:pPr>
      <w:r w:rsidRPr="00052843">
        <w:rPr>
          <w:rStyle w:val="Guidance"/>
        </w:rPr>
        <w:t>When inventories held for distribution by a not-for-profit entity are distributed, the carrying amount of those inventories shall be recognised as an expense.</w:t>
      </w:r>
      <w:r w:rsidR="00DF4C4E">
        <w:rPr>
          <w:rStyle w:val="Guidance"/>
        </w:rPr>
        <w:t xml:space="preserve"> </w:t>
      </w:r>
      <w:r w:rsidRPr="00052843">
        <w:rPr>
          <w:rStyle w:val="Guidance"/>
        </w:rPr>
        <w:t xml:space="preserve">The amount of any write down of inventories for loss of service potential and all losses of inventories shall be recognised as ‘other economic flow’ in the period the write down or loss occurs. The amount of any reversal of any write down of inventories arising from a reversal of the circumstances that gave rise to the loss of service potential shall be recognised as a reduction in the amount of inventories recognised as an other economic flow in the period in which the reversal occurs. </w:t>
      </w:r>
      <w:r w:rsidRPr="00052843">
        <w:rPr>
          <w:rStyle w:val="Reference"/>
        </w:rPr>
        <w:t>[AASB 102.Aus 34.1]</w:t>
      </w:r>
    </w:p>
    <w:p w14:paraId="5DEFE558" w14:textId="77777777" w:rsidR="003719CD" w:rsidRPr="00052843" w:rsidRDefault="003719CD" w:rsidP="007D536F">
      <w:pPr>
        <w:rPr>
          <w:rStyle w:val="Guidance"/>
        </w:rPr>
      </w:pPr>
      <w:r w:rsidRPr="00052843">
        <w:rPr>
          <w:rStyle w:val="Guidance"/>
        </w:rPr>
        <w:t>The loss of service potential for inventories held for distribution by not-for-profit entities may sometimes be identified through a fall in replacement cost of the inventories, but this is not necessarily always the case, and more relevant bases can be used to identify loss of service potential. For example, obsolescence, which may occur with or without there being a fall in current replacement cost. Obsolescence covers both technical and/or functional obsolescence. It is strongly encouraged that entities use their judgement in determining the most appropriate basis (bases) in assessing any loss in service potential for inventories held for distribution.</w:t>
      </w:r>
    </w:p>
    <w:p w14:paraId="573E5A6D" w14:textId="77777777" w:rsidR="003719CD" w:rsidRPr="00052843" w:rsidRDefault="003719CD" w:rsidP="007D536F">
      <w:pPr>
        <w:rPr>
          <w:rStyle w:val="Guidance"/>
        </w:rPr>
      </w:pPr>
      <w:r w:rsidRPr="00052843">
        <w:rPr>
          <w:rStyle w:val="Guidance"/>
        </w:rPr>
        <w:t xml:space="preserve">Entities should refer to the AASB 102 </w:t>
      </w:r>
      <w:r w:rsidRPr="00052843">
        <w:rPr>
          <w:rStyle w:val="Guidance"/>
          <w:i/>
          <w:iCs/>
        </w:rPr>
        <w:t>Inventories</w:t>
      </w:r>
      <w:r w:rsidRPr="00052843">
        <w:rPr>
          <w:rStyle w:val="Guidance"/>
        </w:rPr>
        <w:t xml:space="preserve"> paragraphs BC12 and BC20 for detailed guidance on assessing loss of service potential.</w:t>
      </w:r>
    </w:p>
    <w:p w14:paraId="0E1FF24D" w14:textId="77777777" w:rsidR="003719CD" w:rsidRPr="00052843" w:rsidRDefault="003719CD" w:rsidP="007D536F">
      <w:pPr>
        <w:rPr>
          <w:rStyle w:val="Guidance"/>
        </w:rPr>
      </w:pPr>
      <w:r w:rsidRPr="00052843">
        <w:rPr>
          <w:rStyle w:val="Guidance"/>
        </w:rPr>
        <w:t>AASB 16 requires the disclosure of:</w:t>
      </w:r>
    </w:p>
    <w:p w14:paraId="7A9F1A42" w14:textId="3392C7F3" w:rsidR="003719CD" w:rsidRPr="00052843" w:rsidRDefault="003719CD" w:rsidP="00310F12">
      <w:pPr>
        <w:pStyle w:val="ListBullet"/>
        <w:rPr>
          <w:rStyle w:val="Guidance"/>
        </w:rPr>
      </w:pPr>
      <w:r w:rsidRPr="00052843">
        <w:rPr>
          <w:rStyle w:val="Guidance"/>
        </w:rPr>
        <w:t>the expenses relating to short-term leases accounted for applying the recognition exemption. This expense need not include the expense relating to leases with a lease term of one month or less</w:t>
      </w:r>
      <w:r w:rsidR="0088701D">
        <w:rPr>
          <w:rStyle w:val="Guidance"/>
        </w:rPr>
        <w:t xml:space="preserve"> </w:t>
      </w:r>
      <w:r w:rsidR="0088701D" w:rsidRPr="00052843">
        <w:rPr>
          <w:rStyle w:val="Reference"/>
        </w:rPr>
        <w:t>[AASB 16.53</w:t>
      </w:r>
      <w:r w:rsidR="00FA1458">
        <w:rPr>
          <w:rStyle w:val="Reference"/>
        </w:rPr>
        <w:t>(c)</w:t>
      </w:r>
      <w:r w:rsidR="006B117D">
        <w:rPr>
          <w:rStyle w:val="Reference"/>
        </w:rPr>
        <w:t xml:space="preserve">, FRD </w:t>
      </w:r>
      <w:r w:rsidR="00DE643D">
        <w:rPr>
          <w:rStyle w:val="Reference"/>
        </w:rPr>
        <w:t xml:space="preserve">104] </w:t>
      </w:r>
    </w:p>
    <w:p w14:paraId="44BF4F36" w14:textId="54E72DD4" w:rsidR="003719CD" w:rsidRPr="00052843" w:rsidRDefault="003719CD" w:rsidP="00310F12">
      <w:pPr>
        <w:pStyle w:val="ListBullet"/>
        <w:rPr>
          <w:rStyle w:val="Guidance"/>
        </w:rPr>
      </w:pPr>
      <w:r w:rsidRPr="00052843">
        <w:rPr>
          <w:rStyle w:val="Guidance"/>
        </w:rPr>
        <w:t>the expense relating to leases of low-value assets accounted for applying the recognition exemption. This expense shall not include the expense relating to short-term leases of low-value assets included in (a) above</w:t>
      </w:r>
      <w:r w:rsidR="005B75C3">
        <w:rPr>
          <w:rStyle w:val="Guidance"/>
        </w:rPr>
        <w:t xml:space="preserve"> </w:t>
      </w:r>
      <w:r w:rsidR="005B75C3" w:rsidRPr="00052843">
        <w:rPr>
          <w:rStyle w:val="Reference"/>
        </w:rPr>
        <w:t>[AASB 16.53(</w:t>
      </w:r>
      <w:r w:rsidR="005B75C3">
        <w:rPr>
          <w:rStyle w:val="Reference"/>
        </w:rPr>
        <w:t>d</w:t>
      </w:r>
      <w:r w:rsidR="005B75C3" w:rsidRPr="00052843">
        <w:rPr>
          <w:rStyle w:val="Reference"/>
        </w:rPr>
        <w:t>)</w:t>
      </w:r>
      <w:r w:rsidR="00512A5C">
        <w:rPr>
          <w:rStyle w:val="Reference"/>
        </w:rPr>
        <w:t xml:space="preserve">, </w:t>
      </w:r>
      <w:r w:rsidR="00DE643D">
        <w:rPr>
          <w:rStyle w:val="Reference"/>
        </w:rPr>
        <w:t xml:space="preserve">FRD 104] </w:t>
      </w:r>
    </w:p>
    <w:p w14:paraId="7A4EA08F" w14:textId="1F2F0823" w:rsidR="003719CD" w:rsidRPr="00052843" w:rsidRDefault="003719CD" w:rsidP="00310F12">
      <w:pPr>
        <w:pStyle w:val="ListBullet"/>
        <w:rPr>
          <w:rStyle w:val="Guidance"/>
        </w:rPr>
      </w:pPr>
      <w:r w:rsidRPr="00052843">
        <w:rPr>
          <w:rStyle w:val="Guidance"/>
        </w:rPr>
        <w:t>The expense relating to variable lease payments not included in the measurement of lease liabilities.</w:t>
      </w:r>
      <w:r w:rsidR="005B75C3">
        <w:rPr>
          <w:rStyle w:val="Guidance"/>
        </w:rPr>
        <w:t xml:space="preserve"> </w:t>
      </w:r>
      <w:r w:rsidR="005B75C3" w:rsidRPr="00052843">
        <w:rPr>
          <w:rStyle w:val="Reference"/>
        </w:rPr>
        <w:t>[AASB 16.53(</w:t>
      </w:r>
      <w:r w:rsidR="005B75C3">
        <w:rPr>
          <w:rStyle w:val="Reference"/>
        </w:rPr>
        <w:t>e)</w:t>
      </w:r>
      <w:r w:rsidR="00DE643D">
        <w:rPr>
          <w:rStyle w:val="Reference"/>
        </w:rPr>
        <w:t>]</w:t>
      </w:r>
    </w:p>
    <w:p w14:paraId="02FB8B94" w14:textId="346937D4" w:rsidR="003719CD" w:rsidRDefault="003719CD" w:rsidP="007D536F">
      <w:pPr>
        <w:pStyle w:val="GuidanceEnd"/>
      </w:pPr>
    </w:p>
    <w:p w14:paraId="2CBB1FF5" w14:textId="77777777" w:rsidR="008D7702" w:rsidRDefault="008D7702" w:rsidP="008D7702">
      <w:pPr>
        <w:sectPr w:rsidR="008D7702" w:rsidSect="006E0E99">
          <w:headerReference w:type="even" r:id="rId53"/>
          <w:type w:val="continuous"/>
          <w:pgSz w:w="11906" w:h="16838" w:code="9"/>
          <w:pgMar w:top="1134" w:right="1134" w:bottom="1134" w:left="1134" w:header="624" w:footer="567" w:gutter="0"/>
          <w:cols w:space="708"/>
          <w:titlePg/>
          <w:docGrid w:linePitch="360"/>
        </w:sectPr>
      </w:pPr>
    </w:p>
    <w:bookmarkEnd w:id="31"/>
    <w:p w14:paraId="63B4B9D0" w14:textId="1D4967D1" w:rsidR="003719CD" w:rsidRDefault="003719CD" w:rsidP="001B5265">
      <w:pPr>
        <w:pStyle w:val="Heading1numbered"/>
        <w:sectPr w:rsidR="003719CD" w:rsidSect="006E0E99">
          <w:pgSz w:w="11906" w:h="16838" w:code="9"/>
          <w:pgMar w:top="1134" w:right="1134" w:bottom="1134" w:left="1134" w:header="624" w:footer="567" w:gutter="0"/>
          <w:cols w:space="708"/>
          <w:titlePg/>
          <w:docGrid w:linePitch="360"/>
        </w:sectPr>
      </w:pPr>
      <w:r>
        <w:lastRenderedPageBreak/>
        <w:t>DISAGGREGATED FINANCIAL INFORMATION BY OUTPUT</w:t>
      </w:r>
    </w:p>
    <w:p w14:paraId="27494196" w14:textId="77777777" w:rsidR="003719CD" w:rsidRDefault="003719CD" w:rsidP="007D536F">
      <w:pPr>
        <w:pStyle w:val="Heading3"/>
      </w:pPr>
      <w:r>
        <w:t>Introduction</w:t>
      </w:r>
    </w:p>
    <w:p w14:paraId="4065EAAA" w14:textId="3AB46345" w:rsidR="003719CD" w:rsidRDefault="003719CD" w:rsidP="00DC39DE">
      <w:r>
        <w:t xml:space="preserve">The Department of Technology (the Department) is predominantly funded by accrual-based parliamentary appropriations for the provision of outputs. This section provides a description of the departmental outputs delivered during the year ended 30 June </w:t>
      </w:r>
      <w:fldSimple w:instr="DOCPROPERTY  YearCurrent  \* MERGEFORMAT">
        <w:r w:rsidR="00A545BA">
          <w:t>20X2</w:t>
        </w:r>
      </w:fldSimple>
      <w:r>
        <w:rPr>
          <w:rStyle w:val="Guidance"/>
        </w:rPr>
        <w:t xml:space="preserve"> </w:t>
      </w:r>
      <w:r>
        <w:t xml:space="preserve">along with the objectives of those outputs. </w:t>
      </w:r>
      <w:r w:rsidRPr="00373841">
        <w:rPr>
          <w:color w:val="C00000"/>
        </w:rPr>
        <w:t>[AASB 1052.15]</w:t>
      </w:r>
    </w:p>
    <w:p w14:paraId="20E84710" w14:textId="77777777" w:rsidR="003719CD" w:rsidRDefault="003719CD" w:rsidP="00DC39DE">
      <w:r>
        <w:t>This section disaggregates revenue and income that enables the delivery of services (described in Section 2) by output and records the allocation of expenses incurred (described in Section 3) also by output, which form part of controlled balances of the Department.</w:t>
      </w:r>
    </w:p>
    <w:p w14:paraId="09FAF959" w14:textId="77777777" w:rsidR="003719CD" w:rsidRDefault="003719CD" w:rsidP="00DC39DE">
      <w:r>
        <w:t>It also provides information on items administered in connection with these outputs.</w:t>
      </w:r>
    </w:p>
    <w:p w14:paraId="7C3C7836" w14:textId="77777777" w:rsidR="003719CD" w:rsidRDefault="003719CD" w:rsidP="007D536F">
      <w:pPr>
        <w:pStyle w:val="Heading3"/>
      </w:pPr>
      <w:r>
        <w:br w:type="column"/>
      </w:r>
      <w:r>
        <w:t>Structure</w:t>
      </w:r>
    </w:p>
    <w:p w14:paraId="2D996781" w14:textId="48D3C8E8" w:rsidR="004B496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_4</w:instrText>
      </w:r>
      <w:r w:rsidRPr="00940E38">
        <w:instrText xml:space="preserve"> \* MERGEFORMAT </w:instrText>
      </w:r>
      <w:r w:rsidRPr="00940E38">
        <w:fldChar w:fldCharType="separate"/>
      </w:r>
      <w:hyperlink w:anchor="_Toc96704879" w:history="1">
        <w:r w:rsidR="004B4963" w:rsidRPr="009033F5">
          <w:rPr>
            <w:rStyle w:val="Hyperlink"/>
            <w:noProof/>
          </w:rPr>
          <w:t>4.1</w:t>
        </w:r>
        <w:r w:rsidR="004B4963">
          <w:rPr>
            <w:noProof/>
            <w:sz w:val="22"/>
          </w:rPr>
          <w:tab/>
        </w:r>
        <w:r w:rsidR="004B4963" w:rsidRPr="009033F5">
          <w:rPr>
            <w:rStyle w:val="Hyperlink"/>
            <w:noProof/>
          </w:rPr>
          <w:t xml:space="preserve">Departmental outputs – </w:t>
        </w:r>
        <w:r w:rsidR="004B4963">
          <w:rPr>
            <w:rStyle w:val="Hyperlink"/>
            <w:noProof/>
          </w:rPr>
          <w:br/>
        </w:r>
        <w:r w:rsidR="004B4963" w:rsidRPr="009033F5">
          <w:rPr>
            <w:rStyle w:val="Hyperlink"/>
            <w:noProof/>
          </w:rPr>
          <w:t>Descriptions and objectives</w:t>
        </w:r>
        <w:r w:rsidR="004B4963">
          <w:rPr>
            <w:noProof/>
            <w:webHidden/>
          </w:rPr>
          <w:tab/>
        </w:r>
        <w:r w:rsidR="004B4963">
          <w:rPr>
            <w:noProof/>
            <w:webHidden/>
          </w:rPr>
          <w:fldChar w:fldCharType="begin"/>
        </w:r>
        <w:r w:rsidR="004B4963">
          <w:rPr>
            <w:noProof/>
            <w:webHidden/>
          </w:rPr>
          <w:instrText xml:space="preserve"> PAGEREF _Toc96704879 \h </w:instrText>
        </w:r>
        <w:r w:rsidR="004B4963">
          <w:rPr>
            <w:noProof/>
            <w:webHidden/>
          </w:rPr>
        </w:r>
        <w:r w:rsidR="004B4963">
          <w:rPr>
            <w:noProof/>
            <w:webHidden/>
          </w:rPr>
          <w:fldChar w:fldCharType="separate"/>
        </w:r>
        <w:r w:rsidR="00D26320">
          <w:rPr>
            <w:noProof/>
            <w:webHidden/>
          </w:rPr>
          <w:t>41</w:t>
        </w:r>
        <w:r w:rsidR="004B4963">
          <w:rPr>
            <w:noProof/>
            <w:webHidden/>
          </w:rPr>
          <w:fldChar w:fldCharType="end"/>
        </w:r>
      </w:hyperlink>
    </w:p>
    <w:p w14:paraId="71249D39" w14:textId="50A78391" w:rsidR="004B4963" w:rsidRDefault="004B4963" w:rsidP="00C70938">
      <w:pPr>
        <w:pStyle w:val="TOC9"/>
        <w:rPr>
          <w:noProof/>
          <w:sz w:val="22"/>
        </w:rPr>
      </w:pPr>
      <w:hyperlink w:anchor="_Toc96704880" w:history="1">
        <w:r w:rsidRPr="009033F5">
          <w:rPr>
            <w:rStyle w:val="Hyperlink"/>
            <w:noProof/>
          </w:rPr>
          <w:t>4.2</w:t>
        </w:r>
        <w:r>
          <w:rPr>
            <w:noProof/>
            <w:sz w:val="22"/>
          </w:rPr>
          <w:tab/>
        </w:r>
        <w:r w:rsidRPr="009033F5">
          <w:rPr>
            <w:rStyle w:val="Hyperlink"/>
            <w:noProof/>
          </w:rPr>
          <w:t>Administered items</w:t>
        </w:r>
        <w:r>
          <w:rPr>
            <w:noProof/>
            <w:webHidden/>
          </w:rPr>
          <w:tab/>
        </w:r>
        <w:r>
          <w:rPr>
            <w:noProof/>
            <w:webHidden/>
          </w:rPr>
          <w:fldChar w:fldCharType="begin"/>
        </w:r>
        <w:r>
          <w:rPr>
            <w:noProof/>
            <w:webHidden/>
          </w:rPr>
          <w:instrText xml:space="preserve"> PAGEREF _Toc96704880 \h </w:instrText>
        </w:r>
        <w:r>
          <w:rPr>
            <w:noProof/>
            <w:webHidden/>
          </w:rPr>
        </w:r>
        <w:r>
          <w:rPr>
            <w:noProof/>
            <w:webHidden/>
          </w:rPr>
          <w:fldChar w:fldCharType="separate"/>
        </w:r>
        <w:r w:rsidR="00D26320">
          <w:rPr>
            <w:noProof/>
            <w:webHidden/>
          </w:rPr>
          <w:t>45</w:t>
        </w:r>
        <w:r>
          <w:rPr>
            <w:noProof/>
            <w:webHidden/>
          </w:rPr>
          <w:fldChar w:fldCharType="end"/>
        </w:r>
      </w:hyperlink>
    </w:p>
    <w:p w14:paraId="24B079FC" w14:textId="5677A685" w:rsidR="004B4963" w:rsidRDefault="004B4963" w:rsidP="00C70938">
      <w:pPr>
        <w:pStyle w:val="TOC9"/>
        <w:rPr>
          <w:noProof/>
          <w:sz w:val="22"/>
        </w:rPr>
      </w:pPr>
      <w:hyperlink w:anchor="_Toc96704881" w:history="1">
        <w:r w:rsidRPr="009033F5">
          <w:rPr>
            <w:rStyle w:val="Hyperlink"/>
            <w:noProof/>
          </w:rPr>
          <w:t>4.3</w:t>
        </w:r>
        <w:r>
          <w:rPr>
            <w:noProof/>
            <w:sz w:val="22"/>
          </w:rPr>
          <w:tab/>
        </w:r>
        <w:r w:rsidRPr="009033F5">
          <w:rPr>
            <w:rStyle w:val="Hyperlink"/>
            <w:noProof/>
          </w:rPr>
          <w:t>Restructuring of administrative arrangements</w:t>
        </w:r>
        <w:r>
          <w:rPr>
            <w:noProof/>
            <w:webHidden/>
          </w:rPr>
          <w:tab/>
        </w:r>
        <w:r>
          <w:rPr>
            <w:noProof/>
            <w:webHidden/>
          </w:rPr>
          <w:fldChar w:fldCharType="begin"/>
        </w:r>
        <w:r>
          <w:rPr>
            <w:noProof/>
            <w:webHidden/>
          </w:rPr>
          <w:instrText xml:space="preserve"> PAGEREF _Toc96704881 \h </w:instrText>
        </w:r>
        <w:r>
          <w:rPr>
            <w:noProof/>
            <w:webHidden/>
          </w:rPr>
        </w:r>
        <w:r>
          <w:rPr>
            <w:noProof/>
            <w:webHidden/>
          </w:rPr>
          <w:fldChar w:fldCharType="separate"/>
        </w:r>
        <w:r w:rsidR="00D26320">
          <w:rPr>
            <w:noProof/>
            <w:webHidden/>
          </w:rPr>
          <w:t>50</w:t>
        </w:r>
        <w:r>
          <w:rPr>
            <w:noProof/>
            <w:webHidden/>
          </w:rPr>
          <w:fldChar w:fldCharType="end"/>
        </w:r>
      </w:hyperlink>
    </w:p>
    <w:p w14:paraId="235FEA01" w14:textId="21449024" w:rsidR="003719CD" w:rsidRDefault="003719CD" w:rsidP="00DC39DE">
      <w:r w:rsidRPr="00940E38">
        <w:fldChar w:fldCharType="end"/>
      </w:r>
    </w:p>
    <w:p w14:paraId="31A0FF48"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086E3B9C" w14:textId="77777777" w:rsidR="003719CD" w:rsidRDefault="003719CD" w:rsidP="007D536F">
      <w:pPr>
        <w:pStyle w:val="GuidanceBlockHeading"/>
      </w:pPr>
      <w:r>
        <w:t>Judgement required</w:t>
      </w:r>
    </w:p>
    <w:p w14:paraId="07F189F8" w14:textId="77777777" w:rsidR="003719CD" w:rsidRPr="00052843" w:rsidRDefault="003719CD" w:rsidP="00DC39DE">
      <w:pPr>
        <w:rPr>
          <w:rStyle w:val="Guidance"/>
        </w:rPr>
      </w:pPr>
      <w:r w:rsidRPr="00052843">
        <w:rPr>
          <w:rStyle w:val="Guidance"/>
        </w:rPr>
        <w:t>Judgement is required in allocating income and expenditure to specific outputs. [Include judgements made in making allocation.] For the period under review there were no amounts unallocated.</w:t>
      </w:r>
    </w:p>
    <w:p w14:paraId="5846AEB5" w14:textId="77777777" w:rsidR="003719CD" w:rsidRPr="00052843" w:rsidRDefault="003719CD" w:rsidP="007D536F">
      <w:pPr>
        <w:pStyle w:val="Heading4"/>
        <w:rPr>
          <w:rStyle w:val="Guidance"/>
        </w:rPr>
      </w:pPr>
      <w:r w:rsidRPr="00052843">
        <w:rPr>
          <w:rStyle w:val="Guidance"/>
        </w:rPr>
        <w:t>Distinction between controlled and administered items</w:t>
      </w:r>
    </w:p>
    <w:p w14:paraId="2AA937C3" w14:textId="51A0AEED" w:rsidR="003719CD" w:rsidRDefault="003719CD" w:rsidP="00DC39DE">
      <w:pPr>
        <w:rPr>
          <w:rStyle w:val="Guidance"/>
        </w:rPr>
      </w:pPr>
      <w:r w:rsidRPr="00052843">
        <w:rPr>
          <w:rStyle w:val="Guidance"/>
        </w:rPr>
        <w:t xml:space="preserve">The distinction between controlled and administered items is drawn based on whether the </w:t>
      </w:r>
      <w:r w:rsidR="00674866">
        <w:rPr>
          <w:rStyle w:val="Guidance"/>
        </w:rPr>
        <w:t>d</w:t>
      </w:r>
      <w:r w:rsidRPr="00052843">
        <w:rPr>
          <w:rStyle w:val="Guidance"/>
        </w:rPr>
        <w:t xml:space="preserve">epartment has the ability to deploy the resources in question for its own benefit (controlled items) or whether it does so on behalf of the State (administered). The </w:t>
      </w:r>
      <w:r w:rsidR="00674866">
        <w:rPr>
          <w:rStyle w:val="Guidance"/>
        </w:rPr>
        <w:t>d</w:t>
      </w:r>
      <w:r w:rsidRPr="00052843">
        <w:rPr>
          <w:rStyle w:val="Guidance"/>
        </w:rPr>
        <w:t>epartment remains accountable for transactions involving administered items, but it does not recognise these items in its financial statements.</w:t>
      </w:r>
    </w:p>
    <w:p w14:paraId="38CCFDCB" w14:textId="77777777" w:rsidR="003719CD" w:rsidRPr="00052843" w:rsidRDefault="003719CD" w:rsidP="007D536F">
      <w:pPr>
        <w:pStyle w:val="GuidanceEnd"/>
        <w:rPr>
          <w:rStyle w:val="Guidance"/>
        </w:rPr>
      </w:pPr>
    </w:p>
    <w:p w14:paraId="2B31394D" w14:textId="039006E5" w:rsidR="003719CD" w:rsidRDefault="003719CD" w:rsidP="001B5265">
      <w:pPr>
        <w:pStyle w:val="Heading2numbered"/>
      </w:pPr>
      <w:bookmarkStart w:id="41" w:name="_Toc96704879"/>
      <w:bookmarkStart w:id="42" w:name="_Toc130225949"/>
      <w:bookmarkStart w:id="43" w:name="_Toc64983152"/>
      <w:bookmarkStart w:id="44" w:name="Section_4"/>
      <w:r>
        <w:t>Departmental outputs – Descriptions and objectives</w:t>
      </w:r>
      <w:bookmarkEnd w:id="41"/>
      <w:bookmarkEnd w:id="42"/>
      <w:bookmarkEnd w:id="43"/>
    </w:p>
    <w:p w14:paraId="1A700FAC" w14:textId="77777777" w:rsidR="003719CD" w:rsidRDefault="003719CD" w:rsidP="007D536F">
      <w:pPr>
        <w:pStyle w:val="Heading3"/>
      </w:pPr>
      <w:r>
        <w:t>Strategic policy advice</w:t>
      </w:r>
    </w:p>
    <w:p w14:paraId="58160503" w14:textId="77777777" w:rsidR="003719CD" w:rsidRDefault="003719CD" w:rsidP="00DC39DE">
      <w:r w:rsidRPr="00052843">
        <w:rPr>
          <w:b/>
          <w:bCs/>
        </w:rPr>
        <w:t>Description of output</w:t>
      </w:r>
      <w:r>
        <w:t>: Provision of policy advice to the Government on the development, promotion, and support of information and biological technology in the public and private sectors.</w:t>
      </w:r>
    </w:p>
    <w:p w14:paraId="5FCB2186" w14:textId="77777777" w:rsidR="003719CD" w:rsidRDefault="003719CD" w:rsidP="00DC39DE">
      <w:r w:rsidRPr="00052843">
        <w:rPr>
          <w:b/>
          <w:bCs/>
        </w:rPr>
        <w:t>Objectives</w:t>
      </w:r>
      <w:r>
        <w:t>: Improved economic performance of the State through the application of leading-edge technology and to promote leadership in scientific research and innovation.</w:t>
      </w:r>
    </w:p>
    <w:p w14:paraId="0ED1FEEE" w14:textId="77777777" w:rsidR="003719CD" w:rsidRDefault="003719CD" w:rsidP="00DC39DE">
      <w:r>
        <w:t xml:space="preserve">Contribution to </w:t>
      </w:r>
      <w:r w:rsidRPr="00052843">
        <w:rPr>
          <w:rStyle w:val="Guidance"/>
          <w:i/>
          <w:iCs/>
        </w:rPr>
        <w:t>[Sustainability Thriving Victoria]</w:t>
      </w:r>
      <w:r>
        <w:t xml:space="preserve"> Government outcomes include:</w:t>
      </w:r>
    </w:p>
    <w:p w14:paraId="292D9D7F" w14:textId="1C6391B1" w:rsidR="003719CD" w:rsidRDefault="003719CD" w:rsidP="00310F12">
      <w:pPr>
        <w:pStyle w:val="ListBullet"/>
      </w:pPr>
      <w:r>
        <w:t>quality jobs and thriving innovative industries</w:t>
      </w:r>
    </w:p>
    <w:p w14:paraId="55FFCAFB" w14:textId="77777777" w:rsidR="003719CD" w:rsidRDefault="003719CD" w:rsidP="00310F12">
      <w:pPr>
        <w:pStyle w:val="ListBullet"/>
      </w:pPr>
      <w:r>
        <w:t>growing and linking all of Victoria.</w:t>
      </w:r>
    </w:p>
    <w:p w14:paraId="511AE1B7" w14:textId="77777777" w:rsidR="003719CD" w:rsidRDefault="003719CD" w:rsidP="007D536F">
      <w:pPr>
        <w:pStyle w:val="Heading3"/>
      </w:pPr>
      <w:r>
        <w:t>Information technology and telecommunication</w:t>
      </w:r>
    </w:p>
    <w:p w14:paraId="0F51FDDA" w14:textId="77777777" w:rsidR="003719CD" w:rsidRDefault="003719CD" w:rsidP="00DC39DE">
      <w:r w:rsidRPr="00052843">
        <w:rPr>
          <w:b/>
          <w:bCs/>
        </w:rPr>
        <w:t>Description of output</w:t>
      </w:r>
      <w:r>
        <w:t xml:space="preserve">: Provision of payroll, accounting and database management services and training to a range of agencies. The Information Technology and Telecommunications (IT&amp;T) division provides services on the application and use of IT&amp;T to other governments on a fee for service basis. </w:t>
      </w:r>
    </w:p>
    <w:p w14:paraId="57845BE7" w14:textId="77777777" w:rsidR="003719CD" w:rsidRDefault="003719CD" w:rsidP="00DC39DE">
      <w:r w:rsidRPr="00052843">
        <w:rPr>
          <w:b/>
          <w:bCs/>
        </w:rPr>
        <w:t>Objectives</w:t>
      </w:r>
      <w:r>
        <w:t>: Efficient and economical operation of government activities to ensure optimal use of resources. Leadership in IT&amp;T promotes Victoria as a centre for excellence in the application of new IT.</w:t>
      </w:r>
    </w:p>
    <w:p w14:paraId="0BC6803E" w14:textId="77777777" w:rsidR="003719CD" w:rsidRDefault="003719CD" w:rsidP="00DC39DE">
      <w:r>
        <w:t xml:space="preserve">Contribution to </w:t>
      </w:r>
      <w:r w:rsidRPr="00936CB4">
        <w:rPr>
          <w:rStyle w:val="Guidance"/>
          <w:i/>
          <w:iCs/>
        </w:rPr>
        <w:t>[Sustainability Thriving Victoria]</w:t>
      </w:r>
      <w:r>
        <w:t xml:space="preserve"> Government outcomes include:</w:t>
      </w:r>
    </w:p>
    <w:p w14:paraId="59327D66" w14:textId="32D8F3BE" w:rsidR="003719CD" w:rsidRDefault="003719CD" w:rsidP="00310F12">
      <w:pPr>
        <w:pStyle w:val="ListBullet"/>
      </w:pPr>
      <w:r>
        <w:t>quality jobs and thriving innovative industries</w:t>
      </w:r>
    </w:p>
    <w:p w14:paraId="010198B6" w14:textId="77777777" w:rsidR="003719CD" w:rsidRDefault="003719CD" w:rsidP="00310F12">
      <w:pPr>
        <w:pStyle w:val="ListBullet"/>
      </w:pPr>
      <w:r>
        <w:t>sound financial management.</w:t>
      </w:r>
    </w:p>
    <w:p w14:paraId="354C2BC0" w14:textId="77777777" w:rsidR="003719CD" w:rsidRDefault="003719CD" w:rsidP="007D536F">
      <w:pPr>
        <w:pStyle w:val="Heading3"/>
      </w:pPr>
      <w:r>
        <w:lastRenderedPageBreak/>
        <w:t>Research and development of biological technology</w:t>
      </w:r>
    </w:p>
    <w:p w14:paraId="46372FFB" w14:textId="77777777" w:rsidR="003719CD" w:rsidRDefault="003719CD" w:rsidP="00DC39DE">
      <w:r w:rsidRPr="00936CB4">
        <w:rPr>
          <w:b/>
          <w:bCs/>
        </w:rPr>
        <w:t>Description of output</w:t>
      </w:r>
      <w:r>
        <w:t>: Research and development of new biological technology for application in the agricultural and health sectors amongst others. Commercial development of this new technology is primarily undertaken by Gene Sciences Victoria, a business unit of the Department.</w:t>
      </w:r>
    </w:p>
    <w:p w14:paraId="4E387D3F" w14:textId="77777777" w:rsidR="003719CD" w:rsidRDefault="003719CD" w:rsidP="00DC39DE">
      <w:r w:rsidRPr="00936CB4">
        <w:rPr>
          <w:b/>
          <w:bCs/>
        </w:rPr>
        <w:t>Objectives</w:t>
      </w:r>
      <w:r>
        <w:t xml:space="preserve">: Improving the quality of life of Victorians through eradicating diseases and enhancing nutrition through higher-quality agricultural products. Improved agricultural products are also considered to contribute to the economic growth of the State. Contribution to </w:t>
      </w:r>
      <w:r w:rsidRPr="00936CB4">
        <w:rPr>
          <w:rStyle w:val="Guidance"/>
          <w:i/>
          <w:iCs/>
        </w:rPr>
        <w:t>[Sustainability Thriving Victoria]</w:t>
      </w:r>
      <w:r>
        <w:t xml:space="preserve"> Government outcomes include:</w:t>
      </w:r>
    </w:p>
    <w:p w14:paraId="6829BFF0" w14:textId="480B7B97" w:rsidR="003719CD" w:rsidRDefault="003719CD" w:rsidP="00310F12">
      <w:pPr>
        <w:pStyle w:val="ListBullet"/>
      </w:pPr>
      <w:r>
        <w:t>protecting the environment for future generations</w:t>
      </w:r>
    </w:p>
    <w:p w14:paraId="24B5432A" w14:textId="77777777" w:rsidR="003719CD" w:rsidRDefault="003719CD" w:rsidP="00310F12">
      <w:pPr>
        <w:pStyle w:val="ListBullet"/>
      </w:pPr>
      <w:r>
        <w:t>quality jobs and thriving innovative industries.</w:t>
      </w:r>
    </w:p>
    <w:p w14:paraId="58DE6817" w14:textId="77777777" w:rsidR="003719CD" w:rsidRDefault="003719CD" w:rsidP="007D536F">
      <w:pPr>
        <w:pStyle w:val="Caption"/>
        <w:sectPr w:rsidR="003719CD" w:rsidSect="006E0E99">
          <w:type w:val="continuous"/>
          <w:pgSz w:w="11906" w:h="16838" w:code="9"/>
          <w:pgMar w:top="1134" w:right="1134" w:bottom="1134" w:left="1134" w:header="624" w:footer="567" w:gutter="0"/>
          <w:cols w:space="708"/>
          <w:titlePg/>
          <w:docGrid w:linePitch="360"/>
        </w:sectPr>
      </w:pPr>
    </w:p>
    <w:p w14:paraId="674C1F48" w14:textId="07CC9257" w:rsidR="003719CD" w:rsidRDefault="003719CD" w:rsidP="007D536F">
      <w:pPr>
        <w:pStyle w:val="Caption"/>
      </w:pPr>
      <w:r>
        <w:lastRenderedPageBreak/>
        <w:t xml:space="preserve">Departmental outputs – Controlled income and expenses for the year ended 30 June </w:t>
      </w:r>
      <w:fldSimple w:instr="DOCPROPERTY  YearCurrent  \* MERGEFORMAT">
        <w:r w:rsidR="00A545BA">
          <w:t>20X2</w:t>
        </w:r>
      </w:fldSimple>
      <w:r w:rsidDel="004311BB">
        <w:t xml:space="preserve"> </w:t>
      </w:r>
      <w:r w:rsidRPr="00936CB4">
        <w:rPr>
          <w:rStyle w:val="Reference"/>
        </w:rPr>
        <w:t>[AASB 1052.15(c), 15(d)]</w:t>
      </w:r>
      <w:r>
        <w:tab/>
      </w:r>
      <w:r w:rsidR="007724CC">
        <w:tab/>
      </w:r>
      <w:r>
        <w:t>($ thousand)</w:t>
      </w:r>
    </w:p>
    <w:tbl>
      <w:tblPr>
        <w:tblStyle w:val="DTFTable"/>
        <w:tblW w:w="14580" w:type="dxa"/>
        <w:tblLayout w:type="fixed"/>
        <w:tblLook w:val="06A0" w:firstRow="1" w:lastRow="0" w:firstColumn="1" w:lastColumn="0" w:noHBand="1" w:noVBand="1"/>
      </w:tblPr>
      <w:tblGrid>
        <w:gridCol w:w="4230"/>
        <w:gridCol w:w="720"/>
        <w:gridCol w:w="1440"/>
        <w:gridCol w:w="900"/>
        <w:gridCol w:w="1080"/>
        <w:gridCol w:w="810"/>
        <w:gridCol w:w="1350"/>
        <w:gridCol w:w="990"/>
        <w:gridCol w:w="990"/>
        <w:gridCol w:w="1080"/>
        <w:gridCol w:w="990"/>
      </w:tblGrid>
      <w:tr w:rsidR="00B81D87" w14:paraId="20C27A06" w14:textId="77777777" w:rsidTr="0082681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30" w:type="dxa"/>
            <w:tcBorders>
              <w:bottom w:val="single" w:sz="12" w:space="0" w:color="auto"/>
            </w:tcBorders>
          </w:tcPr>
          <w:p w14:paraId="1A819405" w14:textId="77777777" w:rsidR="00B81D87" w:rsidRDefault="00B81D87" w:rsidP="00B81D87">
            <w:pPr>
              <w:keepNext/>
              <w:spacing w:after="0"/>
            </w:pPr>
          </w:p>
        </w:tc>
        <w:tc>
          <w:tcPr>
            <w:tcW w:w="2160" w:type="dxa"/>
            <w:gridSpan w:val="2"/>
            <w:tcBorders>
              <w:bottom w:val="single" w:sz="12" w:space="0" w:color="auto"/>
            </w:tcBorders>
          </w:tcPr>
          <w:p w14:paraId="56838D98" w14:textId="419339B6" w:rsidR="00B81D87" w:rsidRDefault="00B81D87" w:rsidP="00B81D87">
            <w:pPr>
              <w:keepNext/>
              <w:spacing w:after="0"/>
              <w:jc w:val="center"/>
              <w:cnfStyle w:val="100000000000" w:firstRow="1" w:lastRow="0" w:firstColumn="0" w:lastColumn="0" w:oddVBand="0" w:evenVBand="0" w:oddHBand="0" w:evenHBand="0" w:firstRowFirstColumn="0" w:firstRowLastColumn="0" w:lastRowFirstColumn="0" w:lastRowLastColumn="0"/>
            </w:pPr>
            <w:r>
              <w:t>Strategic policy advice</w:t>
            </w:r>
            <w:r>
              <w:rPr>
                <w:vertAlign w:val="superscript"/>
              </w:rPr>
              <w:t xml:space="preserve"> (a)</w:t>
            </w:r>
          </w:p>
        </w:tc>
        <w:tc>
          <w:tcPr>
            <w:tcW w:w="1980" w:type="dxa"/>
            <w:gridSpan w:val="2"/>
            <w:tcBorders>
              <w:bottom w:val="single" w:sz="12" w:space="0" w:color="auto"/>
            </w:tcBorders>
          </w:tcPr>
          <w:p w14:paraId="02F56458" w14:textId="4819CAFE" w:rsidR="00B81D87" w:rsidRDefault="00B81D87" w:rsidP="00B81D87">
            <w:pPr>
              <w:keepNext/>
              <w:spacing w:after="0"/>
              <w:jc w:val="center"/>
              <w:cnfStyle w:val="100000000000" w:firstRow="1" w:lastRow="0" w:firstColumn="0" w:lastColumn="0" w:oddVBand="0" w:evenVBand="0" w:oddHBand="0" w:evenHBand="0" w:firstRowFirstColumn="0" w:firstRowLastColumn="0" w:lastRowFirstColumn="0" w:lastRowLastColumn="0"/>
            </w:pPr>
            <w:r>
              <w:t>IT&amp;T services</w:t>
            </w:r>
            <w:r>
              <w:rPr>
                <w:vertAlign w:val="superscript"/>
              </w:rPr>
              <w:t xml:space="preserve"> (a)</w:t>
            </w:r>
          </w:p>
        </w:tc>
        <w:tc>
          <w:tcPr>
            <w:tcW w:w="2160" w:type="dxa"/>
            <w:gridSpan w:val="2"/>
            <w:tcBorders>
              <w:bottom w:val="single" w:sz="12" w:space="0" w:color="auto"/>
            </w:tcBorders>
          </w:tcPr>
          <w:p w14:paraId="6723C627" w14:textId="5DBB8DFB" w:rsidR="00B81D87" w:rsidRDefault="00B81D87" w:rsidP="00B81D87">
            <w:pPr>
              <w:keepNext/>
              <w:spacing w:after="0"/>
              <w:jc w:val="center"/>
              <w:cnfStyle w:val="100000000000" w:firstRow="1" w:lastRow="0" w:firstColumn="0" w:lastColumn="0" w:oddVBand="0" w:evenVBand="0" w:oddHBand="0" w:evenHBand="0" w:firstRowFirstColumn="0" w:firstRowLastColumn="0" w:lastRowFirstColumn="0" w:lastRowLastColumn="0"/>
            </w:pPr>
            <w:r>
              <w:t xml:space="preserve">New technology </w:t>
            </w:r>
            <w:r>
              <w:br/>
              <w:t>administration</w:t>
            </w:r>
            <w:r>
              <w:rPr>
                <w:vertAlign w:val="superscript"/>
              </w:rPr>
              <w:t xml:space="preserve"> (a)(b)</w:t>
            </w:r>
          </w:p>
        </w:tc>
        <w:tc>
          <w:tcPr>
            <w:tcW w:w="1980" w:type="dxa"/>
            <w:gridSpan w:val="2"/>
            <w:tcBorders>
              <w:bottom w:val="single" w:sz="12" w:space="0" w:color="auto"/>
            </w:tcBorders>
          </w:tcPr>
          <w:p w14:paraId="57BE84EC" w14:textId="658B9EC7" w:rsidR="00B81D87" w:rsidRDefault="00B81D87" w:rsidP="00B81D87">
            <w:pPr>
              <w:keepNext/>
              <w:spacing w:after="0"/>
              <w:jc w:val="center"/>
              <w:cnfStyle w:val="100000000000" w:firstRow="1" w:lastRow="0" w:firstColumn="0" w:lastColumn="0" w:oddVBand="0" w:evenVBand="0" w:oddHBand="0" w:evenHBand="0" w:firstRowFirstColumn="0" w:firstRowLastColumn="0" w:lastRowFirstColumn="0" w:lastRowLastColumn="0"/>
            </w:pPr>
            <w:r>
              <w:t>R&amp;D biological technology</w:t>
            </w:r>
            <w:r>
              <w:rPr>
                <w:vertAlign w:val="superscript"/>
              </w:rPr>
              <w:t xml:space="preserve"> (a)(c)</w:t>
            </w:r>
          </w:p>
        </w:tc>
        <w:tc>
          <w:tcPr>
            <w:tcW w:w="2070" w:type="dxa"/>
            <w:gridSpan w:val="2"/>
            <w:tcBorders>
              <w:bottom w:val="single" w:sz="12" w:space="0" w:color="auto"/>
            </w:tcBorders>
          </w:tcPr>
          <w:p w14:paraId="2ADAA396" w14:textId="3857216B" w:rsidR="00B81D87" w:rsidRDefault="00B81D87" w:rsidP="00B81D87">
            <w:pPr>
              <w:keepNext/>
              <w:spacing w:after="0"/>
              <w:jc w:val="center"/>
              <w:cnfStyle w:val="100000000000" w:firstRow="1" w:lastRow="0" w:firstColumn="0" w:lastColumn="0" w:oddVBand="0" w:evenVBand="0" w:oddHBand="0" w:evenHBand="0" w:firstRowFirstColumn="0" w:firstRowLastColumn="0" w:lastRowFirstColumn="0" w:lastRowLastColumn="0"/>
            </w:pPr>
            <w:r>
              <w:t>Departmental total</w:t>
            </w:r>
          </w:p>
        </w:tc>
      </w:tr>
      <w:tr w:rsidR="00D2404C" w14:paraId="7866B40E" w14:textId="77777777" w:rsidTr="0082681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30" w:type="dxa"/>
            <w:tcBorders>
              <w:bottom w:val="single" w:sz="12" w:space="0" w:color="auto"/>
            </w:tcBorders>
          </w:tcPr>
          <w:p w14:paraId="075EC638" w14:textId="77777777" w:rsidR="00D2404C" w:rsidRDefault="00D2404C" w:rsidP="00D2404C">
            <w:pPr>
              <w:keepNext/>
              <w:spacing w:after="0"/>
            </w:pPr>
          </w:p>
        </w:tc>
        <w:tc>
          <w:tcPr>
            <w:tcW w:w="720" w:type="dxa"/>
            <w:tcBorders>
              <w:bottom w:val="single" w:sz="12" w:space="0" w:color="auto"/>
            </w:tcBorders>
          </w:tcPr>
          <w:p w14:paraId="59E7158E" w14:textId="6C8DA22B"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440" w:type="dxa"/>
            <w:tcBorders>
              <w:bottom w:val="single" w:sz="12" w:space="0" w:color="auto"/>
            </w:tcBorders>
          </w:tcPr>
          <w:p w14:paraId="1132BFCE" w14:textId="7A55977D"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900" w:type="dxa"/>
            <w:tcBorders>
              <w:bottom w:val="single" w:sz="12" w:space="0" w:color="auto"/>
            </w:tcBorders>
          </w:tcPr>
          <w:p w14:paraId="62F505CB" w14:textId="18843AAB"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080" w:type="dxa"/>
            <w:tcBorders>
              <w:bottom w:val="single" w:sz="12" w:space="0" w:color="auto"/>
            </w:tcBorders>
          </w:tcPr>
          <w:p w14:paraId="6CEC3348" w14:textId="4C5EB7C1"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810" w:type="dxa"/>
            <w:tcBorders>
              <w:bottom w:val="single" w:sz="12" w:space="0" w:color="auto"/>
            </w:tcBorders>
          </w:tcPr>
          <w:p w14:paraId="3C7838A2" w14:textId="7E574477"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350" w:type="dxa"/>
            <w:tcBorders>
              <w:bottom w:val="single" w:sz="12" w:space="0" w:color="auto"/>
            </w:tcBorders>
          </w:tcPr>
          <w:p w14:paraId="6B2172D8" w14:textId="6365478E"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990" w:type="dxa"/>
            <w:tcBorders>
              <w:bottom w:val="single" w:sz="12" w:space="0" w:color="auto"/>
            </w:tcBorders>
          </w:tcPr>
          <w:p w14:paraId="7D3FBA0E" w14:textId="372CB32F"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990" w:type="dxa"/>
            <w:tcBorders>
              <w:bottom w:val="single" w:sz="12" w:space="0" w:color="auto"/>
            </w:tcBorders>
          </w:tcPr>
          <w:p w14:paraId="10D1B961" w14:textId="4070B07F"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1080" w:type="dxa"/>
            <w:tcBorders>
              <w:bottom w:val="single" w:sz="12" w:space="0" w:color="auto"/>
            </w:tcBorders>
          </w:tcPr>
          <w:p w14:paraId="58C16F51" w14:textId="36E82159"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990" w:type="dxa"/>
            <w:tcBorders>
              <w:bottom w:val="single" w:sz="12" w:space="0" w:color="auto"/>
            </w:tcBorders>
          </w:tcPr>
          <w:p w14:paraId="0FD84F4B" w14:textId="72EB3BEE" w:rsidR="00D2404C" w:rsidRPr="00D2404C" w:rsidRDefault="00D2404C" w:rsidP="00D2404C">
            <w:pPr>
              <w:keepNext/>
              <w:spacing w:after="0"/>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r>
      <w:tr w:rsidR="00B81D87" w14:paraId="5B4652AC"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5FD00B6C" w14:textId="77777777" w:rsidR="00B81D87" w:rsidRDefault="00B81D87" w:rsidP="00B81D87">
            <w:pPr>
              <w:spacing w:after="0"/>
            </w:pPr>
            <w:r>
              <w:rPr>
                <w:b/>
              </w:rPr>
              <w:t>Income from transactions</w:t>
            </w:r>
          </w:p>
        </w:tc>
        <w:tc>
          <w:tcPr>
            <w:tcW w:w="720" w:type="dxa"/>
          </w:tcPr>
          <w:p w14:paraId="4B5326DE"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440" w:type="dxa"/>
          </w:tcPr>
          <w:p w14:paraId="5006FD6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3734EBD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0448FF5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810" w:type="dxa"/>
          </w:tcPr>
          <w:p w14:paraId="7F774FD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350" w:type="dxa"/>
          </w:tcPr>
          <w:p w14:paraId="1F3FCD2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6DADC1A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3DEB333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0319392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79B3258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r>
      <w:tr w:rsidR="00B81D87" w14:paraId="5E5B95AD"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6AE7DE67" w14:textId="77777777" w:rsidR="00B81D87" w:rsidRDefault="00B81D87" w:rsidP="00B81D87">
            <w:pPr>
              <w:spacing w:after="0"/>
            </w:pPr>
            <w:r>
              <w:t>Output appropriations</w:t>
            </w:r>
          </w:p>
        </w:tc>
        <w:tc>
          <w:tcPr>
            <w:tcW w:w="720" w:type="dxa"/>
          </w:tcPr>
          <w:p w14:paraId="5C4BFA9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36 042</w:t>
            </w:r>
          </w:p>
        </w:tc>
        <w:tc>
          <w:tcPr>
            <w:tcW w:w="1440" w:type="dxa"/>
          </w:tcPr>
          <w:p w14:paraId="69D8954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30 000</w:t>
            </w:r>
          </w:p>
        </w:tc>
        <w:tc>
          <w:tcPr>
            <w:tcW w:w="900" w:type="dxa"/>
          </w:tcPr>
          <w:p w14:paraId="34E356E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9 500</w:t>
            </w:r>
          </w:p>
        </w:tc>
        <w:tc>
          <w:tcPr>
            <w:tcW w:w="1080" w:type="dxa"/>
          </w:tcPr>
          <w:p w14:paraId="108A9A4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7 000</w:t>
            </w:r>
          </w:p>
        </w:tc>
        <w:tc>
          <w:tcPr>
            <w:tcW w:w="810" w:type="dxa"/>
          </w:tcPr>
          <w:p w14:paraId="304DDAB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13 167</w:t>
            </w:r>
          </w:p>
        </w:tc>
        <w:tc>
          <w:tcPr>
            <w:tcW w:w="1350" w:type="dxa"/>
          </w:tcPr>
          <w:p w14:paraId="35CC12B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26 682</w:t>
            </w:r>
          </w:p>
        </w:tc>
        <w:tc>
          <w:tcPr>
            <w:tcW w:w="990" w:type="dxa"/>
          </w:tcPr>
          <w:p w14:paraId="70F6E2D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26 826</w:t>
            </w:r>
          </w:p>
        </w:tc>
        <w:tc>
          <w:tcPr>
            <w:tcW w:w="990" w:type="dxa"/>
          </w:tcPr>
          <w:p w14:paraId="4A68AB8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2C88D25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85 535</w:t>
            </w:r>
          </w:p>
        </w:tc>
        <w:tc>
          <w:tcPr>
            <w:tcW w:w="990" w:type="dxa"/>
          </w:tcPr>
          <w:p w14:paraId="17F99F2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63 682</w:t>
            </w:r>
          </w:p>
        </w:tc>
      </w:tr>
      <w:tr w:rsidR="00B81D87" w14:paraId="0AC91EB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7A89E702" w14:textId="77777777" w:rsidR="00B81D87" w:rsidRDefault="00B81D87" w:rsidP="00B81D87">
            <w:pPr>
              <w:spacing w:after="0"/>
            </w:pPr>
            <w:r>
              <w:t>Special appropriations</w:t>
            </w:r>
          </w:p>
        </w:tc>
        <w:tc>
          <w:tcPr>
            <w:tcW w:w="720" w:type="dxa"/>
          </w:tcPr>
          <w:p w14:paraId="17703DC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1 980</w:t>
            </w:r>
          </w:p>
        </w:tc>
        <w:tc>
          <w:tcPr>
            <w:tcW w:w="1440" w:type="dxa"/>
          </w:tcPr>
          <w:p w14:paraId="47FEAD1F"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3 587</w:t>
            </w:r>
          </w:p>
        </w:tc>
        <w:tc>
          <w:tcPr>
            <w:tcW w:w="900" w:type="dxa"/>
          </w:tcPr>
          <w:p w14:paraId="1044501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5 384</w:t>
            </w:r>
          </w:p>
        </w:tc>
        <w:tc>
          <w:tcPr>
            <w:tcW w:w="1080" w:type="dxa"/>
          </w:tcPr>
          <w:p w14:paraId="27C11CF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3 020</w:t>
            </w:r>
          </w:p>
        </w:tc>
        <w:tc>
          <w:tcPr>
            <w:tcW w:w="810" w:type="dxa"/>
          </w:tcPr>
          <w:p w14:paraId="3680A8F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760</w:t>
            </w:r>
          </w:p>
        </w:tc>
        <w:tc>
          <w:tcPr>
            <w:tcW w:w="1350" w:type="dxa"/>
          </w:tcPr>
          <w:p w14:paraId="00DFBE6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4 789</w:t>
            </w:r>
          </w:p>
        </w:tc>
        <w:tc>
          <w:tcPr>
            <w:tcW w:w="990" w:type="dxa"/>
          </w:tcPr>
          <w:p w14:paraId="2298AD7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w:t>
            </w:r>
          </w:p>
        </w:tc>
        <w:tc>
          <w:tcPr>
            <w:tcW w:w="990" w:type="dxa"/>
          </w:tcPr>
          <w:p w14:paraId="5642A61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55EA7DC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8 128</w:t>
            </w:r>
          </w:p>
        </w:tc>
        <w:tc>
          <w:tcPr>
            <w:tcW w:w="990" w:type="dxa"/>
          </w:tcPr>
          <w:p w14:paraId="1FE762E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11 396</w:t>
            </w:r>
          </w:p>
        </w:tc>
      </w:tr>
      <w:tr w:rsidR="00B81D87" w14:paraId="116D1FA2"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60AB34AE" w14:textId="77777777" w:rsidR="00B81D87" w:rsidRDefault="00B81D87" w:rsidP="00B81D87">
            <w:pPr>
              <w:spacing w:after="0"/>
            </w:pPr>
            <w:r>
              <w:t>Interest</w:t>
            </w:r>
          </w:p>
        </w:tc>
        <w:tc>
          <w:tcPr>
            <w:tcW w:w="720" w:type="dxa"/>
          </w:tcPr>
          <w:p w14:paraId="2310E2E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1 154</w:t>
            </w:r>
          </w:p>
        </w:tc>
        <w:tc>
          <w:tcPr>
            <w:tcW w:w="1440" w:type="dxa"/>
          </w:tcPr>
          <w:p w14:paraId="59DCD29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1 120</w:t>
            </w:r>
          </w:p>
        </w:tc>
        <w:tc>
          <w:tcPr>
            <w:tcW w:w="900" w:type="dxa"/>
          </w:tcPr>
          <w:p w14:paraId="0788BB1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1 071</w:t>
            </w:r>
          </w:p>
        </w:tc>
        <w:tc>
          <w:tcPr>
            <w:tcW w:w="1080" w:type="dxa"/>
          </w:tcPr>
          <w:p w14:paraId="237D091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816</w:t>
            </w:r>
          </w:p>
        </w:tc>
        <w:tc>
          <w:tcPr>
            <w:tcW w:w="810" w:type="dxa"/>
          </w:tcPr>
          <w:p w14:paraId="0ED36F2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970</w:t>
            </w:r>
          </w:p>
        </w:tc>
        <w:tc>
          <w:tcPr>
            <w:tcW w:w="1350" w:type="dxa"/>
          </w:tcPr>
          <w:p w14:paraId="605B3DC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961</w:t>
            </w:r>
          </w:p>
        </w:tc>
        <w:tc>
          <w:tcPr>
            <w:tcW w:w="990" w:type="dxa"/>
          </w:tcPr>
          <w:p w14:paraId="275DA74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669</w:t>
            </w:r>
          </w:p>
        </w:tc>
        <w:tc>
          <w:tcPr>
            <w:tcW w:w="990" w:type="dxa"/>
          </w:tcPr>
          <w:p w14:paraId="4EE71A2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12E3D97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3 864</w:t>
            </w:r>
          </w:p>
        </w:tc>
        <w:tc>
          <w:tcPr>
            <w:tcW w:w="990" w:type="dxa"/>
          </w:tcPr>
          <w:p w14:paraId="4A1B392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2 897</w:t>
            </w:r>
          </w:p>
        </w:tc>
      </w:tr>
      <w:tr w:rsidR="00B81D87" w14:paraId="75458B30"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22634ABE" w14:textId="77777777" w:rsidR="00B81D87" w:rsidRDefault="00B81D87" w:rsidP="00B81D87">
            <w:pPr>
              <w:spacing w:after="0"/>
            </w:pPr>
            <w:r>
              <w:t>Sale of goods and services</w:t>
            </w:r>
          </w:p>
        </w:tc>
        <w:tc>
          <w:tcPr>
            <w:tcW w:w="720" w:type="dxa"/>
          </w:tcPr>
          <w:p w14:paraId="56371A0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750</w:t>
            </w:r>
          </w:p>
        </w:tc>
        <w:tc>
          <w:tcPr>
            <w:tcW w:w="1440" w:type="dxa"/>
          </w:tcPr>
          <w:p w14:paraId="1AEEC24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555</w:t>
            </w:r>
          </w:p>
        </w:tc>
        <w:tc>
          <w:tcPr>
            <w:tcW w:w="900" w:type="dxa"/>
          </w:tcPr>
          <w:p w14:paraId="549F228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701</w:t>
            </w:r>
          </w:p>
        </w:tc>
        <w:tc>
          <w:tcPr>
            <w:tcW w:w="1080" w:type="dxa"/>
          </w:tcPr>
          <w:p w14:paraId="77FCC35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703</w:t>
            </w:r>
          </w:p>
        </w:tc>
        <w:tc>
          <w:tcPr>
            <w:tcW w:w="810" w:type="dxa"/>
          </w:tcPr>
          <w:p w14:paraId="36DE340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204</w:t>
            </w:r>
          </w:p>
        </w:tc>
        <w:tc>
          <w:tcPr>
            <w:tcW w:w="1350" w:type="dxa"/>
          </w:tcPr>
          <w:p w14:paraId="057EA12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88</w:t>
            </w:r>
          </w:p>
        </w:tc>
        <w:tc>
          <w:tcPr>
            <w:tcW w:w="990" w:type="dxa"/>
          </w:tcPr>
          <w:p w14:paraId="65F9EA6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124</w:t>
            </w:r>
          </w:p>
        </w:tc>
        <w:tc>
          <w:tcPr>
            <w:tcW w:w="990" w:type="dxa"/>
          </w:tcPr>
          <w:p w14:paraId="3FA24DF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50956FFE"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1 779</w:t>
            </w:r>
          </w:p>
        </w:tc>
        <w:tc>
          <w:tcPr>
            <w:tcW w:w="990" w:type="dxa"/>
          </w:tcPr>
          <w:p w14:paraId="0FF641C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1 346</w:t>
            </w:r>
          </w:p>
        </w:tc>
      </w:tr>
      <w:tr w:rsidR="00B81D87" w14:paraId="63899DD3"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07F996DE" w14:textId="77777777" w:rsidR="00B81D87" w:rsidRDefault="00B81D87" w:rsidP="00B81D87">
            <w:pPr>
              <w:spacing w:after="0"/>
            </w:pPr>
            <w:r>
              <w:t>Grants</w:t>
            </w:r>
          </w:p>
        </w:tc>
        <w:tc>
          <w:tcPr>
            <w:tcW w:w="720" w:type="dxa"/>
          </w:tcPr>
          <w:p w14:paraId="0D1D81D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39</w:t>
            </w:r>
          </w:p>
        </w:tc>
        <w:tc>
          <w:tcPr>
            <w:tcW w:w="1440" w:type="dxa"/>
          </w:tcPr>
          <w:p w14:paraId="4009E71F"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50</w:t>
            </w:r>
          </w:p>
        </w:tc>
        <w:tc>
          <w:tcPr>
            <w:tcW w:w="900" w:type="dxa"/>
          </w:tcPr>
          <w:p w14:paraId="56F472F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7AEA69DA"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810" w:type="dxa"/>
          </w:tcPr>
          <w:p w14:paraId="0DEBDC6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76</w:t>
            </w:r>
          </w:p>
        </w:tc>
        <w:tc>
          <w:tcPr>
            <w:tcW w:w="1350" w:type="dxa"/>
          </w:tcPr>
          <w:p w14:paraId="2C72961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90</w:t>
            </w:r>
          </w:p>
        </w:tc>
        <w:tc>
          <w:tcPr>
            <w:tcW w:w="990" w:type="dxa"/>
          </w:tcPr>
          <w:p w14:paraId="42F5895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173</w:t>
            </w:r>
          </w:p>
        </w:tc>
        <w:tc>
          <w:tcPr>
            <w:tcW w:w="990" w:type="dxa"/>
          </w:tcPr>
          <w:p w14:paraId="60A287E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5645673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288</w:t>
            </w:r>
          </w:p>
        </w:tc>
        <w:tc>
          <w:tcPr>
            <w:tcW w:w="990" w:type="dxa"/>
          </w:tcPr>
          <w:p w14:paraId="3F9573D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140</w:t>
            </w:r>
          </w:p>
        </w:tc>
      </w:tr>
      <w:tr w:rsidR="00B81D87" w14:paraId="1AB78359"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317893A0" w14:textId="77777777" w:rsidR="00B81D87" w:rsidRDefault="00B81D87" w:rsidP="00B81D87">
            <w:pPr>
              <w:spacing w:after="0"/>
            </w:pPr>
            <w:r>
              <w:t>Fair value of assets and services received free of charge or for nominal consideration</w:t>
            </w:r>
          </w:p>
        </w:tc>
        <w:tc>
          <w:tcPr>
            <w:tcW w:w="720" w:type="dxa"/>
          </w:tcPr>
          <w:p w14:paraId="79C4312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849</w:t>
            </w:r>
          </w:p>
        </w:tc>
        <w:tc>
          <w:tcPr>
            <w:tcW w:w="1440" w:type="dxa"/>
          </w:tcPr>
          <w:p w14:paraId="769E585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696</w:t>
            </w:r>
          </w:p>
        </w:tc>
        <w:tc>
          <w:tcPr>
            <w:tcW w:w="900" w:type="dxa"/>
          </w:tcPr>
          <w:p w14:paraId="33B0043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34</w:t>
            </w:r>
          </w:p>
        </w:tc>
        <w:tc>
          <w:tcPr>
            <w:tcW w:w="1080" w:type="dxa"/>
          </w:tcPr>
          <w:p w14:paraId="029E2FD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109</w:t>
            </w:r>
          </w:p>
        </w:tc>
        <w:tc>
          <w:tcPr>
            <w:tcW w:w="810" w:type="dxa"/>
          </w:tcPr>
          <w:p w14:paraId="099CE7C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180</w:t>
            </w:r>
          </w:p>
        </w:tc>
        <w:tc>
          <w:tcPr>
            <w:tcW w:w="1350" w:type="dxa"/>
          </w:tcPr>
          <w:p w14:paraId="63746D0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903</w:t>
            </w:r>
          </w:p>
        </w:tc>
        <w:tc>
          <w:tcPr>
            <w:tcW w:w="990" w:type="dxa"/>
          </w:tcPr>
          <w:p w14:paraId="048764B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526</w:t>
            </w:r>
          </w:p>
        </w:tc>
        <w:tc>
          <w:tcPr>
            <w:tcW w:w="990" w:type="dxa"/>
          </w:tcPr>
          <w:p w14:paraId="592EF64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79ABC88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1 589</w:t>
            </w:r>
          </w:p>
        </w:tc>
        <w:tc>
          <w:tcPr>
            <w:tcW w:w="990" w:type="dxa"/>
          </w:tcPr>
          <w:p w14:paraId="4E39CE9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1 708</w:t>
            </w:r>
          </w:p>
        </w:tc>
      </w:tr>
      <w:tr w:rsidR="00B81D87" w14:paraId="134E81D8" w14:textId="77777777" w:rsidTr="00826814">
        <w:tc>
          <w:tcPr>
            <w:cnfStyle w:val="001000000000" w:firstRow="0" w:lastRow="0" w:firstColumn="1" w:lastColumn="0" w:oddVBand="0" w:evenVBand="0" w:oddHBand="0" w:evenHBand="0" w:firstRowFirstColumn="0" w:firstRowLastColumn="0" w:lastRowFirstColumn="0" w:lastRowLastColumn="0"/>
            <w:tcW w:w="4230" w:type="dxa"/>
            <w:tcBorders>
              <w:bottom w:val="single" w:sz="12" w:space="0" w:color="auto"/>
            </w:tcBorders>
          </w:tcPr>
          <w:p w14:paraId="0D36B6EA" w14:textId="77777777" w:rsidR="00B81D87" w:rsidRDefault="00B81D87" w:rsidP="00B81D87">
            <w:pPr>
              <w:spacing w:after="0"/>
            </w:pPr>
            <w:r>
              <w:t>Other income</w:t>
            </w:r>
          </w:p>
        </w:tc>
        <w:tc>
          <w:tcPr>
            <w:tcW w:w="720" w:type="dxa"/>
            <w:tcBorders>
              <w:bottom w:val="single" w:sz="12" w:space="0" w:color="auto"/>
            </w:tcBorders>
          </w:tcPr>
          <w:p w14:paraId="0713F0B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4 683</w:t>
            </w:r>
          </w:p>
        </w:tc>
        <w:tc>
          <w:tcPr>
            <w:tcW w:w="1440" w:type="dxa"/>
            <w:tcBorders>
              <w:bottom w:val="single" w:sz="12" w:space="0" w:color="auto"/>
            </w:tcBorders>
          </w:tcPr>
          <w:p w14:paraId="2306A82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5 009</w:t>
            </w:r>
          </w:p>
        </w:tc>
        <w:tc>
          <w:tcPr>
            <w:tcW w:w="900" w:type="dxa"/>
            <w:tcBorders>
              <w:bottom w:val="single" w:sz="12" w:space="0" w:color="auto"/>
            </w:tcBorders>
          </w:tcPr>
          <w:p w14:paraId="516D837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950</w:t>
            </w:r>
          </w:p>
        </w:tc>
        <w:tc>
          <w:tcPr>
            <w:tcW w:w="1080" w:type="dxa"/>
            <w:tcBorders>
              <w:bottom w:val="single" w:sz="12" w:space="0" w:color="auto"/>
            </w:tcBorders>
          </w:tcPr>
          <w:p w14:paraId="71590E8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775</w:t>
            </w:r>
          </w:p>
        </w:tc>
        <w:tc>
          <w:tcPr>
            <w:tcW w:w="810" w:type="dxa"/>
            <w:tcBorders>
              <w:bottom w:val="single" w:sz="12" w:space="0" w:color="auto"/>
            </w:tcBorders>
          </w:tcPr>
          <w:p w14:paraId="008FF20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255</w:t>
            </w:r>
          </w:p>
        </w:tc>
        <w:tc>
          <w:tcPr>
            <w:tcW w:w="1350" w:type="dxa"/>
            <w:tcBorders>
              <w:bottom w:val="single" w:sz="12" w:space="0" w:color="auto"/>
            </w:tcBorders>
          </w:tcPr>
          <w:p w14:paraId="2D455A1A"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157</w:t>
            </w:r>
          </w:p>
        </w:tc>
        <w:tc>
          <w:tcPr>
            <w:tcW w:w="990" w:type="dxa"/>
            <w:tcBorders>
              <w:bottom w:val="single" w:sz="12" w:space="0" w:color="auto"/>
            </w:tcBorders>
          </w:tcPr>
          <w:p w14:paraId="589E639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1 325</w:t>
            </w:r>
          </w:p>
        </w:tc>
        <w:tc>
          <w:tcPr>
            <w:tcW w:w="990" w:type="dxa"/>
            <w:tcBorders>
              <w:bottom w:val="single" w:sz="12" w:space="0" w:color="auto"/>
            </w:tcBorders>
          </w:tcPr>
          <w:p w14:paraId="4F5ED25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Borders>
              <w:bottom w:val="single" w:sz="12" w:space="0" w:color="auto"/>
            </w:tcBorders>
          </w:tcPr>
          <w:p w14:paraId="03B8EE6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7 213</w:t>
            </w:r>
          </w:p>
        </w:tc>
        <w:tc>
          <w:tcPr>
            <w:tcW w:w="990" w:type="dxa"/>
            <w:tcBorders>
              <w:bottom w:val="single" w:sz="12" w:space="0" w:color="auto"/>
            </w:tcBorders>
          </w:tcPr>
          <w:p w14:paraId="689E131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5 941</w:t>
            </w:r>
          </w:p>
        </w:tc>
      </w:tr>
      <w:tr w:rsidR="00B81D87" w14:paraId="77FAB44D"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45D7E8F3" w14:textId="77777777" w:rsidR="00B81D87" w:rsidRDefault="00B81D87" w:rsidP="00B81D87">
            <w:pPr>
              <w:spacing w:after="0"/>
            </w:pPr>
            <w:r>
              <w:rPr>
                <w:b/>
              </w:rPr>
              <w:t>Subtotal</w:t>
            </w:r>
          </w:p>
        </w:tc>
        <w:tc>
          <w:tcPr>
            <w:tcW w:w="720" w:type="dxa"/>
          </w:tcPr>
          <w:p w14:paraId="071095F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45 497</w:t>
            </w:r>
          </w:p>
        </w:tc>
        <w:tc>
          <w:tcPr>
            <w:tcW w:w="1440" w:type="dxa"/>
          </w:tcPr>
          <w:p w14:paraId="2254BBA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41 017</w:t>
            </w:r>
          </w:p>
        </w:tc>
        <w:tc>
          <w:tcPr>
            <w:tcW w:w="900" w:type="dxa"/>
          </w:tcPr>
          <w:p w14:paraId="27AEE61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17 640</w:t>
            </w:r>
          </w:p>
        </w:tc>
        <w:tc>
          <w:tcPr>
            <w:tcW w:w="1080" w:type="dxa"/>
          </w:tcPr>
          <w:p w14:paraId="7BBE72BF"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12 423</w:t>
            </w:r>
          </w:p>
        </w:tc>
        <w:tc>
          <w:tcPr>
            <w:tcW w:w="810" w:type="dxa"/>
          </w:tcPr>
          <w:p w14:paraId="5444FA8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15 612</w:t>
            </w:r>
          </w:p>
        </w:tc>
        <w:tc>
          <w:tcPr>
            <w:tcW w:w="1350" w:type="dxa"/>
          </w:tcPr>
          <w:p w14:paraId="754BF1A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33 670</w:t>
            </w:r>
          </w:p>
        </w:tc>
        <w:tc>
          <w:tcPr>
            <w:tcW w:w="990" w:type="dxa"/>
          </w:tcPr>
          <w:p w14:paraId="7D832B2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29 647</w:t>
            </w:r>
          </w:p>
        </w:tc>
        <w:tc>
          <w:tcPr>
            <w:tcW w:w="990" w:type="dxa"/>
          </w:tcPr>
          <w:p w14:paraId="2C1B3EBA"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80" w:type="dxa"/>
          </w:tcPr>
          <w:p w14:paraId="2C422B0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108 396</w:t>
            </w:r>
          </w:p>
        </w:tc>
        <w:tc>
          <w:tcPr>
            <w:tcW w:w="990" w:type="dxa"/>
          </w:tcPr>
          <w:p w14:paraId="017993FF"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87 110</w:t>
            </w:r>
          </w:p>
        </w:tc>
      </w:tr>
      <w:tr w:rsidR="00B81D87" w14:paraId="0CC756D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23784980" w14:textId="77777777" w:rsidR="00B81D87" w:rsidRDefault="00B81D87" w:rsidP="00B81D87">
            <w:pPr>
              <w:spacing w:after="0"/>
            </w:pPr>
            <w:r>
              <w:rPr>
                <w:b/>
              </w:rPr>
              <w:t>Expenses from transactions</w:t>
            </w:r>
          </w:p>
        </w:tc>
        <w:tc>
          <w:tcPr>
            <w:tcW w:w="720" w:type="dxa"/>
          </w:tcPr>
          <w:p w14:paraId="58A8898E"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440" w:type="dxa"/>
          </w:tcPr>
          <w:p w14:paraId="54B1EACF"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4889DDA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6C09B41F"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810" w:type="dxa"/>
          </w:tcPr>
          <w:p w14:paraId="4B5002A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350" w:type="dxa"/>
          </w:tcPr>
          <w:p w14:paraId="578257A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3E6A324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0B16E07A"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07AE5B4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46F053B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r>
      <w:tr w:rsidR="00B81D87" w14:paraId="7F91AC1B"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565A352A" w14:textId="77777777" w:rsidR="00B81D87" w:rsidRDefault="00B81D87" w:rsidP="00B81D87">
            <w:pPr>
              <w:spacing w:after="0"/>
            </w:pPr>
            <w:r>
              <w:t>Employee expenses</w:t>
            </w:r>
          </w:p>
        </w:tc>
        <w:tc>
          <w:tcPr>
            <w:tcW w:w="720" w:type="dxa"/>
          </w:tcPr>
          <w:p w14:paraId="5DB670A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(3 883)</w:t>
            </w:r>
          </w:p>
        </w:tc>
        <w:tc>
          <w:tcPr>
            <w:tcW w:w="1440" w:type="dxa"/>
          </w:tcPr>
          <w:p w14:paraId="3B0CEC8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(5 258)</w:t>
            </w:r>
          </w:p>
        </w:tc>
        <w:tc>
          <w:tcPr>
            <w:tcW w:w="900" w:type="dxa"/>
          </w:tcPr>
          <w:p w14:paraId="79DA7E1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(2 586)</w:t>
            </w:r>
          </w:p>
        </w:tc>
        <w:tc>
          <w:tcPr>
            <w:tcW w:w="1080" w:type="dxa"/>
          </w:tcPr>
          <w:p w14:paraId="4E23EEAE"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(3 388)</w:t>
            </w:r>
          </w:p>
        </w:tc>
        <w:tc>
          <w:tcPr>
            <w:tcW w:w="810" w:type="dxa"/>
          </w:tcPr>
          <w:p w14:paraId="5388573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(2 729)</w:t>
            </w:r>
          </w:p>
        </w:tc>
        <w:tc>
          <w:tcPr>
            <w:tcW w:w="1350" w:type="dxa"/>
          </w:tcPr>
          <w:p w14:paraId="30868FD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(2 324)</w:t>
            </w:r>
          </w:p>
        </w:tc>
        <w:tc>
          <w:tcPr>
            <w:tcW w:w="990" w:type="dxa"/>
          </w:tcPr>
          <w:p w14:paraId="3548905B"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(4 569)</w:t>
            </w:r>
          </w:p>
        </w:tc>
        <w:tc>
          <w:tcPr>
            <w:tcW w:w="990" w:type="dxa"/>
          </w:tcPr>
          <w:p w14:paraId="3BD6D2D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3B627B03"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(13 767)</w:t>
            </w:r>
          </w:p>
        </w:tc>
        <w:tc>
          <w:tcPr>
            <w:tcW w:w="990" w:type="dxa"/>
          </w:tcPr>
          <w:p w14:paraId="4C15E8D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(10 970)</w:t>
            </w:r>
          </w:p>
        </w:tc>
      </w:tr>
      <w:tr w:rsidR="00B81D87" w14:paraId="51E32AA5"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128496A0" w14:textId="77777777" w:rsidR="00B81D87" w:rsidRDefault="00B81D87" w:rsidP="00B81D87">
            <w:pPr>
              <w:spacing w:after="0"/>
            </w:pPr>
            <w:r>
              <w:t>Depreciation</w:t>
            </w:r>
          </w:p>
        </w:tc>
        <w:tc>
          <w:tcPr>
            <w:tcW w:w="720" w:type="dxa"/>
          </w:tcPr>
          <w:p w14:paraId="039333B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(5 725)</w:t>
            </w:r>
          </w:p>
        </w:tc>
        <w:tc>
          <w:tcPr>
            <w:tcW w:w="1440" w:type="dxa"/>
          </w:tcPr>
          <w:p w14:paraId="4132F6A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(4 615)</w:t>
            </w:r>
          </w:p>
        </w:tc>
        <w:tc>
          <w:tcPr>
            <w:tcW w:w="900" w:type="dxa"/>
          </w:tcPr>
          <w:p w14:paraId="5B2D26FA"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(3 427)</w:t>
            </w:r>
          </w:p>
        </w:tc>
        <w:tc>
          <w:tcPr>
            <w:tcW w:w="1080" w:type="dxa"/>
          </w:tcPr>
          <w:p w14:paraId="6E3D3B8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(3 530)</w:t>
            </w:r>
          </w:p>
        </w:tc>
        <w:tc>
          <w:tcPr>
            <w:tcW w:w="810" w:type="dxa"/>
          </w:tcPr>
          <w:p w14:paraId="3E20B94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(5 276)</w:t>
            </w:r>
          </w:p>
        </w:tc>
        <w:tc>
          <w:tcPr>
            <w:tcW w:w="1350" w:type="dxa"/>
          </w:tcPr>
          <w:p w14:paraId="0870A48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(5 213)</w:t>
            </w:r>
          </w:p>
        </w:tc>
        <w:tc>
          <w:tcPr>
            <w:tcW w:w="990" w:type="dxa"/>
          </w:tcPr>
          <w:p w14:paraId="64655AD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(4 290)</w:t>
            </w:r>
          </w:p>
        </w:tc>
        <w:tc>
          <w:tcPr>
            <w:tcW w:w="990" w:type="dxa"/>
          </w:tcPr>
          <w:p w14:paraId="1F5AA4A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736A62A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(18 718)</w:t>
            </w:r>
          </w:p>
        </w:tc>
        <w:tc>
          <w:tcPr>
            <w:tcW w:w="990" w:type="dxa"/>
          </w:tcPr>
          <w:p w14:paraId="5357299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(13 358)</w:t>
            </w:r>
          </w:p>
        </w:tc>
      </w:tr>
      <w:tr w:rsidR="00B81D87" w14:paraId="4113659A"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12E7DCE7" w14:textId="77777777" w:rsidR="00B81D87" w:rsidRDefault="00B81D87" w:rsidP="00B81D87">
            <w:pPr>
              <w:spacing w:after="0"/>
            </w:pPr>
            <w:r>
              <w:t>Interest expense</w:t>
            </w:r>
          </w:p>
        </w:tc>
        <w:tc>
          <w:tcPr>
            <w:tcW w:w="720" w:type="dxa"/>
          </w:tcPr>
          <w:p w14:paraId="64123F0A"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(1 863)</w:t>
            </w:r>
          </w:p>
        </w:tc>
        <w:tc>
          <w:tcPr>
            <w:tcW w:w="1440" w:type="dxa"/>
          </w:tcPr>
          <w:p w14:paraId="2B095A8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(1 575)</w:t>
            </w:r>
          </w:p>
        </w:tc>
        <w:tc>
          <w:tcPr>
            <w:tcW w:w="900" w:type="dxa"/>
          </w:tcPr>
          <w:p w14:paraId="20E26BC5"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(679)</w:t>
            </w:r>
          </w:p>
        </w:tc>
        <w:tc>
          <w:tcPr>
            <w:tcW w:w="1080" w:type="dxa"/>
          </w:tcPr>
          <w:p w14:paraId="294D3B0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(232)</w:t>
            </w:r>
          </w:p>
        </w:tc>
        <w:tc>
          <w:tcPr>
            <w:tcW w:w="810" w:type="dxa"/>
          </w:tcPr>
          <w:p w14:paraId="12DE934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(3 920)</w:t>
            </w:r>
          </w:p>
        </w:tc>
        <w:tc>
          <w:tcPr>
            <w:tcW w:w="1350" w:type="dxa"/>
          </w:tcPr>
          <w:p w14:paraId="7FC4B77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(2 528)</w:t>
            </w:r>
          </w:p>
        </w:tc>
        <w:tc>
          <w:tcPr>
            <w:tcW w:w="990" w:type="dxa"/>
          </w:tcPr>
          <w:p w14:paraId="38BE9A82"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(86)</w:t>
            </w:r>
          </w:p>
        </w:tc>
        <w:tc>
          <w:tcPr>
            <w:tcW w:w="990" w:type="dxa"/>
          </w:tcPr>
          <w:p w14:paraId="033A3E14"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6C6C385D"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(6 548)</w:t>
            </w:r>
          </w:p>
        </w:tc>
        <w:tc>
          <w:tcPr>
            <w:tcW w:w="990" w:type="dxa"/>
          </w:tcPr>
          <w:p w14:paraId="0EBB4359"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(4 335)</w:t>
            </w:r>
          </w:p>
        </w:tc>
      </w:tr>
      <w:tr w:rsidR="00B81D87" w14:paraId="3A9C378C"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202DAE99" w14:textId="77777777" w:rsidR="00B81D87" w:rsidRDefault="00B81D87" w:rsidP="00B81D87">
            <w:pPr>
              <w:spacing w:after="0"/>
            </w:pPr>
            <w:r>
              <w:t>Grant expenses</w:t>
            </w:r>
          </w:p>
        </w:tc>
        <w:tc>
          <w:tcPr>
            <w:tcW w:w="720" w:type="dxa"/>
          </w:tcPr>
          <w:p w14:paraId="138FDB6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(19 525)</w:t>
            </w:r>
          </w:p>
        </w:tc>
        <w:tc>
          <w:tcPr>
            <w:tcW w:w="1440" w:type="dxa"/>
          </w:tcPr>
          <w:p w14:paraId="10E0E4A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(25 217)</w:t>
            </w:r>
          </w:p>
        </w:tc>
        <w:tc>
          <w:tcPr>
            <w:tcW w:w="900" w:type="dxa"/>
          </w:tcPr>
          <w:p w14:paraId="1EAF785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4CA752A7"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810" w:type="dxa"/>
          </w:tcPr>
          <w:p w14:paraId="4A1AB65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(822)</w:t>
            </w:r>
          </w:p>
        </w:tc>
        <w:tc>
          <w:tcPr>
            <w:tcW w:w="1350" w:type="dxa"/>
          </w:tcPr>
          <w:p w14:paraId="7DD23A76"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(17 823)</w:t>
            </w:r>
          </w:p>
        </w:tc>
        <w:tc>
          <w:tcPr>
            <w:tcW w:w="990" w:type="dxa"/>
          </w:tcPr>
          <w:p w14:paraId="0519C1AC"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(12 537)</w:t>
            </w:r>
          </w:p>
        </w:tc>
        <w:tc>
          <w:tcPr>
            <w:tcW w:w="990" w:type="dxa"/>
          </w:tcPr>
          <w:p w14:paraId="4827A040"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333B9D01"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(32 884)</w:t>
            </w:r>
          </w:p>
        </w:tc>
        <w:tc>
          <w:tcPr>
            <w:tcW w:w="990" w:type="dxa"/>
          </w:tcPr>
          <w:p w14:paraId="1102FC78" w14:textId="777777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(43 040)</w:t>
            </w:r>
          </w:p>
        </w:tc>
      </w:tr>
      <w:tr w:rsidR="00B81D87" w14:paraId="3C4E9644" w14:textId="77777777" w:rsidTr="00826814">
        <w:tc>
          <w:tcPr>
            <w:cnfStyle w:val="001000000000" w:firstRow="0" w:lastRow="0" w:firstColumn="1" w:lastColumn="0" w:oddVBand="0" w:evenVBand="0" w:oddHBand="0" w:evenHBand="0" w:firstRowFirstColumn="0" w:firstRowLastColumn="0" w:lastRowFirstColumn="0" w:lastRowLastColumn="0"/>
            <w:tcW w:w="4230" w:type="dxa"/>
            <w:tcBorders>
              <w:bottom w:val="single" w:sz="12" w:space="0" w:color="auto"/>
            </w:tcBorders>
          </w:tcPr>
          <w:p w14:paraId="160BD94B" w14:textId="4130DFBA" w:rsidR="00B81D87" w:rsidRDefault="00B81D87" w:rsidP="00B81D87">
            <w:pPr>
              <w:spacing w:after="0"/>
            </w:pPr>
            <w:r>
              <w:t>Other operating expenses</w:t>
            </w:r>
          </w:p>
        </w:tc>
        <w:tc>
          <w:tcPr>
            <w:tcW w:w="720" w:type="dxa"/>
            <w:tcBorders>
              <w:bottom w:val="single" w:sz="12" w:space="0" w:color="auto"/>
            </w:tcBorders>
          </w:tcPr>
          <w:p w14:paraId="5F9BC725" w14:textId="0B03B42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(3 490)</w:t>
            </w:r>
          </w:p>
        </w:tc>
        <w:tc>
          <w:tcPr>
            <w:tcW w:w="1440" w:type="dxa"/>
            <w:tcBorders>
              <w:bottom w:val="single" w:sz="12" w:space="0" w:color="auto"/>
            </w:tcBorders>
          </w:tcPr>
          <w:p w14:paraId="7633B96B" w14:textId="2823A80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(4 512)</w:t>
            </w:r>
          </w:p>
        </w:tc>
        <w:tc>
          <w:tcPr>
            <w:tcW w:w="900" w:type="dxa"/>
            <w:tcBorders>
              <w:bottom w:val="single" w:sz="12" w:space="0" w:color="auto"/>
            </w:tcBorders>
          </w:tcPr>
          <w:p w14:paraId="395D3C0D" w14:textId="7AF2805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(1 328)</w:t>
            </w:r>
          </w:p>
        </w:tc>
        <w:tc>
          <w:tcPr>
            <w:tcW w:w="1080" w:type="dxa"/>
            <w:tcBorders>
              <w:bottom w:val="single" w:sz="12" w:space="0" w:color="auto"/>
            </w:tcBorders>
          </w:tcPr>
          <w:p w14:paraId="48D59411" w14:textId="44327B59"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(1 112)</w:t>
            </w:r>
          </w:p>
        </w:tc>
        <w:tc>
          <w:tcPr>
            <w:tcW w:w="810" w:type="dxa"/>
            <w:tcBorders>
              <w:bottom w:val="single" w:sz="12" w:space="0" w:color="auto"/>
            </w:tcBorders>
          </w:tcPr>
          <w:p w14:paraId="449E25BE" w14:textId="5FB2D4F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(3 525)</w:t>
            </w:r>
          </w:p>
        </w:tc>
        <w:tc>
          <w:tcPr>
            <w:tcW w:w="1350" w:type="dxa"/>
            <w:tcBorders>
              <w:bottom w:val="single" w:sz="12" w:space="0" w:color="auto"/>
            </w:tcBorders>
          </w:tcPr>
          <w:p w14:paraId="021AD480" w14:textId="6AA17E3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(3 198)</w:t>
            </w:r>
          </w:p>
        </w:tc>
        <w:tc>
          <w:tcPr>
            <w:tcW w:w="990" w:type="dxa"/>
            <w:tcBorders>
              <w:bottom w:val="single" w:sz="12" w:space="0" w:color="auto"/>
            </w:tcBorders>
          </w:tcPr>
          <w:p w14:paraId="5A56EA3F" w14:textId="5075014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(7 985)</w:t>
            </w:r>
          </w:p>
        </w:tc>
        <w:tc>
          <w:tcPr>
            <w:tcW w:w="990" w:type="dxa"/>
            <w:tcBorders>
              <w:bottom w:val="single" w:sz="12" w:space="0" w:color="auto"/>
            </w:tcBorders>
          </w:tcPr>
          <w:p w14:paraId="5365521F" w14:textId="33BF5BE2"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Borders>
              <w:bottom w:val="single" w:sz="12" w:space="0" w:color="auto"/>
            </w:tcBorders>
          </w:tcPr>
          <w:p w14:paraId="710C5AEE" w14:textId="4F34CB7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(16 328)</w:t>
            </w:r>
          </w:p>
        </w:tc>
        <w:tc>
          <w:tcPr>
            <w:tcW w:w="990" w:type="dxa"/>
            <w:tcBorders>
              <w:bottom w:val="single" w:sz="12" w:space="0" w:color="auto"/>
            </w:tcBorders>
          </w:tcPr>
          <w:p w14:paraId="02095D57" w14:textId="376D557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(8 822)</w:t>
            </w:r>
          </w:p>
        </w:tc>
      </w:tr>
      <w:tr w:rsidR="00B81D87" w14:paraId="199095B6"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2DE7895F" w14:textId="78747E88" w:rsidR="00B81D87" w:rsidRDefault="00B81D87" w:rsidP="00B81D87">
            <w:pPr>
              <w:spacing w:after="0"/>
            </w:pPr>
            <w:r>
              <w:rPr>
                <w:b/>
              </w:rPr>
              <w:t>Subtotal</w:t>
            </w:r>
          </w:p>
        </w:tc>
        <w:tc>
          <w:tcPr>
            <w:tcW w:w="720" w:type="dxa"/>
          </w:tcPr>
          <w:p w14:paraId="268DC3C0" w14:textId="2827327A"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(34 486)</w:t>
            </w:r>
          </w:p>
        </w:tc>
        <w:tc>
          <w:tcPr>
            <w:tcW w:w="1440" w:type="dxa"/>
          </w:tcPr>
          <w:p w14:paraId="279B661B" w14:textId="02C82A98"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(41 177)</w:t>
            </w:r>
          </w:p>
        </w:tc>
        <w:tc>
          <w:tcPr>
            <w:tcW w:w="900" w:type="dxa"/>
          </w:tcPr>
          <w:p w14:paraId="0FA8ECFB" w14:textId="5416CC81"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(8 020)</w:t>
            </w:r>
          </w:p>
        </w:tc>
        <w:tc>
          <w:tcPr>
            <w:tcW w:w="1080" w:type="dxa"/>
          </w:tcPr>
          <w:p w14:paraId="5E98247C" w14:textId="09B04F0E"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(8 262)</w:t>
            </w:r>
          </w:p>
        </w:tc>
        <w:tc>
          <w:tcPr>
            <w:tcW w:w="810" w:type="dxa"/>
          </w:tcPr>
          <w:p w14:paraId="0DBC97F2" w14:textId="4BD57C90"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(16 272)</w:t>
            </w:r>
          </w:p>
        </w:tc>
        <w:tc>
          <w:tcPr>
            <w:tcW w:w="1350" w:type="dxa"/>
          </w:tcPr>
          <w:p w14:paraId="171DCBCD" w14:textId="58188E28"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(31 086)</w:t>
            </w:r>
          </w:p>
        </w:tc>
        <w:tc>
          <w:tcPr>
            <w:tcW w:w="990" w:type="dxa"/>
          </w:tcPr>
          <w:p w14:paraId="6D202361" w14:textId="4112794F"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(29 467)</w:t>
            </w:r>
          </w:p>
        </w:tc>
        <w:tc>
          <w:tcPr>
            <w:tcW w:w="990" w:type="dxa"/>
          </w:tcPr>
          <w:p w14:paraId="04FA2B04" w14:textId="7CC4B14C"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w:t>
            </w:r>
          </w:p>
        </w:tc>
        <w:tc>
          <w:tcPr>
            <w:tcW w:w="1080" w:type="dxa"/>
          </w:tcPr>
          <w:p w14:paraId="0C50E5CA" w14:textId="20D2BC81"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(88 245)</w:t>
            </w:r>
          </w:p>
        </w:tc>
        <w:tc>
          <w:tcPr>
            <w:tcW w:w="990" w:type="dxa"/>
          </w:tcPr>
          <w:p w14:paraId="168C25BE" w14:textId="4F965922" w:rsidR="00B81D87" w:rsidRPr="00DE643D"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DE643D">
              <w:rPr>
                <w:b/>
                <w:bCs/>
              </w:rPr>
              <w:t>(80 525)</w:t>
            </w:r>
          </w:p>
        </w:tc>
      </w:tr>
      <w:tr w:rsidR="00B81D87" w14:paraId="2EC4BFA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5ACC169F" w14:textId="55E65700" w:rsidR="00B81D87" w:rsidRDefault="00B81D87" w:rsidP="00B81D87">
            <w:pPr>
              <w:spacing w:after="0"/>
            </w:pPr>
            <w:r>
              <w:rPr>
                <w:b/>
              </w:rPr>
              <w:t>Net result from transactions (net operating balance)</w:t>
            </w:r>
          </w:p>
        </w:tc>
        <w:tc>
          <w:tcPr>
            <w:tcW w:w="720" w:type="dxa"/>
          </w:tcPr>
          <w:p w14:paraId="628CB1BE" w14:textId="00A47930"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11 011</w:t>
            </w:r>
          </w:p>
        </w:tc>
        <w:tc>
          <w:tcPr>
            <w:tcW w:w="1440" w:type="dxa"/>
          </w:tcPr>
          <w:p w14:paraId="4A8BBA03" w14:textId="3FBDCA0D"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(160)</w:t>
            </w:r>
          </w:p>
        </w:tc>
        <w:tc>
          <w:tcPr>
            <w:tcW w:w="900" w:type="dxa"/>
          </w:tcPr>
          <w:p w14:paraId="6D6BE5D2" w14:textId="1C940258"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9 620</w:t>
            </w:r>
          </w:p>
        </w:tc>
        <w:tc>
          <w:tcPr>
            <w:tcW w:w="1080" w:type="dxa"/>
          </w:tcPr>
          <w:p w14:paraId="5F5C963C" w14:textId="752AB305"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4 161</w:t>
            </w:r>
          </w:p>
        </w:tc>
        <w:tc>
          <w:tcPr>
            <w:tcW w:w="810" w:type="dxa"/>
          </w:tcPr>
          <w:p w14:paraId="7DFC59D4" w14:textId="6EFD3C59"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(660)</w:t>
            </w:r>
          </w:p>
        </w:tc>
        <w:tc>
          <w:tcPr>
            <w:tcW w:w="1350" w:type="dxa"/>
          </w:tcPr>
          <w:p w14:paraId="550F18A5" w14:textId="0BCC760C"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2 584</w:t>
            </w:r>
          </w:p>
        </w:tc>
        <w:tc>
          <w:tcPr>
            <w:tcW w:w="990" w:type="dxa"/>
          </w:tcPr>
          <w:p w14:paraId="3F314AE2" w14:textId="3DD958F8"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 xml:space="preserve"> 180</w:t>
            </w:r>
          </w:p>
        </w:tc>
        <w:tc>
          <w:tcPr>
            <w:tcW w:w="990" w:type="dxa"/>
          </w:tcPr>
          <w:p w14:paraId="61128AE1" w14:textId="5636EBD0"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w:t>
            </w:r>
          </w:p>
        </w:tc>
        <w:tc>
          <w:tcPr>
            <w:tcW w:w="1080" w:type="dxa"/>
          </w:tcPr>
          <w:p w14:paraId="1F66BE38" w14:textId="1401714B"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20 151</w:t>
            </w:r>
          </w:p>
        </w:tc>
        <w:tc>
          <w:tcPr>
            <w:tcW w:w="990" w:type="dxa"/>
          </w:tcPr>
          <w:p w14:paraId="439C3413" w14:textId="1663FED9" w:rsidR="00B81D87" w:rsidRPr="00994C66" w:rsidRDefault="00B81D87" w:rsidP="00B81D87">
            <w:pPr>
              <w:spacing w:after="0"/>
              <w:cnfStyle w:val="000000000000" w:firstRow="0" w:lastRow="0" w:firstColumn="0" w:lastColumn="0" w:oddVBand="0" w:evenVBand="0" w:oddHBand="0" w:evenHBand="0" w:firstRowFirstColumn="0" w:firstRowLastColumn="0" w:lastRowFirstColumn="0" w:lastRowLastColumn="0"/>
              <w:rPr>
                <w:b/>
                <w:bCs/>
              </w:rPr>
            </w:pPr>
            <w:r w:rsidRPr="00994C66">
              <w:rPr>
                <w:b/>
                <w:bCs/>
              </w:rPr>
              <w:t>6 585</w:t>
            </w:r>
          </w:p>
        </w:tc>
      </w:tr>
      <w:tr w:rsidR="00B81D87" w14:paraId="6DF91E8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76CADA48" w14:textId="153491F1" w:rsidR="00B81D87" w:rsidRDefault="00B81D87" w:rsidP="00B81D87">
            <w:pPr>
              <w:spacing w:after="0"/>
            </w:pPr>
            <w:r>
              <w:rPr>
                <w:b/>
              </w:rPr>
              <w:t>Other economic flows included in net result</w:t>
            </w:r>
          </w:p>
        </w:tc>
        <w:tc>
          <w:tcPr>
            <w:tcW w:w="720" w:type="dxa"/>
          </w:tcPr>
          <w:p w14:paraId="5F24ECEC" w14:textId="1CCF8C7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440" w:type="dxa"/>
          </w:tcPr>
          <w:p w14:paraId="26A201D0" w14:textId="614D6B4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302C4781" w14:textId="7218804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2DBFE985" w14:textId="30FDA0D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810" w:type="dxa"/>
          </w:tcPr>
          <w:p w14:paraId="366E5BFF" w14:textId="0D1161B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350" w:type="dxa"/>
          </w:tcPr>
          <w:p w14:paraId="42CC26D2" w14:textId="6EDE164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2CFA1052" w14:textId="590A4EA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1050DEF3" w14:textId="7B775B6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0985DCDC" w14:textId="2CFAE50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6F768975" w14:textId="3031DAC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r>
      <w:tr w:rsidR="00B81D87" w14:paraId="6878698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3BA8CA4C" w14:textId="03A38AFF" w:rsidR="00B81D87" w:rsidRDefault="00B81D87" w:rsidP="00B81D87">
            <w:pPr>
              <w:spacing w:after="0"/>
            </w:pPr>
            <w:r>
              <w:t>Net gain/(loss) on non‑financial assets</w:t>
            </w:r>
          </w:p>
        </w:tc>
        <w:tc>
          <w:tcPr>
            <w:tcW w:w="720" w:type="dxa"/>
          </w:tcPr>
          <w:p w14:paraId="55659AE0" w14:textId="51070AB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(5 898)</w:t>
            </w:r>
          </w:p>
        </w:tc>
        <w:tc>
          <w:tcPr>
            <w:tcW w:w="1440" w:type="dxa"/>
          </w:tcPr>
          <w:p w14:paraId="35F37857" w14:textId="163406E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1 547</w:t>
            </w:r>
          </w:p>
        </w:tc>
        <w:tc>
          <w:tcPr>
            <w:tcW w:w="900" w:type="dxa"/>
          </w:tcPr>
          <w:p w14:paraId="585C69D6" w14:textId="64FA54C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80</w:t>
            </w:r>
          </w:p>
        </w:tc>
        <w:tc>
          <w:tcPr>
            <w:tcW w:w="1080" w:type="dxa"/>
          </w:tcPr>
          <w:p w14:paraId="6C55147A" w14:textId="7293A70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297</w:t>
            </w:r>
          </w:p>
        </w:tc>
        <w:tc>
          <w:tcPr>
            <w:tcW w:w="810" w:type="dxa"/>
          </w:tcPr>
          <w:p w14:paraId="16FF6F14" w14:textId="257C2CC9"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(334)</w:t>
            </w:r>
          </w:p>
        </w:tc>
        <w:tc>
          <w:tcPr>
            <w:tcW w:w="1350" w:type="dxa"/>
          </w:tcPr>
          <w:p w14:paraId="60551553" w14:textId="27CEE22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(39)</w:t>
            </w:r>
          </w:p>
        </w:tc>
        <w:tc>
          <w:tcPr>
            <w:tcW w:w="990" w:type="dxa"/>
          </w:tcPr>
          <w:p w14:paraId="3B2000CC" w14:textId="46C5CDE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991</w:t>
            </w:r>
          </w:p>
        </w:tc>
        <w:tc>
          <w:tcPr>
            <w:tcW w:w="990" w:type="dxa"/>
          </w:tcPr>
          <w:p w14:paraId="55CB5E4F" w14:textId="2D79D0F2"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75EDF27C" w14:textId="3551913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(5 161)</w:t>
            </w:r>
          </w:p>
        </w:tc>
        <w:tc>
          <w:tcPr>
            <w:tcW w:w="990" w:type="dxa"/>
          </w:tcPr>
          <w:p w14:paraId="447C6D91" w14:textId="153C681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1 805</w:t>
            </w:r>
          </w:p>
        </w:tc>
      </w:tr>
      <w:tr w:rsidR="00B81D87" w14:paraId="4BAA0577"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0D5FF7CD" w14:textId="341805AB" w:rsidR="00B81D87" w:rsidRDefault="00B81D87" w:rsidP="00B81D87">
            <w:pPr>
              <w:spacing w:after="0"/>
            </w:pPr>
            <w:r>
              <w:t>Net gain/(loss) on financial instruments</w:t>
            </w:r>
          </w:p>
        </w:tc>
        <w:tc>
          <w:tcPr>
            <w:tcW w:w="720" w:type="dxa"/>
          </w:tcPr>
          <w:p w14:paraId="35B2320A" w14:textId="189E515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(3 329)</w:t>
            </w:r>
          </w:p>
        </w:tc>
        <w:tc>
          <w:tcPr>
            <w:tcW w:w="1440" w:type="dxa"/>
          </w:tcPr>
          <w:p w14:paraId="103676D0" w14:textId="0CA2E60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(140)</w:t>
            </w:r>
          </w:p>
        </w:tc>
        <w:tc>
          <w:tcPr>
            <w:tcW w:w="900" w:type="dxa"/>
          </w:tcPr>
          <w:p w14:paraId="1478C07D" w14:textId="60602EB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(162)</w:t>
            </w:r>
          </w:p>
        </w:tc>
        <w:tc>
          <w:tcPr>
            <w:tcW w:w="1080" w:type="dxa"/>
          </w:tcPr>
          <w:p w14:paraId="777D345A" w14:textId="64ED83A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(241)</w:t>
            </w:r>
          </w:p>
        </w:tc>
        <w:tc>
          <w:tcPr>
            <w:tcW w:w="810" w:type="dxa"/>
          </w:tcPr>
          <w:p w14:paraId="194E62B3" w14:textId="06DFFDE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(2 830)</w:t>
            </w:r>
          </w:p>
        </w:tc>
        <w:tc>
          <w:tcPr>
            <w:tcW w:w="1350" w:type="dxa"/>
          </w:tcPr>
          <w:p w14:paraId="6F2D2632" w14:textId="5A1C39C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(3 590)</w:t>
            </w:r>
          </w:p>
        </w:tc>
        <w:tc>
          <w:tcPr>
            <w:tcW w:w="990" w:type="dxa"/>
          </w:tcPr>
          <w:p w14:paraId="321F3CB5" w14:textId="07E2076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(800)</w:t>
            </w:r>
          </w:p>
        </w:tc>
        <w:tc>
          <w:tcPr>
            <w:tcW w:w="990" w:type="dxa"/>
          </w:tcPr>
          <w:p w14:paraId="7368BEFF" w14:textId="0542A80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14743546" w14:textId="6935C5F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(7 121)</w:t>
            </w:r>
          </w:p>
        </w:tc>
        <w:tc>
          <w:tcPr>
            <w:tcW w:w="990" w:type="dxa"/>
          </w:tcPr>
          <w:p w14:paraId="492C82FD" w14:textId="4EF7E33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(3 971)</w:t>
            </w:r>
          </w:p>
        </w:tc>
      </w:tr>
      <w:tr w:rsidR="00B81D87" w14:paraId="7887BA9C"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54A0931A" w14:textId="16D41943" w:rsidR="00B81D87" w:rsidRDefault="00B81D87" w:rsidP="00B81D87">
            <w:pPr>
              <w:spacing w:after="0"/>
            </w:pPr>
            <w:r>
              <w:t>Share of net profits/(losses) of associates and joint entities, excluding dividends</w:t>
            </w:r>
          </w:p>
        </w:tc>
        <w:tc>
          <w:tcPr>
            <w:tcW w:w="720" w:type="dxa"/>
          </w:tcPr>
          <w:p w14:paraId="2F38235D" w14:textId="61D9CAD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1 055</w:t>
            </w:r>
          </w:p>
        </w:tc>
        <w:tc>
          <w:tcPr>
            <w:tcW w:w="1440" w:type="dxa"/>
          </w:tcPr>
          <w:p w14:paraId="17B1753D" w14:textId="7B48BB4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652</w:t>
            </w:r>
          </w:p>
        </w:tc>
        <w:tc>
          <w:tcPr>
            <w:tcW w:w="900" w:type="dxa"/>
          </w:tcPr>
          <w:p w14:paraId="0DEB5F75" w14:textId="3046879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19B9CB1F" w14:textId="1CCB6C4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810" w:type="dxa"/>
          </w:tcPr>
          <w:p w14:paraId="07B21FE9" w14:textId="43053516"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231</w:t>
            </w:r>
          </w:p>
        </w:tc>
        <w:tc>
          <w:tcPr>
            <w:tcW w:w="1350" w:type="dxa"/>
          </w:tcPr>
          <w:p w14:paraId="577ED13C" w14:textId="39D2524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745</w:t>
            </w:r>
          </w:p>
        </w:tc>
        <w:tc>
          <w:tcPr>
            <w:tcW w:w="990" w:type="dxa"/>
          </w:tcPr>
          <w:p w14:paraId="372DCF5A" w14:textId="54AC2E7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990" w:type="dxa"/>
          </w:tcPr>
          <w:p w14:paraId="73788064" w14:textId="6C80351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70E26E37" w14:textId="0D80CE3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1 286</w:t>
            </w:r>
          </w:p>
        </w:tc>
        <w:tc>
          <w:tcPr>
            <w:tcW w:w="990" w:type="dxa"/>
          </w:tcPr>
          <w:p w14:paraId="39AB37C8" w14:textId="217372A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1 397</w:t>
            </w:r>
          </w:p>
        </w:tc>
      </w:tr>
      <w:tr w:rsidR="00B81D87" w14:paraId="45F47BB0" w14:textId="77777777" w:rsidTr="00826814">
        <w:tc>
          <w:tcPr>
            <w:cnfStyle w:val="001000000000" w:firstRow="0" w:lastRow="0" w:firstColumn="1" w:lastColumn="0" w:oddVBand="0" w:evenVBand="0" w:oddHBand="0" w:evenHBand="0" w:firstRowFirstColumn="0" w:firstRowLastColumn="0" w:lastRowFirstColumn="0" w:lastRowLastColumn="0"/>
            <w:tcW w:w="4230" w:type="dxa"/>
            <w:tcBorders>
              <w:bottom w:val="single" w:sz="12" w:space="0" w:color="auto"/>
            </w:tcBorders>
          </w:tcPr>
          <w:p w14:paraId="0A0EF367" w14:textId="6501B792" w:rsidR="00B81D87" w:rsidRDefault="00B81D87" w:rsidP="00B81D87">
            <w:pPr>
              <w:spacing w:after="0"/>
            </w:pPr>
            <w:r>
              <w:t>Other gains/(losses) from other economic flows</w:t>
            </w:r>
          </w:p>
        </w:tc>
        <w:tc>
          <w:tcPr>
            <w:tcW w:w="720" w:type="dxa"/>
            <w:tcBorders>
              <w:bottom w:val="single" w:sz="12" w:space="0" w:color="auto"/>
            </w:tcBorders>
          </w:tcPr>
          <w:p w14:paraId="7A9C6C4A" w14:textId="0DEC4C8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(681)</w:t>
            </w:r>
          </w:p>
        </w:tc>
        <w:tc>
          <w:tcPr>
            <w:tcW w:w="1440" w:type="dxa"/>
            <w:tcBorders>
              <w:bottom w:val="single" w:sz="12" w:space="0" w:color="auto"/>
            </w:tcBorders>
          </w:tcPr>
          <w:p w14:paraId="5DF343B9" w14:textId="3D3FE35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(956)</w:t>
            </w:r>
          </w:p>
        </w:tc>
        <w:tc>
          <w:tcPr>
            <w:tcW w:w="900" w:type="dxa"/>
            <w:tcBorders>
              <w:bottom w:val="single" w:sz="12" w:space="0" w:color="auto"/>
            </w:tcBorders>
          </w:tcPr>
          <w:p w14:paraId="5879FF53" w14:textId="5701E28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(459)</w:t>
            </w:r>
          </w:p>
        </w:tc>
        <w:tc>
          <w:tcPr>
            <w:tcW w:w="1080" w:type="dxa"/>
            <w:tcBorders>
              <w:bottom w:val="single" w:sz="12" w:space="0" w:color="auto"/>
            </w:tcBorders>
          </w:tcPr>
          <w:p w14:paraId="5B44FB4D" w14:textId="7E5BAE3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(696)</w:t>
            </w:r>
          </w:p>
        </w:tc>
        <w:tc>
          <w:tcPr>
            <w:tcW w:w="810" w:type="dxa"/>
            <w:tcBorders>
              <w:bottom w:val="single" w:sz="12" w:space="0" w:color="auto"/>
            </w:tcBorders>
          </w:tcPr>
          <w:p w14:paraId="0069A540" w14:textId="1E37E3D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(516)</w:t>
            </w:r>
          </w:p>
        </w:tc>
        <w:tc>
          <w:tcPr>
            <w:tcW w:w="1350" w:type="dxa"/>
            <w:tcBorders>
              <w:bottom w:val="single" w:sz="12" w:space="0" w:color="auto"/>
            </w:tcBorders>
          </w:tcPr>
          <w:p w14:paraId="6FF5276B" w14:textId="612C002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(396)</w:t>
            </w:r>
          </w:p>
        </w:tc>
        <w:tc>
          <w:tcPr>
            <w:tcW w:w="990" w:type="dxa"/>
            <w:tcBorders>
              <w:bottom w:val="single" w:sz="12" w:space="0" w:color="auto"/>
            </w:tcBorders>
          </w:tcPr>
          <w:p w14:paraId="2AF6234B" w14:textId="700DA9B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(1 239)</w:t>
            </w:r>
          </w:p>
        </w:tc>
        <w:tc>
          <w:tcPr>
            <w:tcW w:w="990" w:type="dxa"/>
            <w:tcBorders>
              <w:bottom w:val="single" w:sz="12" w:space="0" w:color="auto"/>
            </w:tcBorders>
          </w:tcPr>
          <w:p w14:paraId="3FB4BA01" w14:textId="57357088"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Borders>
              <w:bottom w:val="single" w:sz="12" w:space="0" w:color="auto"/>
            </w:tcBorders>
          </w:tcPr>
          <w:p w14:paraId="13509654" w14:textId="382AE62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(2 895)</w:t>
            </w:r>
          </w:p>
        </w:tc>
        <w:tc>
          <w:tcPr>
            <w:tcW w:w="990" w:type="dxa"/>
            <w:tcBorders>
              <w:bottom w:val="single" w:sz="12" w:space="0" w:color="auto"/>
            </w:tcBorders>
          </w:tcPr>
          <w:p w14:paraId="15A3BF74" w14:textId="60CC2A5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(2 048)</w:t>
            </w:r>
          </w:p>
        </w:tc>
      </w:tr>
      <w:tr w:rsidR="00B81D87" w14:paraId="652AD12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4F39F1C4" w14:textId="1381A3C7" w:rsidR="00B81D87" w:rsidRDefault="00B81D87" w:rsidP="00B81D87">
            <w:pPr>
              <w:spacing w:after="0"/>
            </w:pPr>
            <w:r>
              <w:rPr>
                <w:b/>
              </w:rPr>
              <w:t>Net result from continuing operations</w:t>
            </w:r>
          </w:p>
        </w:tc>
        <w:tc>
          <w:tcPr>
            <w:tcW w:w="720" w:type="dxa"/>
          </w:tcPr>
          <w:p w14:paraId="7CFCDC71" w14:textId="0A823CC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2 158</w:t>
            </w:r>
          </w:p>
        </w:tc>
        <w:tc>
          <w:tcPr>
            <w:tcW w:w="1440" w:type="dxa"/>
          </w:tcPr>
          <w:p w14:paraId="0BA1DF01" w14:textId="68AD459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943</w:t>
            </w:r>
          </w:p>
        </w:tc>
        <w:tc>
          <w:tcPr>
            <w:tcW w:w="900" w:type="dxa"/>
          </w:tcPr>
          <w:p w14:paraId="5BF4D7E4" w14:textId="3F560A89"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9 079</w:t>
            </w:r>
          </w:p>
        </w:tc>
        <w:tc>
          <w:tcPr>
            <w:tcW w:w="1080" w:type="dxa"/>
          </w:tcPr>
          <w:p w14:paraId="5B0B3E50" w14:textId="1F277A0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3 521</w:t>
            </w:r>
          </w:p>
        </w:tc>
        <w:tc>
          <w:tcPr>
            <w:tcW w:w="810" w:type="dxa"/>
          </w:tcPr>
          <w:p w14:paraId="59625FE6" w14:textId="1F79C37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(4 109)</w:t>
            </w:r>
          </w:p>
        </w:tc>
        <w:tc>
          <w:tcPr>
            <w:tcW w:w="1350" w:type="dxa"/>
          </w:tcPr>
          <w:p w14:paraId="2E05D66B" w14:textId="40F9257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(696)</w:t>
            </w:r>
          </w:p>
        </w:tc>
        <w:tc>
          <w:tcPr>
            <w:tcW w:w="990" w:type="dxa"/>
          </w:tcPr>
          <w:p w14:paraId="30FF94DF" w14:textId="3F727A1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(868)</w:t>
            </w:r>
          </w:p>
        </w:tc>
        <w:tc>
          <w:tcPr>
            <w:tcW w:w="990" w:type="dxa"/>
          </w:tcPr>
          <w:p w14:paraId="57FF0C39" w14:textId="25C3DD9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80" w:type="dxa"/>
          </w:tcPr>
          <w:p w14:paraId="6E84BF0C" w14:textId="4592F2F8"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6 260</w:t>
            </w:r>
          </w:p>
        </w:tc>
        <w:tc>
          <w:tcPr>
            <w:tcW w:w="990" w:type="dxa"/>
          </w:tcPr>
          <w:p w14:paraId="75A20F1D" w14:textId="1E5565E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3 768</w:t>
            </w:r>
          </w:p>
        </w:tc>
      </w:tr>
      <w:tr w:rsidR="00B81D87" w14:paraId="0253F431"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36A5DA19" w14:textId="4D322521" w:rsidR="00B81D87" w:rsidRDefault="00B81D87" w:rsidP="00B81D87">
            <w:pPr>
              <w:spacing w:after="0"/>
            </w:pPr>
            <w:r>
              <w:t>Net result from discontinued operations</w:t>
            </w:r>
          </w:p>
        </w:tc>
        <w:tc>
          <w:tcPr>
            <w:tcW w:w="720" w:type="dxa"/>
          </w:tcPr>
          <w:p w14:paraId="13ACB545" w14:textId="17C74C4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(315)</w:t>
            </w:r>
          </w:p>
        </w:tc>
        <w:tc>
          <w:tcPr>
            <w:tcW w:w="1440" w:type="dxa"/>
          </w:tcPr>
          <w:p w14:paraId="63B2D6C8" w14:textId="53C5880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1 326</w:t>
            </w:r>
          </w:p>
        </w:tc>
        <w:tc>
          <w:tcPr>
            <w:tcW w:w="900" w:type="dxa"/>
          </w:tcPr>
          <w:p w14:paraId="5EE691C4" w14:textId="5C0108C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1 545</w:t>
            </w:r>
          </w:p>
        </w:tc>
        <w:tc>
          <w:tcPr>
            <w:tcW w:w="1080" w:type="dxa"/>
          </w:tcPr>
          <w:p w14:paraId="4E73079C" w14:textId="2EBB958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2 530</w:t>
            </w:r>
          </w:p>
        </w:tc>
        <w:tc>
          <w:tcPr>
            <w:tcW w:w="810" w:type="dxa"/>
          </w:tcPr>
          <w:p w14:paraId="2DF7CBBB" w14:textId="6D6391C9"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350" w:type="dxa"/>
          </w:tcPr>
          <w:p w14:paraId="164F9988" w14:textId="1FDCCC0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990" w:type="dxa"/>
          </w:tcPr>
          <w:p w14:paraId="06C1ACA8" w14:textId="748AD8C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990" w:type="dxa"/>
          </w:tcPr>
          <w:p w14:paraId="4F096FFD" w14:textId="0DAABCF6"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381A1746" w14:textId="6A1FD04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1 230</w:t>
            </w:r>
          </w:p>
        </w:tc>
        <w:tc>
          <w:tcPr>
            <w:tcW w:w="990" w:type="dxa"/>
          </w:tcPr>
          <w:p w14:paraId="5BFBB484" w14:textId="618531D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3 856</w:t>
            </w:r>
          </w:p>
        </w:tc>
      </w:tr>
      <w:tr w:rsidR="00B81D87" w14:paraId="4712BCD4"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27CBDEC5" w14:textId="4948A9C1" w:rsidR="00B81D87" w:rsidRDefault="00B81D87" w:rsidP="00B81D87">
            <w:pPr>
              <w:spacing w:after="0"/>
            </w:pPr>
            <w:r>
              <w:rPr>
                <w:b/>
              </w:rPr>
              <w:t>Other economic flows – other comprehensive income</w:t>
            </w:r>
          </w:p>
        </w:tc>
        <w:tc>
          <w:tcPr>
            <w:tcW w:w="720" w:type="dxa"/>
          </w:tcPr>
          <w:p w14:paraId="532E0508" w14:textId="03A52D0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440" w:type="dxa"/>
          </w:tcPr>
          <w:p w14:paraId="2783D91A" w14:textId="72BE20B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00" w:type="dxa"/>
          </w:tcPr>
          <w:p w14:paraId="082C8215" w14:textId="02F8FF6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2E87059E" w14:textId="256A781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810" w:type="dxa"/>
          </w:tcPr>
          <w:p w14:paraId="0CEF5BC3" w14:textId="008EFA1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350" w:type="dxa"/>
          </w:tcPr>
          <w:p w14:paraId="55A007C1" w14:textId="081DBB2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77564EA0" w14:textId="77A246E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45135652" w14:textId="2786C89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1080" w:type="dxa"/>
          </w:tcPr>
          <w:p w14:paraId="11E36DEB" w14:textId="78C9778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c>
          <w:tcPr>
            <w:tcW w:w="990" w:type="dxa"/>
          </w:tcPr>
          <w:p w14:paraId="5CFC99F3" w14:textId="63FC7FB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p>
        </w:tc>
      </w:tr>
      <w:tr w:rsidR="00B81D87" w14:paraId="7DBAF70E"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747A4CFF" w14:textId="68BC7681" w:rsidR="00B81D87" w:rsidRDefault="00B81D87" w:rsidP="00B81D87">
            <w:pPr>
              <w:spacing w:after="0"/>
            </w:pPr>
            <w:r>
              <w:t>Changes in physical asset revaluation surplus</w:t>
            </w:r>
          </w:p>
        </w:tc>
        <w:tc>
          <w:tcPr>
            <w:tcW w:w="720" w:type="dxa"/>
          </w:tcPr>
          <w:p w14:paraId="12E8C2A8" w14:textId="30C43C2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5 061</w:t>
            </w:r>
          </w:p>
        </w:tc>
        <w:tc>
          <w:tcPr>
            <w:tcW w:w="1440" w:type="dxa"/>
          </w:tcPr>
          <w:p w14:paraId="06806FCA" w14:textId="7343C80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1 209</w:t>
            </w:r>
          </w:p>
        </w:tc>
        <w:tc>
          <w:tcPr>
            <w:tcW w:w="900" w:type="dxa"/>
          </w:tcPr>
          <w:p w14:paraId="084D5A2C" w14:textId="0A5CBE89"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773</w:t>
            </w:r>
          </w:p>
        </w:tc>
        <w:tc>
          <w:tcPr>
            <w:tcW w:w="1080" w:type="dxa"/>
          </w:tcPr>
          <w:p w14:paraId="1A890FE5" w14:textId="23063E1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3 588</w:t>
            </w:r>
          </w:p>
        </w:tc>
        <w:tc>
          <w:tcPr>
            <w:tcW w:w="810" w:type="dxa"/>
          </w:tcPr>
          <w:p w14:paraId="173389BA" w14:textId="418924F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(385)</w:t>
            </w:r>
          </w:p>
        </w:tc>
        <w:tc>
          <w:tcPr>
            <w:tcW w:w="1350" w:type="dxa"/>
          </w:tcPr>
          <w:p w14:paraId="2F376DA0" w14:textId="455CEAEE"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28</w:t>
            </w:r>
          </w:p>
        </w:tc>
        <w:tc>
          <w:tcPr>
            <w:tcW w:w="990" w:type="dxa"/>
          </w:tcPr>
          <w:p w14:paraId="7C7570C8" w14:textId="18AD9151"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1 954</w:t>
            </w:r>
          </w:p>
        </w:tc>
        <w:tc>
          <w:tcPr>
            <w:tcW w:w="990" w:type="dxa"/>
          </w:tcPr>
          <w:p w14:paraId="4074AACF" w14:textId="55AC96A2"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56C98E4E" w14:textId="591BA642"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7 403</w:t>
            </w:r>
          </w:p>
        </w:tc>
        <w:tc>
          <w:tcPr>
            <w:tcW w:w="990" w:type="dxa"/>
          </w:tcPr>
          <w:p w14:paraId="0D652EA4" w14:textId="14C610E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4 825</w:t>
            </w:r>
          </w:p>
        </w:tc>
      </w:tr>
      <w:tr w:rsidR="00B81D87" w14:paraId="19066EA0" w14:textId="77777777" w:rsidTr="00826814">
        <w:tc>
          <w:tcPr>
            <w:cnfStyle w:val="001000000000" w:firstRow="0" w:lastRow="0" w:firstColumn="1" w:lastColumn="0" w:oddVBand="0" w:evenVBand="0" w:oddHBand="0" w:evenHBand="0" w:firstRowFirstColumn="0" w:firstRowLastColumn="0" w:lastRowFirstColumn="0" w:lastRowLastColumn="0"/>
            <w:tcW w:w="4230" w:type="dxa"/>
          </w:tcPr>
          <w:p w14:paraId="08A4DE1C" w14:textId="211B29B4" w:rsidR="00B81D87" w:rsidRDefault="00B81D87" w:rsidP="00B81D87">
            <w:pPr>
              <w:spacing w:after="0"/>
            </w:pPr>
            <w:r>
              <w:t>Changes to financial assets at fair value through other comprehensive income revaluation reserve</w:t>
            </w:r>
          </w:p>
        </w:tc>
        <w:tc>
          <w:tcPr>
            <w:tcW w:w="720" w:type="dxa"/>
          </w:tcPr>
          <w:p w14:paraId="37E97BC3" w14:textId="2A1B950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30</w:t>
            </w:r>
          </w:p>
        </w:tc>
        <w:tc>
          <w:tcPr>
            <w:tcW w:w="1440" w:type="dxa"/>
          </w:tcPr>
          <w:p w14:paraId="133DCC66" w14:textId="7F307DE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900" w:type="dxa"/>
          </w:tcPr>
          <w:p w14:paraId="44D70F64" w14:textId="025A599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09763ADC" w14:textId="5F2BAD8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810" w:type="dxa"/>
          </w:tcPr>
          <w:p w14:paraId="17BCC0FF" w14:textId="29ACEC5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350" w:type="dxa"/>
          </w:tcPr>
          <w:p w14:paraId="3F44BD85" w14:textId="69F2827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990" w:type="dxa"/>
          </w:tcPr>
          <w:p w14:paraId="4B276AB6" w14:textId="1784F5E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990" w:type="dxa"/>
          </w:tcPr>
          <w:p w14:paraId="4235A853" w14:textId="62DAD93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Pr>
          <w:p w14:paraId="1F875AAF" w14:textId="00CAF5B6"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30</w:t>
            </w:r>
          </w:p>
        </w:tc>
        <w:tc>
          <w:tcPr>
            <w:tcW w:w="990" w:type="dxa"/>
          </w:tcPr>
          <w:p w14:paraId="26AEBFF2" w14:textId="0540F07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r>
      <w:tr w:rsidR="00B81D87" w14:paraId="5B323107" w14:textId="77777777" w:rsidTr="00826814">
        <w:tc>
          <w:tcPr>
            <w:cnfStyle w:val="001000000000" w:firstRow="0" w:lastRow="0" w:firstColumn="1" w:lastColumn="0" w:oddVBand="0" w:evenVBand="0" w:oddHBand="0" w:evenHBand="0" w:firstRowFirstColumn="0" w:firstRowLastColumn="0" w:lastRowFirstColumn="0" w:lastRowLastColumn="0"/>
            <w:tcW w:w="4230" w:type="dxa"/>
            <w:tcBorders>
              <w:bottom w:val="nil"/>
            </w:tcBorders>
          </w:tcPr>
          <w:p w14:paraId="26CE9D15" w14:textId="27565C5A" w:rsidR="00B81D87" w:rsidRDefault="00B81D87" w:rsidP="00B81D87">
            <w:pPr>
              <w:spacing w:after="0"/>
            </w:pPr>
            <w:r>
              <w:t>Changes to financial liability designated at fair value through profit or loss due to changes in own credit risk</w:t>
            </w:r>
          </w:p>
        </w:tc>
        <w:tc>
          <w:tcPr>
            <w:tcW w:w="720" w:type="dxa"/>
            <w:tcBorders>
              <w:bottom w:val="nil"/>
            </w:tcBorders>
          </w:tcPr>
          <w:p w14:paraId="5F6D07DE" w14:textId="3721BA7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156</w:t>
            </w:r>
          </w:p>
        </w:tc>
        <w:tc>
          <w:tcPr>
            <w:tcW w:w="1440" w:type="dxa"/>
            <w:tcBorders>
              <w:bottom w:val="nil"/>
            </w:tcBorders>
          </w:tcPr>
          <w:p w14:paraId="74D3B64C" w14:textId="23FBA35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14</w:t>
            </w:r>
          </w:p>
        </w:tc>
        <w:tc>
          <w:tcPr>
            <w:tcW w:w="900" w:type="dxa"/>
            <w:tcBorders>
              <w:bottom w:val="nil"/>
            </w:tcBorders>
          </w:tcPr>
          <w:p w14:paraId="79057BF7" w14:textId="07B607A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37</w:t>
            </w:r>
          </w:p>
        </w:tc>
        <w:tc>
          <w:tcPr>
            <w:tcW w:w="1080" w:type="dxa"/>
            <w:tcBorders>
              <w:bottom w:val="nil"/>
            </w:tcBorders>
          </w:tcPr>
          <w:p w14:paraId="6271A465" w14:textId="6D4FD98B"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94</w:t>
            </w:r>
          </w:p>
        </w:tc>
        <w:tc>
          <w:tcPr>
            <w:tcW w:w="810" w:type="dxa"/>
            <w:tcBorders>
              <w:bottom w:val="nil"/>
            </w:tcBorders>
          </w:tcPr>
          <w:p w14:paraId="3CBCA5A9" w14:textId="2B59A7D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34</w:t>
            </w:r>
          </w:p>
        </w:tc>
        <w:tc>
          <w:tcPr>
            <w:tcW w:w="1350" w:type="dxa"/>
            <w:tcBorders>
              <w:bottom w:val="nil"/>
            </w:tcBorders>
          </w:tcPr>
          <w:p w14:paraId="2C2C1E9C" w14:textId="29882D1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22</w:t>
            </w:r>
          </w:p>
        </w:tc>
        <w:tc>
          <w:tcPr>
            <w:tcW w:w="990" w:type="dxa"/>
            <w:tcBorders>
              <w:bottom w:val="nil"/>
            </w:tcBorders>
          </w:tcPr>
          <w:p w14:paraId="339F14D3" w14:textId="683659E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33</w:t>
            </w:r>
          </w:p>
        </w:tc>
        <w:tc>
          <w:tcPr>
            <w:tcW w:w="990" w:type="dxa"/>
            <w:tcBorders>
              <w:bottom w:val="nil"/>
            </w:tcBorders>
          </w:tcPr>
          <w:p w14:paraId="78EEA76F" w14:textId="082362D0"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Borders>
              <w:bottom w:val="nil"/>
            </w:tcBorders>
          </w:tcPr>
          <w:p w14:paraId="769A43C8" w14:textId="50927704"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260</w:t>
            </w:r>
          </w:p>
        </w:tc>
        <w:tc>
          <w:tcPr>
            <w:tcW w:w="990" w:type="dxa"/>
            <w:tcBorders>
              <w:bottom w:val="nil"/>
            </w:tcBorders>
          </w:tcPr>
          <w:p w14:paraId="1727569B" w14:textId="1DECA9C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130</w:t>
            </w:r>
          </w:p>
        </w:tc>
      </w:tr>
      <w:tr w:rsidR="00B81D87" w14:paraId="12391942" w14:textId="77777777" w:rsidTr="00826814">
        <w:tc>
          <w:tcPr>
            <w:cnfStyle w:val="001000000000" w:firstRow="0" w:lastRow="0" w:firstColumn="1" w:lastColumn="0" w:oddVBand="0" w:evenVBand="0" w:oddHBand="0" w:evenHBand="0" w:firstRowFirstColumn="0" w:firstRowLastColumn="0" w:lastRowFirstColumn="0" w:lastRowLastColumn="0"/>
            <w:tcW w:w="4230" w:type="dxa"/>
            <w:tcBorders>
              <w:bottom w:val="single" w:sz="12" w:space="0" w:color="auto"/>
            </w:tcBorders>
          </w:tcPr>
          <w:p w14:paraId="2F8FC6A4" w14:textId="1B3ACCAE" w:rsidR="00B81D87" w:rsidRDefault="00B81D87" w:rsidP="00B81D87">
            <w:pPr>
              <w:keepNext/>
              <w:spacing w:after="0"/>
            </w:pPr>
            <w:r>
              <w:t>Share of net movement in revaluation surplus of joint ventures and associates</w:t>
            </w:r>
          </w:p>
        </w:tc>
        <w:tc>
          <w:tcPr>
            <w:tcW w:w="720" w:type="dxa"/>
            <w:tcBorders>
              <w:bottom w:val="single" w:sz="12" w:space="0" w:color="auto"/>
            </w:tcBorders>
          </w:tcPr>
          <w:p w14:paraId="39C4470A" w14:textId="39CAF352"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6 787</w:t>
            </w:r>
          </w:p>
        </w:tc>
        <w:tc>
          <w:tcPr>
            <w:tcW w:w="1440" w:type="dxa"/>
            <w:tcBorders>
              <w:bottom w:val="single" w:sz="12" w:space="0" w:color="auto"/>
            </w:tcBorders>
          </w:tcPr>
          <w:p w14:paraId="39E60CB8" w14:textId="39E56EE6"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3 142</w:t>
            </w:r>
          </w:p>
        </w:tc>
        <w:tc>
          <w:tcPr>
            <w:tcW w:w="900" w:type="dxa"/>
            <w:tcBorders>
              <w:bottom w:val="single" w:sz="12" w:space="0" w:color="auto"/>
            </w:tcBorders>
          </w:tcPr>
          <w:p w14:paraId="4982D0A0" w14:textId="31DC4CC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11 031</w:t>
            </w:r>
          </w:p>
        </w:tc>
        <w:tc>
          <w:tcPr>
            <w:tcW w:w="1080" w:type="dxa"/>
            <w:tcBorders>
              <w:bottom w:val="single" w:sz="12" w:space="0" w:color="auto"/>
            </w:tcBorders>
          </w:tcPr>
          <w:p w14:paraId="3A8A658A" w14:textId="6B7AB60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9 496</w:t>
            </w:r>
          </w:p>
        </w:tc>
        <w:tc>
          <w:tcPr>
            <w:tcW w:w="810" w:type="dxa"/>
            <w:tcBorders>
              <w:bottom w:val="single" w:sz="12" w:space="0" w:color="auto"/>
            </w:tcBorders>
          </w:tcPr>
          <w:p w14:paraId="6A6629AF" w14:textId="5DA6F44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(4 679)</w:t>
            </w:r>
          </w:p>
        </w:tc>
        <w:tc>
          <w:tcPr>
            <w:tcW w:w="1350" w:type="dxa"/>
            <w:tcBorders>
              <w:bottom w:val="single" w:sz="12" w:space="0" w:color="auto"/>
            </w:tcBorders>
          </w:tcPr>
          <w:p w14:paraId="6C5A1482" w14:textId="68F7173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(779)</w:t>
            </w:r>
          </w:p>
        </w:tc>
        <w:tc>
          <w:tcPr>
            <w:tcW w:w="990" w:type="dxa"/>
            <w:tcBorders>
              <w:bottom w:val="single" w:sz="12" w:space="0" w:color="auto"/>
            </w:tcBorders>
          </w:tcPr>
          <w:p w14:paraId="56D1BBAE" w14:textId="6A43AD97"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835</w:t>
            </w:r>
          </w:p>
        </w:tc>
        <w:tc>
          <w:tcPr>
            <w:tcW w:w="990" w:type="dxa"/>
            <w:tcBorders>
              <w:bottom w:val="single" w:sz="12" w:space="0" w:color="auto"/>
            </w:tcBorders>
          </w:tcPr>
          <w:p w14:paraId="4719F72D" w14:textId="416774A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w:t>
            </w:r>
          </w:p>
        </w:tc>
        <w:tc>
          <w:tcPr>
            <w:tcW w:w="1080" w:type="dxa"/>
            <w:tcBorders>
              <w:bottom w:val="single" w:sz="12" w:space="0" w:color="auto"/>
            </w:tcBorders>
          </w:tcPr>
          <w:p w14:paraId="4A2C4194" w14:textId="38F36C6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13 974</w:t>
            </w:r>
          </w:p>
        </w:tc>
        <w:tc>
          <w:tcPr>
            <w:tcW w:w="990" w:type="dxa"/>
            <w:tcBorders>
              <w:bottom w:val="single" w:sz="12" w:space="0" w:color="auto"/>
            </w:tcBorders>
          </w:tcPr>
          <w:p w14:paraId="1EDCA881" w14:textId="6D93AD8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t>11 859</w:t>
            </w:r>
          </w:p>
        </w:tc>
      </w:tr>
      <w:tr w:rsidR="00B81D87" w14:paraId="4E41342D" w14:textId="77777777" w:rsidTr="00826814">
        <w:tc>
          <w:tcPr>
            <w:cnfStyle w:val="001000000000" w:firstRow="0" w:lastRow="0" w:firstColumn="1" w:lastColumn="0" w:oddVBand="0" w:evenVBand="0" w:oddHBand="0" w:evenHBand="0" w:firstRowFirstColumn="0" w:firstRowLastColumn="0" w:lastRowFirstColumn="0" w:lastRowLastColumn="0"/>
            <w:tcW w:w="4230" w:type="dxa"/>
            <w:tcBorders>
              <w:top w:val="single" w:sz="12" w:space="0" w:color="auto"/>
              <w:bottom w:val="single" w:sz="12" w:space="0" w:color="auto"/>
            </w:tcBorders>
          </w:tcPr>
          <w:p w14:paraId="338ABBE3" w14:textId="7C0E6B5F" w:rsidR="00B81D87" w:rsidRDefault="00B81D87" w:rsidP="00B81D87">
            <w:pPr>
              <w:spacing w:after="0"/>
            </w:pPr>
            <w:r>
              <w:rPr>
                <w:b/>
              </w:rPr>
              <w:t>Comprehensive result</w:t>
            </w:r>
          </w:p>
        </w:tc>
        <w:tc>
          <w:tcPr>
            <w:tcW w:w="720" w:type="dxa"/>
            <w:tcBorders>
              <w:top w:val="single" w:sz="12" w:space="0" w:color="auto"/>
              <w:bottom w:val="single" w:sz="12" w:space="0" w:color="auto"/>
            </w:tcBorders>
          </w:tcPr>
          <w:p w14:paraId="6C56D52B" w14:textId="620F18B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13 877</w:t>
            </w:r>
          </w:p>
        </w:tc>
        <w:tc>
          <w:tcPr>
            <w:tcW w:w="1440" w:type="dxa"/>
            <w:tcBorders>
              <w:top w:val="single" w:sz="12" w:space="0" w:color="auto"/>
              <w:bottom w:val="single" w:sz="12" w:space="0" w:color="auto"/>
            </w:tcBorders>
          </w:tcPr>
          <w:p w14:paraId="5A3CCD6D" w14:textId="21BE6233"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6 634</w:t>
            </w:r>
          </w:p>
        </w:tc>
        <w:tc>
          <w:tcPr>
            <w:tcW w:w="900" w:type="dxa"/>
            <w:tcBorders>
              <w:top w:val="single" w:sz="12" w:space="0" w:color="auto"/>
              <w:bottom w:val="single" w:sz="12" w:space="0" w:color="auto"/>
            </w:tcBorders>
          </w:tcPr>
          <w:p w14:paraId="69A1C3B5" w14:textId="21AC1E28"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22 465</w:t>
            </w:r>
          </w:p>
        </w:tc>
        <w:tc>
          <w:tcPr>
            <w:tcW w:w="1080" w:type="dxa"/>
            <w:tcBorders>
              <w:top w:val="single" w:sz="12" w:space="0" w:color="auto"/>
              <w:bottom w:val="single" w:sz="12" w:space="0" w:color="auto"/>
            </w:tcBorders>
          </w:tcPr>
          <w:p w14:paraId="7DDDF348" w14:textId="740A8595"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19 229</w:t>
            </w:r>
          </w:p>
        </w:tc>
        <w:tc>
          <w:tcPr>
            <w:tcW w:w="810" w:type="dxa"/>
            <w:tcBorders>
              <w:top w:val="single" w:sz="12" w:space="0" w:color="auto"/>
              <w:bottom w:val="single" w:sz="12" w:space="0" w:color="auto"/>
            </w:tcBorders>
          </w:tcPr>
          <w:p w14:paraId="46CB0D03" w14:textId="4E1FFEFA"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(9 139)</w:t>
            </w:r>
          </w:p>
        </w:tc>
        <w:tc>
          <w:tcPr>
            <w:tcW w:w="1350" w:type="dxa"/>
            <w:tcBorders>
              <w:top w:val="single" w:sz="12" w:space="0" w:color="auto"/>
              <w:bottom w:val="single" w:sz="12" w:space="0" w:color="auto"/>
            </w:tcBorders>
          </w:tcPr>
          <w:p w14:paraId="76BF0FAB" w14:textId="6C78BCFC"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(1 425)</w:t>
            </w:r>
          </w:p>
        </w:tc>
        <w:tc>
          <w:tcPr>
            <w:tcW w:w="990" w:type="dxa"/>
            <w:tcBorders>
              <w:top w:val="single" w:sz="12" w:space="0" w:color="auto"/>
              <w:bottom w:val="single" w:sz="12" w:space="0" w:color="auto"/>
            </w:tcBorders>
          </w:tcPr>
          <w:p w14:paraId="1AC8FC53" w14:textId="16CAEE6F"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1 954</w:t>
            </w:r>
          </w:p>
        </w:tc>
        <w:tc>
          <w:tcPr>
            <w:tcW w:w="990" w:type="dxa"/>
            <w:tcBorders>
              <w:top w:val="single" w:sz="12" w:space="0" w:color="auto"/>
              <w:bottom w:val="single" w:sz="12" w:space="0" w:color="auto"/>
            </w:tcBorders>
          </w:tcPr>
          <w:p w14:paraId="2B84B087" w14:textId="0229D818"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080" w:type="dxa"/>
            <w:tcBorders>
              <w:top w:val="single" w:sz="12" w:space="0" w:color="auto"/>
              <w:bottom w:val="single" w:sz="12" w:space="0" w:color="auto"/>
            </w:tcBorders>
          </w:tcPr>
          <w:p w14:paraId="1C75039C" w14:textId="3B10D6DD"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29 157</w:t>
            </w:r>
          </w:p>
        </w:tc>
        <w:tc>
          <w:tcPr>
            <w:tcW w:w="990" w:type="dxa"/>
            <w:tcBorders>
              <w:top w:val="single" w:sz="12" w:space="0" w:color="auto"/>
              <w:bottom w:val="single" w:sz="12" w:space="0" w:color="auto"/>
            </w:tcBorders>
          </w:tcPr>
          <w:p w14:paraId="501845F9" w14:textId="62CEC6D8" w:rsidR="00B81D87" w:rsidRDefault="00B81D87" w:rsidP="00B81D87">
            <w:pPr>
              <w:spacing w:after="0"/>
              <w:cnfStyle w:val="000000000000" w:firstRow="0" w:lastRow="0" w:firstColumn="0" w:lastColumn="0" w:oddVBand="0" w:evenVBand="0" w:oddHBand="0" w:evenHBand="0" w:firstRowFirstColumn="0" w:firstRowLastColumn="0" w:lastRowFirstColumn="0" w:lastRowLastColumn="0"/>
            </w:pPr>
            <w:r>
              <w:rPr>
                <w:b/>
              </w:rPr>
              <w:t>24 438</w:t>
            </w:r>
          </w:p>
        </w:tc>
      </w:tr>
    </w:tbl>
    <w:p w14:paraId="1EBD1E9E" w14:textId="77777777" w:rsidR="003719CD" w:rsidRDefault="003719CD" w:rsidP="007D536F">
      <w:pPr>
        <w:pStyle w:val="Note"/>
      </w:pPr>
      <w:r>
        <w:t xml:space="preserve">Notes: </w:t>
      </w:r>
    </w:p>
    <w:p w14:paraId="584C4992" w14:textId="77777777" w:rsidR="003719CD" w:rsidRDefault="003719CD" w:rsidP="007D536F">
      <w:pPr>
        <w:pStyle w:val="Note"/>
      </w:pPr>
      <w:r>
        <w:t>(a)</w:t>
      </w:r>
      <w:r>
        <w:tab/>
        <w:t>Information about the objectives of these departmental outputs is located in the report of operations under the ‘Operational and budgetary objectives and performance against objectives’ section.</w:t>
      </w:r>
    </w:p>
    <w:p w14:paraId="01AF4C65" w14:textId="5DC62A80" w:rsidR="003719CD" w:rsidRDefault="003719CD" w:rsidP="007D536F">
      <w:pPr>
        <w:pStyle w:val="Note"/>
      </w:pPr>
      <w:r>
        <w:t>(b)</w:t>
      </w:r>
      <w:r>
        <w:tab/>
        <w:t xml:space="preserve">Based on the Administrative Arrangements Order [No. xxx] </w:t>
      </w:r>
      <w:fldSimple w:instr="DOCPROPERTY  YearCurrent  \* MERGEFORMAT">
        <w:r w:rsidR="00A545BA">
          <w:t>20X2</w:t>
        </w:r>
      </w:fldSimple>
      <w:r w:rsidRPr="00D70E94">
        <w:t xml:space="preserve">, figures for the current financial year for the new technology administration output reflect the period from 1 July </w:t>
      </w:r>
      <w:fldSimple w:instr="DOCPROPERTY  YearPrevious  \* MERGEFORMAT">
        <w:r w:rsidR="00A545BA">
          <w:t>20X1</w:t>
        </w:r>
      </w:fldSimple>
      <w:r w:rsidR="00612D9A">
        <w:t xml:space="preserve"> </w:t>
      </w:r>
      <w:r w:rsidRPr="00D70E94">
        <w:t xml:space="preserve">to 31 August </w:t>
      </w:r>
      <w:fldSimple w:instr="DOCPROPERTY  YearPrevious  \* MERGEFORMAT">
        <w:r w:rsidR="00A545BA">
          <w:t>20X1</w:t>
        </w:r>
      </w:fldSimple>
      <w:r w:rsidRPr="00D70E94">
        <w:t xml:space="preserve">, figures for the comparative year are not adjusted. Figures for the period from 1 September </w:t>
      </w:r>
      <w:fldSimple w:instr="DOCPROPERTY  YearPrevious  \* MERGEFORMAT">
        <w:r w:rsidR="00A545BA">
          <w:t>20X1</w:t>
        </w:r>
      </w:fldSimple>
      <w:r>
        <w:t xml:space="preserve"> to 30 June </w:t>
      </w:r>
      <w:fldSimple w:instr="DOCPROPERTY  YearCurrent  \* MERGEFORMAT">
        <w:r w:rsidR="00A545BA">
          <w:t>20X2</w:t>
        </w:r>
      </w:fldSimple>
      <w:r>
        <w:t xml:space="preserve"> are reported by the Department of Cabinet Administration. </w:t>
      </w:r>
    </w:p>
    <w:p w14:paraId="3D1276D0" w14:textId="2AA6F31E" w:rsidR="003719CD" w:rsidRDefault="003719CD" w:rsidP="007D536F">
      <w:pPr>
        <w:pStyle w:val="Note"/>
      </w:pPr>
      <w:r>
        <w:t>(c)</w:t>
      </w:r>
      <w:r>
        <w:tab/>
        <w:t xml:space="preserve">Based on the Administrative Arrangements Order [No. xxx] </w:t>
      </w:r>
      <w:fldSimple w:instr="DOCPROPERTY  YearPrevious  \* MERGEFORMAT">
        <w:r w:rsidR="00A545BA">
          <w:t>20X1</w:t>
        </w:r>
      </w:fldSimple>
      <w:r>
        <w:t xml:space="preserve">, figures for the current financial year for the R&amp;D biological technology output reflect the period from 1 September </w:t>
      </w:r>
      <w:fldSimple w:instr="DOCPROPERTY  YearPrevious  \* MERGEFORMAT">
        <w:r w:rsidR="00A545BA">
          <w:t>20X1</w:t>
        </w:r>
      </w:fldSimple>
      <w:r w:rsidR="00612D9A">
        <w:t xml:space="preserve"> </w:t>
      </w:r>
      <w:r>
        <w:t xml:space="preserve">to 30 June </w:t>
      </w:r>
      <w:fldSimple w:instr="DOCPROPERTY  YearCurrent  \* MERGEFORMAT">
        <w:r w:rsidR="00A545BA">
          <w:t>20X2</w:t>
        </w:r>
      </w:fldSimple>
      <w:r>
        <w:t xml:space="preserve">. Figures for the period from 1 July </w:t>
      </w:r>
      <w:fldSimple w:instr="DOCPROPERTY  YearPrevious  \* MERGEFORMAT">
        <w:r w:rsidR="00A545BA">
          <w:t>20X1</w:t>
        </w:r>
      </w:fldSimple>
      <w:r>
        <w:t xml:space="preserve"> to 31 August </w:t>
      </w:r>
      <w:fldSimple w:instr="DOCPROPERTY  YearPrevious  \* MERGEFORMAT">
        <w:r w:rsidR="00A545BA">
          <w:t>20X1</w:t>
        </w:r>
      </w:fldSimple>
      <w:r>
        <w:t>, and figures for the comparative year, are reported by the Department of Natural Resources.</w:t>
      </w:r>
    </w:p>
    <w:p w14:paraId="1BAF641A" w14:textId="77777777" w:rsidR="002B10EE" w:rsidRDefault="002B10EE" w:rsidP="007D536F">
      <w:pPr>
        <w:pStyle w:val="Note"/>
      </w:pPr>
    </w:p>
    <w:p w14:paraId="0864E548" w14:textId="0DA616FC" w:rsidR="003719CD" w:rsidRDefault="003719CD" w:rsidP="007D536F">
      <w:pPr>
        <w:pStyle w:val="Caption"/>
      </w:pPr>
      <w:r>
        <w:lastRenderedPageBreak/>
        <w:t xml:space="preserve">Departmental outputs – Controlled assets and liabilities at 30 </w:t>
      </w:r>
      <w:r w:rsidRPr="00D70E94">
        <w:t xml:space="preserve">June </w:t>
      </w:r>
      <w:fldSimple w:instr="DOCPROPERTY  YearCurrent  \* MERGEFORMAT">
        <w:r w:rsidR="00A545BA">
          <w:t>20X2</w:t>
        </w:r>
      </w:fldSimple>
      <w:r w:rsidDel="004311BB">
        <w:t xml:space="preserve"> </w:t>
      </w:r>
      <w:r w:rsidRPr="00936CB4">
        <w:rPr>
          <w:rStyle w:val="Reference"/>
        </w:rPr>
        <w:t>[AASB 1052.16]</w:t>
      </w:r>
      <w:r>
        <w:tab/>
      </w:r>
      <w:r>
        <w:tab/>
        <w:t>($ thousand)</w:t>
      </w:r>
    </w:p>
    <w:tbl>
      <w:tblPr>
        <w:tblStyle w:val="DTFTable"/>
        <w:tblW w:w="14629" w:type="dxa"/>
        <w:tblLayout w:type="fixed"/>
        <w:tblLook w:val="06A0" w:firstRow="1" w:lastRow="0" w:firstColumn="1" w:lastColumn="0" w:noHBand="1" w:noVBand="1"/>
      </w:tblPr>
      <w:tblGrid>
        <w:gridCol w:w="4242"/>
        <w:gridCol w:w="1038"/>
        <w:gridCol w:w="1039"/>
        <w:gridCol w:w="1039"/>
        <w:gridCol w:w="1038"/>
        <w:gridCol w:w="1039"/>
        <w:gridCol w:w="1039"/>
        <w:gridCol w:w="1038"/>
        <w:gridCol w:w="1039"/>
        <w:gridCol w:w="1039"/>
        <w:gridCol w:w="1039"/>
      </w:tblGrid>
      <w:tr w:rsidR="008E5233" w14:paraId="27E3C19A"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2" w:type="dxa"/>
          </w:tcPr>
          <w:p w14:paraId="2F660BF1" w14:textId="77777777" w:rsidR="008E5233" w:rsidRDefault="008E5233">
            <w:pPr>
              <w:keepNext/>
            </w:pPr>
          </w:p>
        </w:tc>
        <w:tc>
          <w:tcPr>
            <w:tcW w:w="2077" w:type="dxa"/>
            <w:gridSpan w:val="2"/>
          </w:tcPr>
          <w:p w14:paraId="78E4DE4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7" w:type="dxa"/>
            <w:gridSpan w:val="2"/>
          </w:tcPr>
          <w:p w14:paraId="7F2F95A4"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8" w:type="dxa"/>
            <w:gridSpan w:val="2"/>
          </w:tcPr>
          <w:p w14:paraId="5F8CA498"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7" w:type="dxa"/>
            <w:gridSpan w:val="2"/>
          </w:tcPr>
          <w:p w14:paraId="31934A57" w14:textId="5151E5E3"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 xml:space="preserve">R&amp;D biological </w:t>
            </w:r>
            <w:r w:rsidR="00826814">
              <w:br/>
            </w:r>
            <w:r>
              <w:t>technology</w:t>
            </w:r>
            <w:r>
              <w:rPr>
                <w:vertAlign w:val="superscript"/>
              </w:rPr>
              <w:t xml:space="preserve"> (b)</w:t>
            </w:r>
          </w:p>
        </w:tc>
        <w:tc>
          <w:tcPr>
            <w:tcW w:w="2078" w:type="dxa"/>
            <w:gridSpan w:val="2"/>
          </w:tcPr>
          <w:p w14:paraId="7A97AD64"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D2404C" w14:paraId="339B1D6C" w14:textId="77777777" w:rsidTr="00D8764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42" w:type="dxa"/>
            <w:tcBorders>
              <w:bottom w:val="single" w:sz="12" w:space="0" w:color="auto"/>
            </w:tcBorders>
          </w:tcPr>
          <w:p w14:paraId="6786F68D" w14:textId="77777777" w:rsidR="00D2404C" w:rsidRDefault="00D2404C" w:rsidP="00D2404C">
            <w:pPr>
              <w:keepNext/>
            </w:pPr>
          </w:p>
        </w:tc>
        <w:tc>
          <w:tcPr>
            <w:tcW w:w="1038" w:type="dxa"/>
            <w:tcBorders>
              <w:bottom w:val="single" w:sz="12" w:space="0" w:color="auto"/>
            </w:tcBorders>
          </w:tcPr>
          <w:p w14:paraId="3FAD759C" w14:textId="11FD0A31"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039" w:type="dxa"/>
            <w:tcBorders>
              <w:bottom w:val="single" w:sz="12" w:space="0" w:color="auto"/>
            </w:tcBorders>
          </w:tcPr>
          <w:p w14:paraId="7C85BB35" w14:textId="521302D3"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1039" w:type="dxa"/>
            <w:tcBorders>
              <w:bottom w:val="single" w:sz="12" w:space="0" w:color="auto"/>
            </w:tcBorders>
          </w:tcPr>
          <w:p w14:paraId="316BE2C8" w14:textId="12298902"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038" w:type="dxa"/>
            <w:tcBorders>
              <w:bottom w:val="single" w:sz="12" w:space="0" w:color="auto"/>
            </w:tcBorders>
          </w:tcPr>
          <w:p w14:paraId="12E7D652" w14:textId="022FFAD0"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1039" w:type="dxa"/>
            <w:tcBorders>
              <w:bottom w:val="single" w:sz="12" w:space="0" w:color="auto"/>
            </w:tcBorders>
          </w:tcPr>
          <w:p w14:paraId="6315BC16" w14:textId="02588A69"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039" w:type="dxa"/>
            <w:tcBorders>
              <w:bottom w:val="single" w:sz="12" w:space="0" w:color="auto"/>
            </w:tcBorders>
          </w:tcPr>
          <w:p w14:paraId="53DD8FF4" w14:textId="582874A2"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1038" w:type="dxa"/>
            <w:tcBorders>
              <w:bottom w:val="single" w:sz="12" w:space="0" w:color="auto"/>
            </w:tcBorders>
          </w:tcPr>
          <w:p w14:paraId="75E8560F" w14:textId="1E2C708F"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039" w:type="dxa"/>
            <w:tcBorders>
              <w:bottom w:val="single" w:sz="12" w:space="0" w:color="auto"/>
            </w:tcBorders>
          </w:tcPr>
          <w:p w14:paraId="6D3A7628" w14:textId="1839460C"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c>
          <w:tcPr>
            <w:tcW w:w="1039" w:type="dxa"/>
            <w:tcBorders>
              <w:bottom w:val="single" w:sz="12" w:space="0" w:color="auto"/>
            </w:tcBorders>
          </w:tcPr>
          <w:p w14:paraId="76D3CE58" w14:textId="1EEDF109"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YearCurrent \* MERGEFORMAT</w:instrText>
            </w:r>
            <w:r w:rsidRPr="00D2404C">
              <w:rPr>
                <w:iCs/>
              </w:rPr>
              <w:fldChar w:fldCharType="separate"/>
            </w:r>
            <w:r w:rsidRPr="00D2404C">
              <w:rPr>
                <w:bCs w:val="0"/>
                <w:iCs/>
              </w:rPr>
              <w:t>20X2</w:t>
            </w:r>
            <w:r w:rsidRPr="00D2404C">
              <w:rPr>
                <w:iCs/>
              </w:rPr>
              <w:fldChar w:fldCharType="end"/>
            </w:r>
          </w:p>
        </w:tc>
        <w:tc>
          <w:tcPr>
            <w:tcW w:w="1039" w:type="dxa"/>
            <w:tcBorders>
              <w:bottom w:val="single" w:sz="12" w:space="0" w:color="auto"/>
            </w:tcBorders>
          </w:tcPr>
          <w:p w14:paraId="36A002E0" w14:textId="4ADEA29F" w:rsidR="00D2404C" w:rsidRPr="00D2404C" w:rsidRDefault="00D2404C" w:rsidP="00D2404C">
            <w:pPr>
              <w:keepNext/>
              <w:cnfStyle w:val="100000000000" w:firstRow="1" w:lastRow="0" w:firstColumn="0" w:lastColumn="0" w:oddVBand="0" w:evenVBand="0" w:oddHBand="0" w:evenHBand="0" w:firstRowFirstColumn="0" w:firstRowLastColumn="0" w:lastRowFirstColumn="0" w:lastRowLastColumn="0"/>
              <w:rPr>
                <w:iCs/>
              </w:rPr>
            </w:pPr>
            <w:r w:rsidRPr="00D2404C">
              <w:rPr>
                <w:iCs/>
              </w:rPr>
              <w:fldChar w:fldCharType="begin"/>
            </w:r>
            <w:r w:rsidRPr="00D2404C">
              <w:rPr>
                <w:bCs w:val="0"/>
                <w:iCs/>
              </w:rPr>
              <w:instrText>DOCPROPERTY  YearPrevious  \* MERGEFORMAT</w:instrText>
            </w:r>
            <w:r w:rsidRPr="00D2404C">
              <w:rPr>
                <w:iCs/>
              </w:rPr>
              <w:fldChar w:fldCharType="separate"/>
            </w:r>
            <w:r w:rsidRPr="00D2404C">
              <w:rPr>
                <w:bCs w:val="0"/>
                <w:iCs/>
              </w:rPr>
              <w:t>20X1</w:t>
            </w:r>
            <w:r w:rsidRPr="00D2404C">
              <w:rPr>
                <w:iCs/>
              </w:rPr>
              <w:fldChar w:fldCharType="end"/>
            </w:r>
          </w:p>
        </w:tc>
      </w:tr>
      <w:tr w:rsidR="00671D55" w14:paraId="755F1190" w14:textId="77777777" w:rsidTr="008E5233">
        <w:tc>
          <w:tcPr>
            <w:cnfStyle w:val="001000000000" w:firstRow="0" w:lastRow="0" w:firstColumn="1" w:lastColumn="0" w:oddVBand="0" w:evenVBand="0" w:oddHBand="0" w:evenHBand="0" w:firstRowFirstColumn="0" w:firstRowLastColumn="0" w:lastRowFirstColumn="0" w:lastRowLastColumn="0"/>
            <w:tcW w:w="4242" w:type="dxa"/>
          </w:tcPr>
          <w:p w14:paraId="60C48E1A" w14:textId="77777777" w:rsidR="008E5233" w:rsidRDefault="005648A9">
            <w:r>
              <w:rPr>
                <w:b/>
              </w:rPr>
              <w:t>Assets</w:t>
            </w:r>
          </w:p>
        </w:tc>
        <w:tc>
          <w:tcPr>
            <w:tcW w:w="1038" w:type="dxa"/>
          </w:tcPr>
          <w:p w14:paraId="6F8C5B6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769C589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6FF533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Pr>
          <w:p w14:paraId="6C289EB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D5E2A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508E5DF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Pr>
          <w:p w14:paraId="00B7491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127AA21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05A9E7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2349AE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22C22BD" w14:textId="77777777">
        <w:tc>
          <w:tcPr>
            <w:cnfStyle w:val="001000000000" w:firstRow="0" w:lastRow="0" w:firstColumn="1" w:lastColumn="0" w:oddVBand="0" w:evenVBand="0" w:oddHBand="0" w:evenHBand="0" w:firstRowFirstColumn="0" w:firstRowLastColumn="0" w:lastRowFirstColumn="0" w:lastRowLastColumn="0"/>
            <w:tcW w:w="4242" w:type="dxa"/>
          </w:tcPr>
          <w:p w14:paraId="5BA2B52F" w14:textId="77777777" w:rsidR="008E5233" w:rsidRDefault="005648A9">
            <w:r>
              <w:t>Financial assets</w:t>
            </w:r>
          </w:p>
        </w:tc>
        <w:tc>
          <w:tcPr>
            <w:tcW w:w="1038" w:type="dxa"/>
          </w:tcPr>
          <w:p w14:paraId="0C0DB2CE" w14:textId="77777777" w:rsidR="008E5233" w:rsidRDefault="005648A9">
            <w:pPr>
              <w:cnfStyle w:val="000000000000" w:firstRow="0" w:lastRow="0" w:firstColumn="0" w:lastColumn="0" w:oddVBand="0" w:evenVBand="0" w:oddHBand="0" w:evenHBand="0" w:firstRowFirstColumn="0" w:firstRowLastColumn="0" w:lastRowFirstColumn="0" w:lastRowLastColumn="0"/>
            </w:pPr>
            <w:r>
              <w:t>77 617</w:t>
            </w:r>
          </w:p>
        </w:tc>
        <w:tc>
          <w:tcPr>
            <w:tcW w:w="1039" w:type="dxa"/>
          </w:tcPr>
          <w:p w14:paraId="04913D71" w14:textId="77777777" w:rsidR="008E5233" w:rsidRDefault="005648A9">
            <w:pPr>
              <w:cnfStyle w:val="000000000000" w:firstRow="0" w:lastRow="0" w:firstColumn="0" w:lastColumn="0" w:oddVBand="0" w:evenVBand="0" w:oddHBand="0" w:evenHBand="0" w:firstRowFirstColumn="0" w:firstRowLastColumn="0" w:lastRowFirstColumn="0" w:lastRowLastColumn="0"/>
            </w:pPr>
            <w:r>
              <w:t>58 442</w:t>
            </w:r>
          </w:p>
        </w:tc>
        <w:tc>
          <w:tcPr>
            <w:tcW w:w="1039" w:type="dxa"/>
          </w:tcPr>
          <w:p w14:paraId="52EEB8CB" w14:textId="77777777" w:rsidR="008E5233" w:rsidRDefault="005648A9">
            <w:pPr>
              <w:cnfStyle w:val="000000000000" w:firstRow="0" w:lastRow="0" w:firstColumn="0" w:lastColumn="0" w:oddVBand="0" w:evenVBand="0" w:oddHBand="0" w:evenHBand="0" w:firstRowFirstColumn="0" w:firstRowLastColumn="0" w:lastRowFirstColumn="0" w:lastRowLastColumn="0"/>
            </w:pPr>
            <w:r>
              <w:t>31 365</w:t>
            </w:r>
          </w:p>
        </w:tc>
        <w:tc>
          <w:tcPr>
            <w:tcW w:w="1038" w:type="dxa"/>
          </w:tcPr>
          <w:p w14:paraId="2B342C0C" w14:textId="77777777" w:rsidR="008E5233" w:rsidRDefault="005648A9">
            <w:pPr>
              <w:cnfStyle w:val="000000000000" w:firstRow="0" w:lastRow="0" w:firstColumn="0" w:lastColumn="0" w:oddVBand="0" w:evenVBand="0" w:oddHBand="0" w:evenHBand="0" w:firstRowFirstColumn="0" w:firstRowLastColumn="0" w:lastRowFirstColumn="0" w:lastRowLastColumn="0"/>
            </w:pPr>
            <w:r>
              <w:t>17 505</w:t>
            </w:r>
          </w:p>
        </w:tc>
        <w:tc>
          <w:tcPr>
            <w:tcW w:w="1039" w:type="dxa"/>
          </w:tcPr>
          <w:p w14:paraId="0B8A9C3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39" w:type="dxa"/>
          </w:tcPr>
          <w:p w14:paraId="5F975A8B" w14:textId="77777777" w:rsidR="008E5233" w:rsidRDefault="005648A9">
            <w:pPr>
              <w:cnfStyle w:val="000000000000" w:firstRow="0" w:lastRow="0" w:firstColumn="0" w:lastColumn="0" w:oddVBand="0" w:evenVBand="0" w:oddHBand="0" w:evenHBand="0" w:firstRowFirstColumn="0" w:firstRowLastColumn="0" w:lastRowFirstColumn="0" w:lastRowLastColumn="0"/>
            </w:pPr>
            <w:r>
              <w:t>27 845</w:t>
            </w:r>
          </w:p>
        </w:tc>
        <w:tc>
          <w:tcPr>
            <w:tcW w:w="1038" w:type="dxa"/>
          </w:tcPr>
          <w:p w14:paraId="4C7976AA" w14:textId="77777777" w:rsidR="008E5233" w:rsidRDefault="005648A9">
            <w:pPr>
              <w:cnfStyle w:val="000000000000" w:firstRow="0" w:lastRow="0" w:firstColumn="0" w:lastColumn="0" w:oddVBand="0" w:evenVBand="0" w:oddHBand="0" w:evenHBand="0" w:firstRowFirstColumn="0" w:firstRowLastColumn="0" w:lastRowFirstColumn="0" w:lastRowLastColumn="0"/>
            </w:pPr>
            <w:r>
              <w:t>14 326</w:t>
            </w:r>
          </w:p>
        </w:tc>
        <w:tc>
          <w:tcPr>
            <w:tcW w:w="1039" w:type="dxa"/>
          </w:tcPr>
          <w:p w14:paraId="6ACA2E5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6961F1D0" w14:textId="77777777" w:rsidR="008E5233" w:rsidRDefault="005648A9">
            <w:pPr>
              <w:cnfStyle w:val="000000000000" w:firstRow="0" w:lastRow="0" w:firstColumn="0" w:lastColumn="0" w:oddVBand="0" w:evenVBand="0" w:oddHBand="0" w:evenHBand="0" w:firstRowFirstColumn="0" w:firstRowLastColumn="0" w:lastRowFirstColumn="0" w:lastRowLastColumn="0"/>
            </w:pPr>
            <w:r>
              <w:t>123 308</w:t>
            </w:r>
          </w:p>
        </w:tc>
        <w:tc>
          <w:tcPr>
            <w:tcW w:w="1039" w:type="dxa"/>
          </w:tcPr>
          <w:p w14:paraId="6D86A9C7" w14:textId="77777777" w:rsidR="008E5233" w:rsidRDefault="005648A9">
            <w:pPr>
              <w:cnfStyle w:val="000000000000" w:firstRow="0" w:lastRow="0" w:firstColumn="0" w:lastColumn="0" w:oddVBand="0" w:evenVBand="0" w:oddHBand="0" w:evenHBand="0" w:firstRowFirstColumn="0" w:firstRowLastColumn="0" w:lastRowFirstColumn="0" w:lastRowLastColumn="0"/>
            </w:pPr>
            <w:r>
              <w:t>103 792</w:t>
            </w:r>
          </w:p>
        </w:tc>
      </w:tr>
      <w:tr w:rsidR="008E5233" w14:paraId="75C3818A" w14:textId="77777777" w:rsidTr="008E5233">
        <w:tc>
          <w:tcPr>
            <w:cnfStyle w:val="001000000000" w:firstRow="0" w:lastRow="0" w:firstColumn="1" w:lastColumn="0" w:oddVBand="0" w:evenVBand="0" w:oddHBand="0" w:evenHBand="0" w:firstRowFirstColumn="0" w:firstRowLastColumn="0" w:lastRowFirstColumn="0" w:lastRowLastColumn="0"/>
            <w:tcW w:w="4242" w:type="dxa"/>
            <w:tcBorders>
              <w:bottom w:val="single" w:sz="12" w:space="0" w:color="auto"/>
            </w:tcBorders>
          </w:tcPr>
          <w:p w14:paraId="523D98C8" w14:textId="77777777" w:rsidR="008E5233" w:rsidRDefault="005648A9">
            <w:r>
              <w:t>Non‑financial assets</w:t>
            </w:r>
          </w:p>
        </w:tc>
        <w:tc>
          <w:tcPr>
            <w:tcW w:w="1038" w:type="dxa"/>
            <w:tcBorders>
              <w:bottom w:val="single" w:sz="12" w:space="0" w:color="auto"/>
            </w:tcBorders>
          </w:tcPr>
          <w:p w14:paraId="201B0E9E" w14:textId="77777777" w:rsidR="008E5233" w:rsidRDefault="005648A9">
            <w:pPr>
              <w:cnfStyle w:val="000000000000" w:firstRow="0" w:lastRow="0" w:firstColumn="0" w:lastColumn="0" w:oddVBand="0" w:evenVBand="0" w:oddHBand="0" w:evenHBand="0" w:firstRowFirstColumn="0" w:firstRowLastColumn="0" w:lastRowFirstColumn="0" w:lastRowLastColumn="0"/>
            </w:pPr>
            <w:r>
              <w:t>40 363</w:t>
            </w:r>
          </w:p>
        </w:tc>
        <w:tc>
          <w:tcPr>
            <w:tcW w:w="1039" w:type="dxa"/>
            <w:tcBorders>
              <w:bottom w:val="single" w:sz="12" w:space="0" w:color="auto"/>
            </w:tcBorders>
          </w:tcPr>
          <w:p w14:paraId="490C94B2" w14:textId="77777777" w:rsidR="008E5233" w:rsidRDefault="005648A9">
            <w:pPr>
              <w:cnfStyle w:val="000000000000" w:firstRow="0" w:lastRow="0" w:firstColumn="0" w:lastColumn="0" w:oddVBand="0" w:evenVBand="0" w:oddHBand="0" w:evenHBand="0" w:firstRowFirstColumn="0" w:firstRowLastColumn="0" w:lastRowFirstColumn="0" w:lastRowLastColumn="0"/>
            </w:pPr>
            <w:r>
              <w:t>60 341</w:t>
            </w:r>
          </w:p>
        </w:tc>
        <w:tc>
          <w:tcPr>
            <w:tcW w:w="1039" w:type="dxa"/>
            <w:tcBorders>
              <w:bottom w:val="single" w:sz="12" w:space="0" w:color="auto"/>
            </w:tcBorders>
          </w:tcPr>
          <w:p w14:paraId="02B14D94" w14:textId="77777777" w:rsidR="008E5233" w:rsidRDefault="005648A9">
            <w:pPr>
              <w:cnfStyle w:val="000000000000" w:firstRow="0" w:lastRow="0" w:firstColumn="0" w:lastColumn="0" w:oddVBand="0" w:evenVBand="0" w:oddHBand="0" w:evenHBand="0" w:firstRowFirstColumn="0" w:firstRowLastColumn="0" w:lastRowFirstColumn="0" w:lastRowLastColumn="0"/>
            </w:pPr>
            <w:r>
              <w:t>19 739</w:t>
            </w:r>
          </w:p>
        </w:tc>
        <w:tc>
          <w:tcPr>
            <w:tcW w:w="1038" w:type="dxa"/>
            <w:tcBorders>
              <w:bottom w:val="single" w:sz="12" w:space="0" w:color="auto"/>
            </w:tcBorders>
          </w:tcPr>
          <w:p w14:paraId="66F9E33B" w14:textId="77777777" w:rsidR="008E5233" w:rsidRDefault="005648A9">
            <w:pPr>
              <w:cnfStyle w:val="000000000000" w:firstRow="0" w:lastRow="0" w:firstColumn="0" w:lastColumn="0" w:oddVBand="0" w:evenVBand="0" w:oddHBand="0" w:evenHBand="0" w:firstRowFirstColumn="0" w:firstRowLastColumn="0" w:lastRowFirstColumn="0" w:lastRowLastColumn="0"/>
            </w:pPr>
            <w:r>
              <w:t>19 989</w:t>
            </w:r>
          </w:p>
        </w:tc>
        <w:tc>
          <w:tcPr>
            <w:tcW w:w="1039" w:type="dxa"/>
            <w:tcBorders>
              <w:bottom w:val="single" w:sz="12" w:space="0" w:color="auto"/>
            </w:tcBorders>
          </w:tcPr>
          <w:p w14:paraId="1B8F3EA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39" w:type="dxa"/>
            <w:tcBorders>
              <w:bottom w:val="single" w:sz="12" w:space="0" w:color="auto"/>
            </w:tcBorders>
          </w:tcPr>
          <w:p w14:paraId="6164676F" w14:textId="77777777" w:rsidR="008E5233" w:rsidRDefault="005648A9">
            <w:pPr>
              <w:cnfStyle w:val="000000000000" w:firstRow="0" w:lastRow="0" w:firstColumn="0" w:lastColumn="0" w:oddVBand="0" w:evenVBand="0" w:oddHBand="0" w:evenHBand="0" w:firstRowFirstColumn="0" w:firstRowLastColumn="0" w:lastRowFirstColumn="0" w:lastRowLastColumn="0"/>
            </w:pPr>
            <w:r>
              <w:t>43 664</w:t>
            </w:r>
          </w:p>
        </w:tc>
        <w:tc>
          <w:tcPr>
            <w:tcW w:w="1038" w:type="dxa"/>
            <w:tcBorders>
              <w:bottom w:val="single" w:sz="12" w:space="0" w:color="auto"/>
            </w:tcBorders>
          </w:tcPr>
          <w:p w14:paraId="63E0FF70" w14:textId="77777777" w:rsidR="008E5233" w:rsidRDefault="005648A9">
            <w:pPr>
              <w:cnfStyle w:val="000000000000" w:firstRow="0" w:lastRow="0" w:firstColumn="0" w:lastColumn="0" w:oddVBand="0" w:evenVBand="0" w:oddHBand="0" w:evenHBand="0" w:firstRowFirstColumn="0" w:firstRowLastColumn="0" w:lastRowFirstColumn="0" w:lastRowLastColumn="0"/>
            </w:pPr>
            <w:r>
              <w:t>55 623</w:t>
            </w:r>
          </w:p>
        </w:tc>
        <w:tc>
          <w:tcPr>
            <w:tcW w:w="1039" w:type="dxa"/>
            <w:tcBorders>
              <w:bottom w:val="single" w:sz="12" w:space="0" w:color="auto"/>
            </w:tcBorders>
          </w:tcPr>
          <w:p w14:paraId="49B45E0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Borders>
              <w:bottom w:val="single" w:sz="12" w:space="0" w:color="auto"/>
            </w:tcBorders>
          </w:tcPr>
          <w:p w14:paraId="2788136D" w14:textId="77777777" w:rsidR="008E5233" w:rsidRDefault="005648A9">
            <w:pPr>
              <w:cnfStyle w:val="000000000000" w:firstRow="0" w:lastRow="0" w:firstColumn="0" w:lastColumn="0" w:oddVBand="0" w:evenVBand="0" w:oddHBand="0" w:evenHBand="0" w:firstRowFirstColumn="0" w:firstRowLastColumn="0" w:lastRowFirstColumn="0" w:lastRowLastColumn="0"/>
            </w:pPr>
            <w:r>
              <w:t>115 725</w:t>
            </w:r>
          </w:p>
        </w:tc>
        <w:tc>
          <w:tcPr>
            <w:tcW w:w="1039" w:type="dxa"/>
            <w:tcBorders>
              <w:bottom w:val="single" w:sz="12" w:space="0" w:color="auto"/>
            </w:tcBorders>
          </w:tcPr>
          <w:p w14:paraId="2A5E111E" w14:textId="77777777" w:rsidR="008E5233" w:rsidRDefault="005648A9">
            <w:pPr>
              <w:cnfStyle w:val="000000000000" w:firstRow="0" w:lastRow="0" w:firstColumn="0" w:lastColumn="0" w:oddVBand="0" w:evenVBand="0" w:oddHBand="0" w:evenHBand="0" w:firstRowFirstColumn="0" w:firstRowLastColumn="0" w:lastRowFirstColumn="0" w:lastRowLastColumn="0"/>
            </w:pPr>
            <w:r>
              <w:t>123 994</w:t>
            </w:r>
          </w:p>
        </w:tc>
      </w:tr>
      <w:tr w:rsidR="00671D55" w14:paraId="1B617EBD" w14:textId="77777777" w:rsidTr="008E5233">
        <w:tc>
          <w:tcPr>
            <w:cnfStyle w:val="001000000000" w:firstRow="0" w:lastRow="0" w:firstColumn="1" w:lastColumn="0" w:oddVBand="0" w:evenVBand="0" w:oddHBand="0" w:evenHBand="0" w:firstRowFirstColumn="0" w:firstRowLastColumn="0" w:lastRowFirstColumn="0" w:lastRowLastColumn="0"/>
            <w:tcW w:w="4242" w:type="dxa"/>
          </w:tcPr>
          <w:p w14:paraId="684D7C92" w14:textId="77777777" w:rsidR="008E5233" w:rsidRDefault="005648A9">
            <w:r>
              <w:rPr>
                <w:b/>
              </w:rPr>
              <w:t>Total assets</w:t>
            </w:r>
          </w:p>
        </w:tc>
        <w:tc>
          <w:tcPr>
            <w:tcW w:w="1038" w:type="dxa"/>
          </w:tcPr>
          <w:p w14:paraId="7FB0ED8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117 980</w:t>
            </w:r>
          </w:p>
        </w:tc>
        <w:tc>
          <w:tcPr>
            <w:tcW w:w="1039" w:type="dxa"/>
          </w:tcPr>
          <w:p w14:paraId="4195B4A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118 783</w:t>
            </w:r>
          </w:p>
        </w:tc>
        <w:tc>
          <w:tcPr>
            <w:tcW w:w="1039" w:type="dxa"/>
          </w:tcPr>
          <w:p w14:paraId="2741404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51 104</w:t>
            </w:r>
          </w:p>
        </w:tc>
        <w:tc>
          <w:tcPr>
            <w:tcW w:w="1038" w:type="dxa"/>
          </w:tcPr>
          <w:p w14:paraId="0D4B4E5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37 494</w:t>
            </w:r>
          </w:p>
        </w:tc>
        <w:tc>
          <w:tcPr>
            <w:tcW w:w="1039" w:type="dxa"/>
          </w:tcPr>
          <w:p w14:paraId="1D0A219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28B6CB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71 509</w:t>
            </w:r>
          </w:p>
        </w:tc>
        <w:tc>
          <w:tcPr>
            <w:tcW w:w="1038" w:type="dxa"/>
          </w:tcPr>
          <w:p w14:paraId="07A742A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69 949</w:t>
            </w:r>
          </w:p>
        </w:tc>
        <w:tc>
          <w:tcPr>
            <w:tcW w:w="1039" w:type="dxa"/>
          </w:tcPr>
          <w:p w14:paraId="36B4FEFF"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58A75FE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239 033</w:t>
            </w:r>
          </w:p>
        </w:tc>
        <w:tc>
          <w:tcPr>
            <w:tcW w:w="1039" w:type="dxa"/>
          </w:tcPr>
          <w:p w14:paraId="281787B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227 786</w:t>
            </w:r>
          </w:p>
        </w:tc>
      </w:tr>
      <w:tr w:rsidR="00671D55" w14:paraId="0E91284F" w14:textId="77777777" w:rsidTr="008E5233">
        <w:tc>
          <w:tcPr>
            <w:cnfStyle w:val="001000000000" w:firstRow="0" w:lastRow="0" w:firstColumn="1" w:lastColumn="0" w:oddVBand="0" w:evenVBand="0" w:oddHBand="0" w:evenHBand="0" w:firstRowFirstColumn="0" w:firstRowLastColumn="0" w:lastRowFirstColumn="0" w:lastRowLastColumn="0"/>
            <w:tcW w:w="4242" w:type="dxa"/>
          </w:tcPr>
          <w:p w14:paraId="6B1EB587" w14:textId="77777777" w:rsidR="008E5233" w:rsidRDefault="005648A9">
            <w:r>
              <w:rPr>
                <w:b/>
              </w:rPr>
              <w:t>Liabilities</w:t>
            </w:r>
          </w:p>
        </w:tc>
        <w:tc>
          <w:tcPr>
            <w:tcW w:w="1038" w:type="dxa"/>
          </w:tcPr>
          <w:p w14:paraId="1426FEC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37098A3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04090D7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Pr>
          <w:p w14:paraId="6A57719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37AE81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3CB9798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8" w:type="dxa"/>
          </w:tcPr>
          <w:p w14:paraId="3277A28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32A4071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59B1C21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39" w:type="dxa"/>
          </w:tcPr>
          <w:p w14:paraId="136FF56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671D55" w14:paraId="0A13F8DC" w14:textId="77777777" w:rsidTr="008E5233">
        <w:tc>
          <w:tcPr>
            <w:cnfStyle w:val="001000000000" w:firstRow="0" w:lastRow="0" w:firstColumn="1" w:lastColumn="0" w:oddVBand="0" w:evenVBand="0" w:oddHBand="0" w:evenHBand="0" w:firstRowFirstColumn="0" w:firstRowLastColumn="0" w:lastRowFirstColumn="0" w:lastRowLastColumn="0"/>
            <w:tcW w:w="4242" w:type="dxa"/>
          </w:tcPr>
          <w:p w14:paraId="5880AB40" w14:textId="77777777" w:rsidR="008E5233" w:rsidRDefault="005648A9">
            <w:r>
              <w:rPr>
                <w:b/>
              </w:rPr>
              <w:t>Total liabilities</w:t>
            </w:r>
          </w:p>
        </w:tc>
        <w:tc>
          <w:tcPr>
            <w:tcW w:w="1038" w:type="dxa"/>
          </w:tcPr>
          <w:p w14:paraId="5B368A5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37 433</w:t>
            </w:r>
          </w:p>
        </w:tc>
        <w:tc>
          <w:tcPr>
            <w:tcW w:w="1039" w:type="dxa"/>
          </w:tcPr>
          <w:p w14:paraId="56653DF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43 809</w:t>
            </w:r>
          </w:p>
        </w:tc>
        <w:tc>
          <w:tcPr>
            <w:tcW w:w="1039" w:type="dxa"/>
          </w:tcPr>
          <w:p w14:paraId="0507D05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99 034</w:t>
            </w:r>
          </w:p>
        </w:tc>
        <w:tc>
          <w:tcPr>
            <w:tcW w:w="1038" w:type="dxa"/>
          </w:tcPr>
          <w:p w14:paraId="17D0E4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78 450</w:t>
            </w:r>
          </w:p>
        </w:tc>
        <w:tc>
          <w:tcPr>
            <w:tcW w:w="1039" w:type="dxa"/>
          </w:tcPr>
          <w:p w14:paraId="43D86B1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60901E8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69 417</w:t>
            </w:r>
          </w:p>
        </w:tc>
        <w:tc>
          <w:tcPr>
            <w:tcW w:w="1038" w:type="dxa"/>
          </w:tcPr>
          <w:p w14:paraId="13EEFE9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43 027</w:t>
            </w:r>
          </w:p>
        </w:tc>
        <w:tc>
          <w:tcPr>
            <w:tcW w:w="1039" w:type="dxa"/>
          </w:tcPr>
          <w:p w14:paraId="52AA153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61FCAC7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179 494</w:t>
            </w:r>
          </w:p>
        </w:tc>
        <w:tc>
          <w:tcPr>
            <w:tcW w:w="1039" w:type="dxa"/>
          </w:tcPr>
          <w:p w14:paraId="3570D74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191 676</w:t>
            </w:r>
          </w:p>
        </w:tc>
      </w:tr>
      <w:tr w:rsidR="00671D55" w14:paraId="71FD702C" w14:textId="77777777" w:rsidTr="00182709">
        <w:tc>
          <w:tcPr>
            <w:cnfStyle w:val="001000000000" w:firstRow="0" w:lastRow="0" w:firstColumn="1" w:lastColumn="0" w:oddVBand="0" w:evenVBand="0" w:oddHBand="0" w:evenHBand="0" w:firstRowFirstColumn="0" w:firstRowLastColumn="0" w:lastRowFirstColumn="0" w:lastRowLastColumn="0"/>
            <w:tcW w:w="4242" w:type="dxa"/>
          </w:tcPr>
          <w:p w14:paraId="3D67363F" w14:textId="77777777" w:rsidR="008E5233" w:rsidRDefault="005648A9">
            <w:r>
              <w:rPr>
                <w:b/>
              </w:rPr>
              <w:t>Net assets</w:t>
            </w:r>
          </w:p>
        </w:tc>
        <w:tc>
          <w:tcPr>
            <w:tcW w:w="1038" w:type="dxa"/>
          </w:tcPr>
          <w:p w14:paraId="3B98E0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80 547</w:t>
            </w:r>
          </w:p>
        </w:tc>
        <w:tc>
          <w:tcPr>
            <w:tcW w:w="1039" w:type="dxa"/>
          </w:tcPr>
          <w:p w14:paraId="72E027D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74 974</w:t>
            </w:r>
          </w:p>
        </w:tc>
        <w:tc>
          <w:tcPr>
            <w:tcW w:w="1039" w:type="dxa"/>
          </w:tcPr>
          <w:p w14:paraId="1C65DB4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(47 930)</w:t>
            </w:r>
          </w:p>
        </w:tc>
        <w:tc>
          <w:tcPr>
            <w:tcW w:w="1038" w:type="dxa"/>
          </w:tcPr>
          <w:p w14:paraId="0A99B05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(40 956)</w:t>
            </w:r>
          </w:p>
        </w:tc>
        <w:tc>
          <w:tcPr>
            <w:tcW w:w="1039" w:type="dxa"/>
          </w:tcPr>
          <w:p w14:paraId="450E13D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481C78C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2 092</w:t>
            </w:r>
          </w:p>
        </w:tc>
        <w:tc>
          <w:tcPr>
            <w:tcW w:w="1038" w:type="dxa"/>
          </w:tcPr>
          <w:p w14:paraId="075210F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26 922</w:t>
            </w:r>
          </w:p>
        </w:tc>
        <w:tc>
          <w:tcPr>
            <w:tcW w:w="1039" w:type="dxa"/>
          </w:tcPr>
          <w:p w14:paraId="7261565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39" w:type="dxa"/>
          </w:tcPr>
          <w:p w14:paraId="1B3AA2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59 539</w:t>
            </w:r>
          </w:p>
        </w:tc>
        <w:tc>
          <w:tcPr>
            <w:tcW w:w="1039" w:type="dxa"/>
          </w:tcPr>
          <w:p w14:paraId="336F25E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36 110</w:t>
            </w:r>
          </w:p>
        </w:tc>
      </w:tr>
    </w:tbl>
    <w:p w14:paraId="747146FA" w14:textId="77777777" w:rsidR="003719CD" w:rsidRDefault="003719CD" w:rsidP="007D536F">
      <w:pPr>
        <w:pStyle w:val="Note"/>
      </w:pPr>
      <w:r>
        <w:t>Notes:</w:t>
      </w:r>
    </w:p>
    <w:p w14:paraId="38BCE386" w14:textId="399E19C2" w:rsidR="003719CD" w:rsidRDefault="003719CD" w:rsidP="007D536F">
      <w:pPr>
        <w:pStyle w:val="Note"/>
      </w:pPr>
      <w:r>
        <w:t>(a)</w:t>
      </w:r>
      <w:r>
        <w:tab/>
        <w:t xml:space="preserve">Based on the Administrative Arrangements Order [No. xxx] </w:t>
      </w:r>
      <w:fldSimple w:instr="DOCPROPERTY  YearCurrent  \* MERGEFORMAT">
        <w:r w:rsidR="00A545BA">
          <w:t>20X2</w:t>
        </w:r>
      </w:fldSimple>
      <w:r>
        <w:t>, figures for the assets and liabilities for the new technology administration output for the comparative year are not adjusted. Figures for the assets and liabilities of the output for the current year are reported by the Department of Cabinet Administration.</w:t>
      </w:r>
    </w:p>
    <w:p w14:paraId="41716B83" w14:textId="40DCEAAE" w:rsidR="003719CD" w:rsidRDefault="003719CD" w:rsidP="007D536F">
      <w:pPr>
        <w:pStyle w:val="Note"/>
      </w:pPr>
      <w:r>
        <w:t>(b)</w:t>
      </w:r>
      <w:r>
        <w:tab/>
        <w:t xml:space="preserve">Based on the Administrative Arrangements Order [No. xxx] </w:t>
      </w:r>
      <w:fldSimple w:instr="DOCPROPERTY  YearPrevious  \* MERGEFORMAT">
        <w:r w:rsidR="00A545BA">
          <w:t>20X1</w:t>
        </w:r>
      </w:fldSimple>
      <w:r>
        <w:t xml:space="preserve">, figures for the assets and liabilities for the R&amp;D biological technology output for the current financial year are as at </w:t>
      </w:r>
      <w:r w:rsidRPr="00D70E94">
        <w:t xml:space="preserve">30 June </w:t>
      </w:r>
      <w:fldSimple w:instr="DOCPROPERTY  YearCurrent  \* MERGEFORMAT">
        <w:r w:rsidR="00A545BA">
          <w:t>20X2</w:t>
        </w:r>
      </w:fldSimple>
      <w:r>
        <w:t>. Figures for the assets and liabilities of the output for the comparative year are reported by the Department of Natural Resources.</w:t>
      </w:r>
    </w:p>
    <w:p w14:paraId="373666A5" w14:textId="77777777" w:rsidR="003719CD" w:rsidRDefault="003719CD" w:rsidP="00DC39DE"/>
    <w:p w14:paraId="7175F10E" w14:textId="77777777" w:rsidR="003719CD" w:rsidRDefault="003719CD" w:rsidP="00DC39DE"/>
    <w:p w14:paraId="60B63EAE" w14:textId="087EA879" w:rsidR="00177053" w:rsidRDefault="00177053" w:rsidP="00DC39DE"/>
    <w:p w14:paraId="04FA373E" w14:textId="707EFEF7" w:rsidR="00177053" w:rsidRDefault="00177053" w:rsidP="00DC39DE"/>
    <w:p w14:paraId="085916FA" w14:textId="5E391DEE" w:rsidR="00177053" w:rsidRDefault="00177053" w:rsidP="00DC39DE"/>
    <w:p w14:paraId="3D0C8A8E" w14:textId="45C116B0" w:rsidR="00177053" w:rsidRDefault="00177053" w:rsidP="00DC39DE">
      <w:pPr>
        <w:sectPr w:rsidR="00177053" w:rsidSect="00DE643D">
          <w:headerReference w:type="even" r:id="rId54"/>
          <w:headerReference w:type="default" r:id="rId55"/>
          <w:footerReference w:type="even" r:id="rId56"/>
          <w:footerReference w:type="default" r:id="rId57"/>
          <w:headerReference w:type="first" r:id="rId58"/>
          <w:footerReference w:type="first" r:id="rId59"/>
          <w:pgSz w:w="16838" w:h="11906" w:orient="landscape" w:code="9"/>
          <w:pgMar w:top="1134" w:right="1134" w:bottom="1134" w:left="1134" w:header="624" w:footer="567" w:gutter="0"/>
          <w:cols w:space="708"/>
          <w:docGrid w:linePitch="360"/>
        </w:sectPr>
      </w:pPr>
    </w:p>
    <w:p w14:paraId="252C2F6C" w14:textId="77777777" w:rsidR="003719CD" w:rsidRDefault="003719CD" w:rsidP="007D536F">
      <w:pPr>
        <w:pStyle w:val="Heading3"/>
      </w:pPr>
      <w:r>
        <w:lastRenderedPageBreak/>
        <w:t>Changes in outputs</w:t>
      </w:r>
    </w:p>
    <w:p w14:paraId="2B2400CD" w14:textId="43834E1C" w:rsidR="003719CD" w:rsidRDefault="003719CD" w:rsidP="00DC39DE">
      <w:r>
        <w:t>The research and development of biological technology output was transferred from the Department of Natural Resources to the Department as a consequence of machinery of government changes announced on 2 August</w:t>
      </w:r>
      <w:r w:rsidR="0047215B">
        <w:t xml:space="preserve"> </w:t>
      </w:r>
      <w:fldSimple w:instr="DOCPROPERTY  YearPrevious  \* MERGEFORMAT">
        <w:r w:rsidR="00A545BA">
          <w:t>20X1</w:t>
        </w:r>
      </w:fldSimple>
      <w:r>
        <w:t xml:space="preserve">. However, accounts and reports for this output for the purposes of the </w:t>
      </w:r>
      <w:r w:rsidRPr="00936CB4">
        <w:rPr>
          <w:i/>
          <w:iCs/>
        </w:rPr>
        <w:t>Financial Management Act 1994</w:t>
      </w:r>
      <w:r>
        <w:t xml:space="preserve"> (FMA) were kept and provided from 1 September </w:t>
      </w:r>
      <w:fldSimple w:instr="DOCPROPERTY  YearPrevious  \* MERGEFORMAT">
        <w:r w:rsidR="00A545BA">
          <w:t>20X1</w:t>
        </w:r>
      </w:fldSimple>
      <w:r w:rsidR="00AA562B">
        <w:t xml:space="preserve"> </w:t>
      </w:r>
      <w:r>
        <w:t xml:space="preserve">as per the Administrative Arrangements Order </w:t>
      </w:r>
      <w:r w:rsidRPr="00936CB4">
        <w:rPr>
          <w:rStyle w:val="Guidance"/>
        </w:rPr>
        <w:t>[No. xxx]</w:t>
      </w:r>
      <w:r>
        <w:t xml:space="preserve"> </w:t>
      </w:r>
      <w:fldSimple w:instr="DOCPROPERTY  YearPrevious  \* MERGEFORMAT">
        <w:r w:rsidR="00A545BA">
          <w:t>20X1</w:t>
        </w:r>
      </w:fldSimple>
      <w:r>
        <w:t>. Expenses and income attributable to the transferred outputs for the reporting period are disclosed in 4.3 ‘Restructuring of administrative arrangements’.</w:t>
      </w:r>
    </w:p>
    <w:p w14:paraId="1F3F85A7" w14:textId="6F3ECDDC" w:rsidR="003719CD" w:rsidRDefault="003719CD" w:rsidP="00DC39DE">
      <w:r>
        <w:t xml:space="preserve">At the same time, activities of the Commissioner for Technology, under the new technology administration output, were transferred to the Department of Cabinet Administration. This is in line with the Government’s commitment to continuously improve efficiency through centralisation of common administrative functions within Victorian government departments. Accounts and reports for this output for the purposes of the FMA were kept and provided until 31 August </w:t>
      </w:r>
      <w:fldSimple w:instr="DOCPROPERTY  YearPrevious  \* MERGEFORMAT">
        <w:r w:rsidR="00A545BA">
          <w:t>20X1</w:t>
        </w:r>
      </w:fldSimple>
      <w:r w:rsidR="00AA562B">
        <w:t xml:space="preserve"> </w:t>
      </w:r>
      <w:r>
        <w:t xml:space="preserve">as per the Administrative Arrangements Order </w:t>
      </w:r>
      <w:r w:rsidRPr="00936CB4">
        <w:rPr>
          <w:rStyle w:val="Guidance"/>
        </w:rPr>
        <w:t>[No. xxx]</w:t>
      </w:r>
      <w:r>
        <w:t xml:space="preserve"> </w:t>
      </w:r>
      <w:fldSimple w:instr="DOCPROPERTY  YearPrevious  \* MERGEFORMAT">
        <w:r w:rsidR="00A545BA">
          <w:t>20X1</w:t>
        </w:r>
      </w:fldSimple>
      <w:r>
        <w:t>.</w:t>
      </w:r>
    </w:p>
    <w:p w14:paraId="62F70E97" w14:textId="4765415A" w:rsidR="003719CD" w:rsidRDefault="003719CD" w:rsidP="001B5265">
      <w:pPr>
        <w:pStyle w:val="Heading2numbered"/>
      </w:pPr>
      <w:bookmarkStart w:id="45" w:name="_Toc96704880"/>
      <w:bookmarkStart w:id="46" w:name="_Toc130225950"/>
      <w:bookmarkStart w:id="47" w:name="_Toc64983153"/>
      <w:r>
        <w:t xml:space="preserve">Administered items </w:t>
      </w:r>
      <w:r w:rsidRPr="00936CB4">
        <w:rPr>
          <w:rStyle w:val="Reference"/>
        </w:rPr>
        <w:t>[AASB 1050.7, 1050.24]</w:t>
      </w:r>
      <w:bookmarkEnd w:id="45"/>
      <w:bookmarkEnd w:id="46"/>
      <w:bookmarkEnd w:id="47"/>
    </w:p>
    <w:p w14:paraId="3AF7962A" w14:textId="77777777" w:rsidR="003719CD" w:rsidRDefault="003719CD" w:rsidP="00DC39DE">
      <w:r>
        <w:t>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same accounting policies adopted for recognition of the departmental items in the financial statements. Both controlled and administered items of the Department are consolidated into the financial statements of the State.</w:t>
      </w:r>
    </w:p>
    <w:p w14:paraId="4748A4E5" w14:textId="77777777" w:rsidR="003719CD" w:rsidRDefault="003719CD" w:rsidP="00DC39DE">
      <w:r>
        <w:t xml:space="preserve">The Department does not gain control over assets arising from taxes, fines and regulatory fees, consequently no income is recognised in the Department’s financial statements. The Department collects these amounts on behalf of the State. Accordingly, the amounts are disclosed as income in the schedule of Administered Items. </w:t>
      </w:r>
      <w:r w:rsidRPr="00936CB4">
        <w:rPr>
          <w:rStyle w:val="Reference"/>
        </w:rPr>
        <w:t>[AASB 1050.7, 1050.12]</w:t>
      </w:r>
    </w:p>
    <w:p w14:paraId="72AC058B" w14:textId="77777777" w:rsidR="003719CD" w:rsidRDefault="003719CD" w:rsidP="00DC39DE"/>
    <w:p w14:paraId="48EAC4A6" w14:textId="031C606E" w:rsidR="00EC760D" w:rsidRDefault="00EC760D" w:rsidP="00DC39DE">
      <w:pPr>
        <w:sectPr w:rsidR="00EC760D" w:rsidSect="006E0E99">
          <w:headerReference w:type="even" r:id="rId60"/>
          <w:headerReference w:type="default" r:id="rId61"/>
          <w:footerReference w:type="even" r:id="rId62"/>
          <w:footerReference w:type="default" r:id="rId63"/>
          <w:headerReference w:type="first" r:id="rId64"/>
          <w:footerReference w:type="first" r:id="rId65"/>
          <w:pgSz w:w="11906" w:h="16838" w:code="9"/>
          <w:pgMar w:top="1134" w:right="1134" w:bottom="1134" w:left="1134" w:header="624" w:footer="567" w:gutter="0"/>
          <w:cols w:space="708"/>
          <w:docGrid w:linePitch="360"/>
        </w:sectPr>
      </w:pPr>
    </w:p>
    <w:p w14:paraId="7186FDE0" w14:textId="7B913934" w:rsidR="003719CD" w:rsidRDefault="003719CD" w:rsidP="007D536F">
      <w:pPr>
        <w:pStyle w:val="Heading3"/>
      </w:pPr>
      <w:bookmarkStart w:id="48" w:name="INDEX_DeptAdminAssetsNLiabilities"/>
      <w:bookmarkEnd w:id="48"/>
      <w:r>
        <w:lastRenderedPageBreak/>
        <w:t xml:space="preserve">Administered (non-controlled) items </w:t>
      </w:r>
      <w:r w:rsidRPr="00936CB4">
        <w:rPr>
          <w:rStyle w:val="Reference"/>
        </w:rPr>
        <w:t>[AASB 1050.7, FRD 9]</w:t>
      </w:r>
    </w:p>
    <w:p w14:paraId="62C677F4" w14:textId="739928B0" w:rsidR="003719CD" w:rsidRDefault="003719CD" w:rsidP="007D536F">
      <w:pPr>
        <w:pStyle w:val="Caption"/>
      </w:pPr>
      <w:r>
        <w:t xml:space="preserve">For the financial year ended 30 June </w:t>
      </w:r>
      <w:fldSimple w:instr="DOCPROPERTY  YearCurrent  \* MERGEFORMAT">
        <w:r w:rsidR="00A545BA">
          <w:t>20X2</w:t>
        </w:r>
      </w:fldSimple>
      <w:r>
        <w:tab/>
      </w:r>
      <w:r>
        <w:tab/>
        <w:t>($ thousand)</w:t>
      </w:r>
    </w:p>
    <w:tbl>
      <w:tblPr>
        <w:tblStyle w:val="DTFTable"/>
        <w:tblW w:w="14629" w:type="dxa"/>
        <w:tblLayout w:type="fixed"/>
        <w:tblLook w:val="06A0" w:firstRow="1" w:lastRow="0" w:firstColumn="1" w:lastColumn="0" w:noHBand="1" w:noVBand="1"/>
      </w:tblPr>
      <w:tblGrid>
        <w:gridCol w:w="4253"/>
        <w:gridCol w:w="1037"/>
        <w:gridCol w:w="1038"/>
        <w:gridCol w:w="1037"/>
        <w:gridCol w:w="1038"/>
        <w:gridCol w:w="1038"/>
        <w:gridCol w:w="1037"/>
        <w:gridCol w:w="1038"/>
        <w:gridCol w:w="1037"/>
        <w:gridCol w:w="1038"/>
        <w:gridCol w:w="1038"/>
      </w:tblGrid>
      <w:tr w:rsidR="00182709" w14:paraId="796D5756"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Pr>
          <w:p w14:paraId="730652FD" w14:textId="77777777" w:rsidR="00182709" w:rsidRDefault="00182709">
            <w:pPr>
              <w:keepNext/>
            </w:pPr>
          </w:p>
        </w:tc>
        <w:tc>
          <w:tcPr>
            <w:tcW w:w="2075" w:type="dxa"/>
            <w:gridSpan w:val="2"/>
          </w:tcPr>
          <w:p w14:paraId="54AAB0D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5" w:type="dxa"/>
            <w:gridSpan w:val="2"/>
          </w:tcPr>
          <w:p w14:paraId="334E13F9"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5" w:type="dxa"/>
            <w:gridSpan w:val="2"/>
          </w:tcPr>
          <w:p w14:paraId="55610D5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5" w:type="dxa"/>
            <w:gridSpan w:val="2"/>
          </w:tcPr>
          <w:p w14:paraId="07490924" w14:textId="46A10D21"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 xml:space="preserve">R&amp;D biological </w:t>
            </w:r>
            <w:r w:rsidR="004619F8">
              <w:br/>
            </w:r>
            <w:r>
              <w:t>technology</w:t>
            </w:r>
            <w:r>
              <w:rPr>
                <w:vertAlign w:val="superscript"/>
              </w:rPr>
              <w:t xml:space="preserve"> (b)</w:t>
            </w:r>
          </w:p>
        </w:tc>
        <w:tc>
          <w:tcPr>
            <w:tcW w:w="2076" w:type="dxa"/>
            <w:gridSpan w:val="2"/>
          </w:tcPr>
          <w:p w14:paraId="17F05158"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954EF7" w14:paraId="6DCC75F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12" w:space="0" w:color="auto"/>
            </w:tcBorders>
          </w:tcPr>
          <w:p w14:paraId="72BC6B2F" w14:textId="77777777" w:rsidR="00954EF7" w:rsidRDefault="00954EF7" w:rsidP="00954EF7">
            <w:pPr>
              <w:keepNext/>
            </w:pPr>
          </w:p>
        </w:tc>
        <w:tc>
          <w:tcPr>
            <w:tcW w:w="1037" w:type="dxa"/>
            <w:tcBorders>
              <w:bottom w:val="single" w:sz="12" w:space="0" w:color="auto"/>
            </w:tcBorders>
          </w:tcPr>
          <w:p w14:paraId="4168EE79" w14:textId="37794B63"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8" w:type="dxa"/>
            <w:tcBorders>
              <w:bottom w:val="single" w:sz="12" w:space="0" w:color="auto"/>
            </w:tcBorders>
          </w:tcPr>
          <w:p w14:paraId="7191704B" w14:textId="1EF1D078"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7" w:type="dxa"/>
            <w:tcBorders>
              <w:bottom w:val="single" w:sz="12" w:space="0" w:color="auto"/>
            </w:tcBorders>
          </w:tcPr>
          <w:p w14:paraId="738DF35D" w14:textId="0719B604"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8" w:type="dxa"/>
            <w:tcBorders>
              <w:bottom w:val="single" w:sz="12" w:space="0" w:color="auto"/>
            </w:tcBorders>
          </w:tcPr>
          <w:p w14:paraId="27BE3C62" w14:textId="3F2331EC"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8" w:type="dxa"/>
            <w:tcBorders>
              <w:bottom w:val="single" w:sz="12" w:space="0" w:color="auto"/>
            </w:tcBorders>
          </w:tcPr>
          <w:p w14:paraId="481F5058" w14:textId="3D4F619D"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7" w:type="dxa"/>
            <w:tcBorders>
              <w:bottom w:val="single" w:sz="12" w:space="0" w:color="auto"/>
            </w:tcBorders>
          </w:tcPr>
          <w:p w14:paraId="745A2A84" w14:textId="780329A9"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8" w:type="dxa"/>
            <w:tcBorders>
              <w:bottom w:val="single" w:sz="12" w:space="0" w:color="auto"/>
            </w:tcBorders>
          </w:tcPr>
          <w:p w14:paraId="421DEF08" w14:textId="4CC3928B"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7" w:type="dxa"/>
            <w:tcBorders>
              <w:bottom w:val="single" w:sz="12" w:space="0" w:color="auto"/>
            </w:tcBorders>
          </w:tcPr>
          <w:p w14:paraId="1167E119" w14:textId="0A84C3CF"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8" w:type="dxa"/>
            <w:tcBorders>
              <w:bottom w:val="single" w:sz="12" w:space="0" w:color="auto"/>
            </w:tcBorders>
          </w:tcPr>
          <w:p w14:paraId="593331BB" w14:textId="3A8F9164"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8" w:type="dxa"/>
            <w:tcBorders>
              <w:bottom w:val="single" w:sz="12" w:space="0" w:color="auto"/>
            </w:tcBorders>
          </w:tcPr>
          <w:p w14:paraId="1C07AEE0" w14:textId="3D0A822F" w:rsidR="00954EF7" w:rsidRPr="00954EF7" w:rsidRDefault="00954EF7" w:rsidP="00954EF7">
            <w:pPr>
              <w:keepNext/>
              <w:cnfStyle w:val="100000000000" w:firstRow="1" w:lastRow="0" w:firstColumn="0" w:lastColumn="0" w:oddVBand="0" w:evenVBand="0" w:oddHBand="0" w:evenHBand="0" w:firstRowFirstColumn="0" w:firstRowLastColumn="0" w:lastRowFirstColumn="0" w:lastRowLastColumn="0"/>
              <w:rPr>
                <w:iCs/>
              </w:rPr>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r>
      <w:tr w:rsidR="00671D55" w14:paraId="03B47F1B"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57D6F746" w14:textId="77777777" w:rsidR="00182709" w:rsidRDefault="0044097C">
            <w:r>
              <w:rPr>
                <w:b/>
              </w:rPr>
              <w:t>Administered income from transactions</w:t>
            </w:r>
          </w:p>
        </w:tc>
        <w:tc>
          <w:tcPr>
            <w:tcW w:w="1037" w:type="dxa"/>
          </w:tcPr>
          <w:p w14:paraId="6CD9113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E7674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01620B9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9631C1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A3A34D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060AEDB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C4D9AE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83D916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D00CA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274E4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CF50AAC" w14:textId="77777777">
        <w:tc>
          <w:tcPr>
            <w:cnfStyle w:val="001000000000" w:firstRow="0" w:lastRow="0" w:firstColumn="1" w:lastColumn="0" w:oddVBand="0" w:evenVBand="0" w:oddHBand="0" w:evenHBand="0" w:firstRowFirstColumn="0" w:firstRowLastColumn="0" w:lastRowFirstColumn="0" w:lastRowLastColumn="0"/>
            <w:tcW w:w="4253" w:type="dxa"/>
          </w:tcPr>
          <w:p w14:paraId="7E410419" w14:textId="77777777" w:rsidR="00182709" w:rsidRDefault="0044097C">
            <w:r>
              <w:t>Appropriations – payments made on behalf of the State</w:t>
            </w:r>
          </w:p>
        </w:tc>
        <w:tc>
          <w:tcPr>
            <w:tcW w:w="1037" w:type="dxa"/>
          </w:tcPr>
          <w:p w14:paraId="1F4733E3" w14:textId="77777777" w:rsidR="00182709" w:rsidRDefault="0044097C">
            <w:pPr>
              <w:cnfStyle w:val="000000000000" w:firstRow="0" w:lastRow="0" w:firstColumn="0" w:lastColumn="0" w:oddVBand="0" w:evenVBand="0" w:oddHBand="0" w:evenHBand="0" w:firstRowFirstColumn="0" w:firstRowLastColumn="0" w:lastRowFirstColumn="0" w:lastRowLastColumn="0"/>
            </w:pPr>
            <w:r>
              <w:t>6 786</w:t>
            </w:r>
          </w:p>
        </w:tc>
        <w:tc>
          <w:tcPr>
            <w:tcW w:w="1038" w:type="dxa"/>
          </w:tcPr>
          <w:p w14:paraId="099E483C" w14:textId="77777777" w:rsidR="00182709" w:rsidRDefault="0044097C">
            <w:pPr>
              <w:cnfStyle w:val="000000000000" w:firstRow="0" w:lastRow="0" w:firstColumn="0" w:lastColumn="0" w:oddVBand="0" w:evenVBand="0" w:oddHBand="0" w:evenHBand="0" w:firstRowFirstColumn="0" w:firstRowLastColumn="0" w:lastRowFirstColumn="0" w:lastRowLastColumn="0"/>
            </w:pPr>
            <w:r>
              <w:t>6 245</w:t>
            </w:r>
          </w:p>
        </w:tc>
        <w:tc>
          <w:tcPr>
            <w:tcW w:w="1037" w:type="dxa"/>
          </w:tcPr>
          <w:p w14:paraId="1845E530" w14:textId="77777777" w:rsidR="00182709" w:rsidRDefault="0044097C">
            <w:pPr>
              <w:cnfStyle w:val="000000000000" w:firstRow="0" w:lastRow="0" w:firstColumn="0" w:lastColumn="0" w:oddVBand="0" w:evenVBand="0" w:oddHBand="0" w:evenHBand="0" w:firstRowFirstColumn="0" w:firstRowLastColumn="0" w:lastRowFirstColumn="0" w:lastRowLastColumn="0"/>
            </w:pPr>
            <w:r>
              <w:t>3 550</w:t>
            </w:r>
          </w:p>
        </w:tc>
        <w:tc>
          <w:tcPr>
            <w:tcW w:w="1038" w:type="dxa"/>
          </w:tcPr>
          <w:p w14:paraId="4C762F8A" w14:textId="77777777" w:rsidR="00182709" w:rsidRDefault="0044097C">
            <w:pPr>
              <w:cnfStyle w:val="000000000000" w:firstRow="0" w:lastRow="0" w:firstColumn="0" w:lastColumn="0" w:oddVBand="0" w:evenVBand="0" w:oddHBand="0" w:evenHBand="0" w:firstRowFirstColumn="0" w:firstRowLastColumn="0" w:lastRowFirstColumn="0" w:lastRowLastColumn="0"/>
            </w:pPr>
            <w:r>
              <w:t>3 487</w:t>
            </w:r>
          </w:p>
        </w:tc>
        <w:tc>
          <w:tcPr>
            <w:tcW w:w="1038" w:type="dxa"/>
          </w:tcPr>
          <w:p w14:paraId="6D0A9773" w14:textId="77777777" w:rsidR="00182709" w:rsidRDefault="0044097C">
            <w:pPr>
              <w:cnfStyle w:val="000000000000" w:firstRow="0" w:lastRow="0" w:firstColumn="0" w:lastColumn="0" w:oddVBand="0" w:evenVBand="0" w:oddHBand="0" w:evenHBand="0" w:firstRowFirstColumn="0" w:firstRowLastColumn="0" w:lastRowFirstColumn="0" w:lastRowLastColumn="0"/>
            </w:pPr>
            <w:r>
              <w:t>546</w:t>
            </w:r>
          </w:p>
        </w:tc>
        <w:tc>
          <w:tcPr>
            <w:tcW w:w="1037" w:type="dxa"/>
          </w:tcPr>
          <w:p w14:paraId="4A60FA35"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8" w:type="dxa"/>
          </w:tcPr>
          <w:p w14:paraId="056B9E98"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7" w:type="dxa"/>
          </w:tcPr>
          <w:p w14:paraId="0CAFF0C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4B5E288"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12 019</w:t>
            </w:r>
          </w:p>
        </w:tc>
        <w:tc>
          <w:tcPr>
            <w:tcW w:w="1038" w:type="dxa"/>
          </w:tcPr>
          <w:p w14:paraId="60C0511F"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10 869</w:t>
            </w:r>
          </w:p>
        </w:tc>
      </w:tr>
      <w:tr w:rsidR="00182709" w14:paraId="4A7DFEF4" w14:textId="77777777">
        <w:tc>
          <w:tcPr>
            <w:cnfStyle w:val="001000000000" w:firstRow="0" w:lastRow="0" w:firstColumn="1" w:lastColumn="0" w:oddVBand="0" w:evenVBand="0" w:oddHBand="0" w:evenHBand="0" w:firstRowFirstColumn="0" w:firstRowLastColumn="0" w:lastRowFirstColumn="0" w:lastRowLastColumn="0"/>
            <w:tcW w:w="4253" w:type="dxa"/>
          </w:tcPr>
          <w:p w14:paraId="6FA73E5A" w14:textId="77777777" w:rsidR="00182709" w:rsidRDefault="0044097C">
            <w:r>
              <w:t>Sales of goods and services [include fees]</w:t>
            </w:r>
          </w:p>
        </w:tc>
        <w:tc>
          <w:tcPr>
            <w:tcW w:w="1037" w:type="dxa"/>
          </w:tcPr>
          <w:p w14:paraId="7E0FE2AD" w14:textId="77777777" w:rsidR="00182709" w:rsidRDefault="0044097C">
            <w:pPr>
              <w:cnfStyle w:val="000000000000" w:firstRow="0" w:lastRow="0" w:firstColumn="0" w:lastColumn="0" w:oddVBand="0" w:evenVBand="0" w:oddHBand="0" w:evenHBand="0" w:firstRowFirstColumn="0" w:firstRowLastColumn="0" w:lastRowFirstColumn="0" w:lastRowLastColumn="0"/>
            </w:pPr>
            <w:r>
              <w:t>5 887</w:t>
            </w:r>
          </w:p>
        </w:tc>
        <w:tc>
          <w:tcPr>
            <w:tcW w:w="1038" w:type="dxa"/>
          </w:tcPr>
          <w:p w14:paraId="4277FAE9"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5 634</w:t>
            </w:r>
          </w:p>
        </w:tc>
        <w:tc>
          <w:tcPr>
            <w:tcW w:w="1037" w:type="dxa"/>
          </w:tcPr>
          <w:p w14:paraId="0FE1A46C" w14:textId="77777777" w:rsidR="00182709" w:rsidRDefault="0044097C">
            <w:pPr>
              <w:cnfStyle w:val="000000000000" w:firstRow="0" w:lastRow="0" w:firstColumn="0" w:lastColumn="0" w:oddVBand="0" w:evenVBand="0" w:oddHBand="0" w:evenHBand="0" w:firstRowFirstColumn="0" w:firstRowLastColumn="0" w:lastRowFirstColumn="0" w:lastRowLastColumn="0"/>
            </w:pPr>
            <w:r>
              <w:t>3 003</w:t>
            </w:r>
          </w:p>
        </w:tc>
        <w:tc>
          <w:tcPr>
            <w:tcW w:w="1038" w:type="dxa"/>
          </w:tcPr>
          <w:p w14:paraId="5E6D8CAA" w14:textId="77777777" w:rsidR="00182709" w:rsidRDefault="0044097C">
            <w:pPr>
              <w:cnfStyle w:val="000000000000" w:firstRow="0" w:lastRow="0" w:firstColumn="0" w:lastColumn="0" w:oddVBand="0" w:evenVBand="0" w:oddHBand="0" w:evenHBand="0" w:firstRowFirstColumn="0" w:firstRowLastColumn="0" w:lastRowFirstColumn="0" w:lastRowLastColumn="0"/>
            </w:pPr>
            <w:r>
              <w:t>2 318</w:t>
            </w:r>
          </w:p>
        </w:tc>
        <w:tc>
          <w:tcPr>
            <w:tcW w:w="1038" w:type="dxa"/>
          </w:tcPr>
          <w:p w14:paraId="2BBA2FE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20CC51BD" w14:textId="77777777" w:rsidR="00182709" w:rsidRDefault="0044097C">
            <w:pPr>
              <w:cnfStyle w:val="000000000000" w:firstRow="0" w:lastRow="0" w:firstColumn="0" w:lastColumn="0" w:oddVBand="0" w:evenVBand="0" w:oddHBand="0" w:evenHBand="0" w:firstRowFirstColumn="0" w:firstRowLastColumn="0" w:lastRowFirstColumn="0" w:lastRowLastColumn="0"/>
            </w:pPr>
            <w:r>
              <w:t>3 517</w:t>
            </w:r>
          </w:p>
        </w:tc>
        <w:tc>
          <w:tcPr>
            <w:tcW w:w="1038" w:type="dxa"/>
          </w:tcPr>
          <w:p w14:paraId="59688890" w14:textId="77777777" w:rsidR="00182709" w:rsidRDefault="0044097C">
            <w:pPr>
              <w:cnfStyle w:val="000000000000" w:firstRow="0" w:lastRow="0" w:firstColumn="0" w:lastColumn="0" w:oddVBand="0" w:evenVBand="0" w:oddHBand="0" w:evenHBand="0" w:firstRowFirstColumn="0" w:firstRowLastColumn="0" w:lastRowFirstColumn="0" w:lastRowLastColumn="0"/>
            </w:pPr>
            <w:r>
              <w:t>2 725</w:t>
            </w:r>
          </w:p>
        </w:tc>
        <w:tc>
          <w:tcPr>
            <w:tcW w:w="1037" w:type="dxa"/>
          </w:tcPr>
          <w:p w14:paraId="1A4BF26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6E9F1715" w14:textId="77777777" w:rsidR="00182709" w:rsidRDefault="0044097C">
            <w:pPr>
              <w:cnfStyle w:val="000000000000" w:firstRow="0" w:lastRow="0" w:firstColumn="0" w:lastColumn="0" w:oddVBand="0" w:evenVBand="0" w:oddHBand="0" w:evenHBand="0" w:firstRowFirstColumn="0" w:firstRowLastColumn="0" w:lastRowFirstColumn="0" w:lastRowLastColumn="0"/>
            </w:pPr>
            <w:r>
              <w:t>11 615</w:t>
            </w:r>
          </w:p>
        </w:tc>
        <w:tc>
          <w:tcPr>
            <w:tcW w:w="1038" w:type="dxa"/>
          </w:tcPr>
          <w:p w14:paraId="68456D46" w14:textId="77777777" w:rsidR="00182709" w:rsidRDefault="0044097C">
            <w:pPr>
              <w:cnfStyle w:val="000000000000" w:firstRow="0" w:lastRow="0" w:firstColumn="0" w:lastColumn="0" w:oddVBand="0" w:evenVBand="0" w:oddHBand="0" w:evenHBand="0" w:firstRowFirstColumn="0" w:firstRowLastColumn="0" w:lastRowFirstColumn="0" w:lastRowLastColumn="0"/>
            </w:pPr>
            <w:r>
              <w:t>11 469</w:t>
            </w:r>
          </w:p>
        </w:tc>
      </w:tr>
      <w:tr w:rsidR="00182709" w14:paraId="61096930" w14:textId="77777777">
        <w:tc>
          <w:tcPr>
            <w:cnfStyle w:val="001000000000" w:firstRow="0" w:lastRow="0" w:firstColumn="1" w:lastColumn="0" w:oddVBand="0" w:evenVBand="0" w:oddHBand="0" w:evenHBand="0" w:firstRowFirstColumn="0" w:firstRowLastColumn="0" w:lastRowFirstColumn="0" w:lastRowLastColumn="0"/>
            <w:tcW w:w="4253" w:type="dxa"/>
          </w:tcPr>
          <w:p w14:paraId="5EAABF64" w14:textId="77777777" w:rsidR="00182709" w:rsidRDefault="0044097C">
            <w:r>
              <w:t>Grants</w:t>
            </w:r>
          </w:p>
        </w:tc>
        <w:tc>
          <w:tcPr>
            <w:tcW w:w="1037" w:type="dxa"/>
          </w:tcPr>
          <w:p w14:paraId="577D369E" w14:textId="77777777" w:rsidR="00182709" w:rsidRDefault="0044097C">
            <w:pPr>
              <w:cnfStyle w:val="000000000000" w:firstRow="0" w:lastRow="0" w:firstColumn="0" w:lastColumn="0" w:oddVBand="0" w:evenVBand="0" w:oddHBand="0" w:evenHBand="0" w:firstRowFirstColumn="0" w:firstRowLastColumn="0" w:lastRowFirstColumn="0" w:lastRowLastColumn="0"/>
            </w:pPr>
            <w:r>
              <w:t>871</w:t>
            </w:r>
          </w:p>
        </w:tc>
        <w:tc>
          <w:tcPr>
            <w:tcW w:w="1038" w:type="dxa"/>
          </w:tcPr>
          <w:p w14:paraId="79A53CB0"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1 790</w:t>
            </w:r>
          </w:p>
        </w:tc>
        <w:tc>
          <w:tcPr>
            <w:tcW w:w="1037" w:type="dxa"/>
          </w:tcPr>
          <w:p w14:paraId="53161E5A" w14:textId="77777777" w:rsidR="00182709" w:rsidRDefault="0044097C">
            <w:pPr>
              <w:cnfStyle w:val="000000000000" w:firstRow="0" w:lastRow="0" w:firstColumn="0" w:lastColumn="0" w:oddVBand="0" w:evenVBand="0" w:oddHBand="0" w:evenHBand="0" w:firstRowFirstColumn="0" w:firstRowLastColumn="0" w:lastRowFirstColumn="0" w:lastRowLastColumn="0"/>
            </w:pPr>
            <w:r>
              <w:t>222</w:t>
            </w:r>
          </w:p>
        </w:tc>
        <w:tc>
          <w:tcPr>
            <w:tcW w:w="1038" w:type="dxa"/>
          </w:tcPr>
          <w:p w14:paraId="12974AA0" w14:textId="77777777" w:rsidR="00182709" w:rsidRDefault="0044097C">
            <w:pPr>
              <w:cnfStyle w:val="000000000000" w:firstRow="0" w:lastRow="0" w:firstColumn="0" w:lastColumn="0" w:oddVBand="0" w:evenVBand="0" w:oddHBand="0" w:evenHBand="0" w:firstRowFirstColumn="0" w:firstRowLastColumn="0" w:lastRowFirstColumn="0" w:lastRowLastColumn="0"/>
            </w:pPr>
            <w:r>
              <w:t>301</w:t>
            </w:r>
          </w:p>
        </w:tc>
        <w:tc>
          <w:tcPr>
            <w:tcW w:w="1038" w:type="dxa"/>
          </w:tcPr>
          <w:p w14:paraId="51168D21" w14:textId="77777777" w:rsidR="00182709" w:rsidRDefault="0044097C">
            <w:pPr>
              <w:cnfStyle w:val="000000000000" w:firstRow="0" w:lastRow="0" w:firstColumn="0" w:lastColumn="0" w:oddVBand="0" w:evenVBand="0" w:oddHBand="0" w:evenHBand="0" w:firstRowFirstColumn="0" w:firstRowLastColumn="0" w:lastRowFirstColumn="0" w:lastRowLastColumn="0"/>
            </w:pPr>
            <w:r>
              <w:t>2 330</w:t>
            </w:r>
          </w:p>
        </w:tc>
        <w:tc>
          <w:tcPr>
            <w:tcW w:w="1037" w:type="dxa"/>
          </w:tcPr>
          <w:p w14:paraId="6930FCE2" w14:textId="77777777" w:rsidR="00182709" w:rsidRDefault="0044097C">
            <w:pPr>
              <w:cnfStyle w:val="000000000000" w:firstRow="0" w:lastRow="0" w:firstColumn="0" w:lastColumn="0" w:oddVBand="0" w:evenVBand="0" w:oddHBand="0" w:evenHBand="0" w:firstRowFirstColumn="0" w:firstRowLastColumn="0" w:lastRowFirstColumn="0" w:lastRowLastColumn="0"/>
            </w:pPr>
            <w:r>
              <w:t>2 996</w:t>
            </w:r>
          </w:p>
        </w:tc>
        <w:tc>
          <w:tcPr>
            <w:tcW w:w="1038" w:type="dxa"/>
          </w:tcPr>
          <w:p w14:paraId="17625866" w14:textId="77777777" w:rsidR="00182709" w:rsidRDefault="0044097C">
            <w:pPr>
              <w:cnfStyle w:val="000000000000" w:firstRow="0" w:lastRow="0" w:firstColumn="0" w:lastColumn="0" w:oddVBand="0" w:evenVBand="0" w:oddHBand="0" w:evenHBand="0" w:firstRowFirstColumn="0" w:firstRowLastColumn="0" w:lastRowFirstColumn="0" w:lastRowLastColumn="0"/>
            </w:pPr>
            <w:r>
              <w:t>162</w:t>
            </w:r>
          </w:p>
        </w:tc>
        <w:tc>
          <w:tcPr>
            <w:tcW w:w="1037" w:type="dxa"/>
          </w:tcPr>
          <w:p w14:paraId="32E602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D0ABE3F" w14:textId="77777777" w:rsidR="00182709" w:rsidRDefault="0044097C">
            <w:pPr>
              <w:cnfStyle w:val="000000000000" w:firstRow="0" w:lastRow="0" w:firstColumn="0" w:lastColumn="0" w:oddVBand="0" w:evenVBand="0" w:oddHBand="0" w:evenHBand="0" w:firstRowFirstColumn="0" w:firstRowLastColumn="0" w:lastRowFirstColumn="0" w:lastRowLastColumn="0"/>
            </w:pPr>
            <w:r>
              <w:t>3 585</w:t>
            </w:r>
          </w:p>
        </w:tc>
        <w:tc>
          <w:tcPr>
            <w:tcW w:w="1038" w:type="dxa"/>
          </w:tcPr>
          <w:p w14:paraId="60315EA9" w14:textId="77777777" w:rsidR="00182709" w:rsidRDefault="0044097C">
            <w:pPr>
              <w:cnfStyle w:val="000000000000" w:firstRow="0" w:lastRow="0" w:firstColumn="0" w:lastColumn="0" w:oddVBand="0" w:evenVBand="0" w:oddHBand="0" w:evenHBand="0" w:firstRowFirstColumn="0" w:firstRowLastColumn="0" w:lastRowFirstColumn="0" w:lastRowLastColumn="0"/>
            </w:pPr>
            <w:r>
              <w:t>5 087</w:t>
            </w:r>
          </w:p>
        </w:tc>
      </w:tr>
      <w:tr w:rsidR="00182709" w14:paraId="75EFF644" w14:textId="77777777">
        <w:tc>
          <w:tcPr>
            <w:cnfStyle w:val="001000000000" w:firstRow="0" w:lastRow="0" w:firstColumn="1" w:lastColumn="0" w:oddVBand="0" w:evenVBand="0" w:oddHBand="0" w:evenHBand="0" w:firstRowFirstColumn="0" w:firstRowLastColumn="0" w:lastRowFirstColumn="0" w:lastRowLastColumn="0"/>
            <w:tcW w:w="4253" w:type="dxa"/>
          </w:tcPr>
          <w:p w14:paraId="41153094" w14:textId="77777777" w:rsidR="00182709" w:rsidRDefault="0044097C">
            <w:r>
              <w:t>Taxation income</w:t>
            </w:r>
          </w:p>
        </w:tc>
        <w:tc>
          <w:tcPr>
            <w:tcW w:w="1037" w:type="dxa"/>
          </w:tcPr>
          <w:p w14:paraId="64F564F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52E872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5504E5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7F0A7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648D65D" w14:textId="77777777" w:rsidR="00182709" w:rsidRDefault="0044097C">
            <w:pPr>
              <w:cnfStyle w:val="000000000000" w:firstRow="0" w:lastRow="0" w:firstColumn="0" w:lastColumn="0" w:oddVBand="0" w:evenVBand="0" w:oddHBand="0" w:evenHBand="0" w:firstRowFirstColumn="0" w:firstRowLastColumn="0" w:lastRowFirstColumn="0" w:lastRowLastColumn="0"/>
            </w:pPr>
            <w:r>
              <w:t>5 176</w:t>
            </w:r>
          </w:p>
        </w:tc>
        <w:tc>
          <w:tcPr>
            <w:tcW w:w="1037" w:type="dxa"/>
          </w:tcPr>
          <w:p w14:paraId="53546FCC" w14:textId="77777777" w:rsidR="00182709" w:rsidRDefault="0044097C">
            <w:pPr>
              <w:cnfStyle w:val="000000000000" w:firstRow="0" w:lastRow="0" w:firstColumn="0" w:lastColumn="0" w:oddVBand="0" w:evenVBand="0" w:oddHBand="0" w:evenHBand="0" w:firstRowFirstColumn="0" w:firstRowLastColumn="0" w:lastRowFirstColumn="0" w:lastRowLastColumn="0"/>
            </w:pPr>
            <w:r>
              <w:t>4 982</w:t>
            </w:r>
          </w:p>
        </w:tc>
        <w:tc>
          <w:tcPr>
            <w:tcW w:w="1038" w:type="dxa"/>
          </w:tcPr>
          <w:p w14:paraId="6951BFE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03CA04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0DD413F" w14:textId="77777777" w:rsidR="00182709" w:rsidRDefault="0044097C">
            <w:pPr>
              <w:cnfStyle w:val="000000000000" w:firstRow="0" w:lastRow="0" w:firstColumn="0" w:lastColumn="0" w:oddVBand="0" w:evenVBand="0" w:oddHBand="0" w:evenHBand="0" w:firstRowFirstColumn="0" w:firstRowLastColumn="0" w:lastRowFirstColumn="0" w:lastRowLastColumn="0"/>
            </w:pPr>
            <w:r>
              <w:t>5 176</w:t>
            </w:r>
          </w:p>
        </w:tc>
        <w:tc>
          <w:tcPr>
            <w:tcW w:w="1038" w:type="dxa"/>
          </w:tcPr>
          <w:p w14:paraId="331CE0FC" w14:textId="77777777" w:rsidR="00182709" w:rsidRDefault="0044097C">
            <w:pPr>
              <w:cnfStyle w:val="000000000000" w:firstRow="0" w:lastRow="0" w:firstColumn="0" w:lastColumn="0" w:oddVBand="0" w:evenVBand="0" w:oddHBand="0" w:evenHBand="0" w:firstRowFirstColumn="0" w:firstRowLastColumn="0" w:lastRowFirstColumn="0" w:lastRowLastColumn="0"/>
            </w:pPr>
            <w:r>
              <w:t>4 982</w:t>
            </w:r>
          </w:p>
        </w:tc>
      </w:tr>
      <w:tr w:rsidR="00182709" w14:paraId="4CCA4FBE"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1C77CED" w14:textId="77777777" w:rsidR="00182709" w:rsidRDefault="0044097C">
            <w:r>
              <w:t>Fines</w:t>
            </w:r>
          </w:p>
        </w:tc>
        <w:tc>
          <w:tcPr>
            <w:tcW w:w="1037" w:type="dxa"/>
            <w:tcBorders>
              <w:bottom w:val="single" w:sz="12" w:space="0" w:color="auto"/>
            </w:tcBorders>
          </w:tcPr>
          <w:p w14:paraId="2D104B1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651CA3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6AB7F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C41B9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107FBF9D" w14:textId="77777777" w:rsidR="00182709" w:rsidRDefault="0044097C">
            <w:pPr>
              <w:cnfStyle w:val="000000000000" w:firstRow="0" w:lastRow="0" w:firstColumn="0" w:lastColumn="0" w:oddVBand="0" w:evenVBand="0" w:oddHBand="0" w:evenHBand="0" w:firstRowFirstColumn="0" w:firstRowLastColumn="0" w:lastRowFirstColumn="0" w:lastRowLastColumn="0"/>
            </w:pPr>
            <w:r>
              <w:t>6 213</w:t>
            </w:r>
          </w:p>
        </w:tc>
        <w:tc>
          <w:tcPr>
            <w:tcW w:w="1037" w:type="dxa"/>
            <w:tcBorders>
              <w:bottom w:val="single" w:sz="12" w:space="0" w:color="auto"/>
            </w:tcBorders>
          </w:tcPr>
          <w:p w14:paraId="0FE69ABE" w14:textId="77777777" w:rsidR="00182709" w:rsidRDefault="0044097C">
            <w:pPr>
              <w:cnfStyle w:val="000000000000" w:firstRow="0" w:lastRow="0" w:firstColumn="0" w:lastColumn="0" w:oddVBand="0" w:evenVBand="0" w:oddHBand="0" w:evenHBand="0" w:firstRowFirstColumn="0" w:firstRowLastColumn="0" w:lastRowFirstColumn="0" w:lastRowLastColumn="0"/>
            </w:pPr>
            <w:r>
              <w:t>5 988</w:t>
            </w:r>
          </w:p>
        </w:tc>
        <w:tc>
          <w:tcPr>
            <w:tcW w:w="1038" w:type="dxa"/>
            <w:tcBorders>
              <w:bottom w:val="single" w:sz="12" w:space="0" w:color="auto"/>
            </w:tcBorders>
          </w:tcPr>
          <w:p w14:paraId="1CCB210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37BFA1C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DAE0FA8" w14:textId="77777777" w:rsidR="00182709" w:rsidRDefault="0044097C">
            <w:pPr>
              <w:cnfStyle w:val="000000000000" w:firstRow="0" w:lastRow="0" w:firstColumn="0" w:lastColumn="0" w:oddVBand="0" w:evenVBand="0" w:oddHBand="0" w:evenHBand="0" w:firstRowFirstColumn="0" w:firstRowLastColumn="0" w:lastRowFirstColumn="0" w:lastRowLastColumn="0"/>
            </w:pPr>
            <w:r>
              <w:t>6 213</w:t>
            </w:r>
          </w:p>
        </w:tc>
        <w:tc>
          <w:tcPr>
            <w:tcW w:w="1038" w:type="dxa"/>
            <w:tcBorders>
              <w:bottom w:val="single" w:sz="12" w:space="0" w:color="auto"/>
            </w:tcBorders>
          </w:tcPr>
          <w:p w14:paraId="299B7AFF" w14:textId="77777777" w:rsidR="00182709" w:rsidRDefault="0044097C">
            <w:pPr>
              <w:cnfStyle w:val="000000000000" w:firstRow="0" w:lastRow="0" w:firstColumn="0" w:lastColumn="0" w:oddVBand="0" w:evenVBand="0" w:oddHBand="0" w:evenHBand="0" w:firstRowFirstColumn="0" w:firstRowLastColumn="0" w:lastRowFirstColumn="0" w:lastRowLastColumn="0"/>
            </w:pPr>
            <w:r>
              <w:t>5 988</w:t>
            </w:r>
          </w:p>
        </w:tc>
      </w:tr>
      <w:tr w:rsidR="00671D55" w14:paraId="565B4F34"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08621454" w14:textId="77777777" w:rsidR="00182709" w:rsidRDefault="0044097C">
            <w:r>
              <w:rPr>
                <w:b/>
              </w:rPr>
              <w:t>Total administered income from transactions</w:t>
            </w:r>
          </w:p>
        </w:tc>
        <w:tc>
          <w:tcPr>
            <w:tcW w:w="1037" w:type="dxa"/>
          </w:tcPr>
          <w:p w14:paraId="35B2880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13 544</w:t>
            </w:r>
          </w:p>
        </w:tc>
        <w:tc>
          <w:tcPr>
            <w:tcW w:w="1038" w:type="dxa"/>
          </w:tcPr>
          <w:p w14:paraId="1D1825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13 669</w:t>
            </w:r>
          </w:p>
        </w:tc>
        <w:tc>
          <w:tcPr>
            <w:tcW w:w="1037" w:type="dxa"/>
          </w:tcPr>
          <w:p w14:paraId="425B780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6 775</w:t>
            </w:r>
          </w:p>
        </w:tc>
        <w:tc>
          <w:tcPr>
            <w:tcW w:w="1038" w:type="dxa"/>
          </w:tcPr>
          <w:p w14:paraId="4A1961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6 106</w:t>
            </w:r>
          </w:p>
        </w:tc>
        <w:tc>
          <w:tcPr>
            <w:tcW w:w="1038" w:type="dxa"/>
          </w:tcPr>
          <w:p w14:paraId="4AB81F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14 265</w:t>
            </w:r>
          </w:p>
        </w:tc>
        <w:tc>
          <w:tcPr>
            <w:tcW w:w="1037" w:type="dxa"/>
          </w:tcPr>
          <w:p w14:paraId="149F08A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18 620</w:t>
            </w:r>
          </w:p>
        </w:tc>
        <w:tc>
          <w:tcPr>
            <w:tcW w:w="1038" w:type="dxa"/>
          </w:tcPr>
          <w:p w14:paraId="341B39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4 024</w:t>
            </w:r>
          </w:p>
        </w:tc>
        <w:tc>
          <w:tcPr>
            <w:tcW w:w="1037" w:type="dxa"/>
          </w:tcPr>
          <w:p w14:paraId="13812B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5D6A91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38 608</w:t>
            </w:r>
          </w:p>
        </w:tc>
        <w:tc>
          <w:tcPr>
            <w:tcW w:w="1038" w:type="dxa"/>
          </w:tcPr>
          <w:p w14:paraId="5C5693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38 395</w:t>
            </w:r>
          </w:p>
        </w:tc>
      </w:tr>
      <w:tr w:rsidR="00182709" w14:paraId="7BD21A56" w14:textId="77777777">
        <w:tc>
          <w:tcPr>
            <w:cnfStyle w:val="001000000000" w:firstRow="0" w:lastRow="0" w:firstColumn="1" w:lastColumn="0" w:oddVBand="0" w:evenVBand="0" w:oddHBand="0" w:evenHBand="0" w:firstRowFirstColumn="0" w:firstRowLastColumn="0" w:lastRowFirstColumn="0" w:lastRowLastColumn="0"/>
            <w:tcW w:w="4253" w:type="dxa"/>
          </w:tcPr>
          <w:p w14:paraId="4351E9AE" w14:textId="77777777" w:rsidR="00182709" w:rsidRDefault="0044097C">
            <w:r>
              <w:rPr>
                <w:b/>
              </w:rPr>
              <w:t>Administered expenses from transactions</w:t>
            </w:r>
          </w:p>
        </w:tc>
        <w:tc>
          <w:tcPr>
            <w:tcW w:w="1037" w:type="dxa"/>
          </w:tcPr>
          <w:p w14:paraId="387E96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B62521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5F46FB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D6F537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2E0EF3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A45F0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834419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7C60D2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3F3B1A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6F3A37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8A8E9EE" w14:textId="77777777">
        <w:tc>
          <w:tcPr>
            <w:cnfStyle w:val="001000000000" w:firstRow="0" w:lastRow="0" w:firstColumn="1" w:lastColumn="0" w:oddVBand="0" w:evenVBand="0" w:oddHBand="0" w:evenHBand="0" w:firstRowFirstColumn="0" w:firstRowLastColumn="0" w:lastRowFirstColumn="0" w:lastRowLastColumn="0"/>
            <w:tcW w:w="4253" w:type="dxa"/>
          </w:tcPr>
          <w:p w14:paraId="464951D9" w14:textId="77777777" w:rsidR="00182709" w:rsidRDefault="0044097C">
            <w:r>
              <w:t>Payments made on behalf of the State</w:t>
            </w:r>
          </w:p>
        </w:tc>
        <w:tc>
          <w:tcPr>
            <w:tcW w:w="1037" w:type="dxa"/>
          </w:tcPr>
          <w:p w14:paraId="05D5CE5F" w14:textId="77777777" w:rsidR="00182709" w:rsidRDefault="0044097C">
            <w:pPr>
              <w:cnfStyle w:val="000000000000" w:firstRow="0" w:lastRow="0" w:firstColumn="0" w:lastColumn="0" w:oddVBand="0" w:evenVBand="0" w:oddHBand="0" w:evenHBand="0" w:firstRowFirstColumn="0" w:firstRowLastColumn="0" w:lastRowFirstColumn="0" w:lastRowLastColumn="0"/>
            </w:pPr>
            <w:r>
              <w:t>(6 786)</w:t>
            </w:r>
          </w:p>
        </w:tc>
        <w:tc>
          <w:tcPr>
            <w:tcW w:w="1038" w:type="dxa"/>
          </w:tcPr>
          <w:p w14:paraId="765AD27F" w14:textId="77777777" w:rsidR="00182709" w:rsidRDefault="0044097C">
            <w:pPr>
              <w:cnfStyle w:val="000000000000" w:firstRow="0" w:lastRow="0" w:firstColumn="0" w:lastColumn="0" w:oddVBand="0" w:evenVBand="0" w:oddHBand="0" w:evenHBand="0" w:firstRowFirstColumn="0" w:firstRowLastColumn="0" w:lastRowFirstColumn="0" w:lastRowLastColumn="0"/>
            </w:pPr>
            <w:r>
              <w:t>(6 245)</w:t>
            </w:r>
          </w:p>
        </w:tc>
        <w:tc>
          <w:tcPr>
            <w:tcW w:w="1037" w:type="dxa"/>
          </w:tcPr>
          <w:p w14:paraId="154A56FD" w14:textId="77777777" w:rsidR="00182709" w:rsidRDefault="0044097C">
            <w:pPr>
              <w:cnfStyle w:val="000000000000" w:firstRow="0" w:lastRow="0" w:firstColumn="0" w:lastColumn="0" w:oddVBand="0" w:evenVBand="0" w:oddHBand="0" w:evenHBand="0" w:firstRowFirstColumn="0" w:firstRowLastColumn="0" w:lastRowFirstColumn="0" w:lastRowLastColumn="0"/>
            </w:pPr>
            <w:r>
              <w:t>(3 550)</w:t>
            </w:r>
          </w:p>
        </w:tc>
        <w:tc>
          <w:tcPr>
            <w:tcW w:w="1038" w:type="dxa"/>
          </w:tcPr>
          <w:p w14:paraId="5FF7DD55" w14:textId="77777777" w:rsidR="00182709" w:rsidRDefault="0044097C">
            <w:pPr>
              <w:cnfStyle w:val="000000000000" w:firstRow="0" w:lastRow="0" w:firstColumn="0" w:lastColumn="0" w:oddVBand="0" w:evenVBand="0" w:oddHBand="0" w:evenHBand="0" w:firstRowFirstColumn="0" w:firstRowLastColumn="0" w:lastRowFirstColumn="0" w:lastRowLastColumn="0"/>
            </w:pPr>
            <w:r>
              <w:t>(2 987)</w:t>
            </w:r>
          </w:p>
        </w:tc>
        <w:tc>
          <w:tcPr>
            <w:tcW w:w="1038" w:type="dxa"/>
          </w:tcPr>
          <w:p w14:paraId="42F2F346" w14:textId="77777777" w:rsidR="00182709" w:rsidRDefault="0044097C">
            <w:pPr>
              <w:cnfStyle w:val="000000000000" w:firstRow="0" w:lastRow="0" w:firstColumn="0" w:lastColumn="0" w:oddVBand="0" w:evenVBand="0" w:oddHBand="0" w:evenHBand="0" w:firstRowFirstColumn="0" w:firstRowLastColumn="0" w:lastRowFirstColumn="0" w:lastRowLastColumn="0"/>
            </w:pPr>
            <w:r>
              <w:t>(546)</w:t>
            </w:r>
          </w:p>
        </w:tc>
        <w:tc>
          <w:tcPr>
            <w:tcW w:w="1037" w:type="dxa"/>
          </w:tcPr>
          <w:p w14:paraId="7D6BA5C2" w14:textId="77777777" w:rsidR="00182709" w:rsidRDefault="0044097C">
            <w:pPr>
              <w:cnfStyle w:val="000000000000" w:firstRow="0" w:lastRow="0" w:firstColumn="0" w:lastColumn="0" w:oddVBand="0" w:evenVBand="0" w:oddHBand="0" w:evenHBand="0" w:firstRowFirstColumn="0" w:firstRowLastColumn="0" w:lastRowFirstColumn="0" w:lastRowLastColumn="0"/>
            </w:pPr>
            <w:r>
              <w:t>(1 637)</w:t>
            </w:r>
          </w:p>
        </w:tc>
        <w:tc>
          <w:tcPr>
            <w:tcW w:w="1038" w:type="dxa"/>
          </w:tcPr>
          <w:p w14:paraId="25C301CF" w14:textId="77777777" w:rsidR="00182709" w:rsidRDefault="0044097C">
            <w:pPr>
              <w:cnfStyle w:val="000000000000" w:firstRow="0" w:lastRow="0" w:firstColumn="0" w:lastColumn="0" w:oddVBand="0" w:evenVBand="0" w:oddHBand="0" w:evenHBand="0" w:firstRowFirstColumn="0" w:firstRowLastColumn="0" w:lastRowFirstColumn="0" w:lastRowLastColumn="0"/>
            </w:pPr>
            <w:r>
              <w:t>(1 137)</w:t>
            </w:r>
          </w:p>
        </w:tc>
        <w:tc>
          <w:tcPr>
            <w:tcW w:w="1037" w:type="dxa"/>
          </w:tcPr>
          <w:p w14:paraId="45291F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5A14EF7"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(12 019)</w:t>
            </w:r>
          </w:p>
        </w:tc>
        <w:tc>
          <w:tcPr>
            <w:tcW w:w="1038" w:type="dxa"/>
          </w:tcPr>
          <w:p w14:paraId="285F3CB6"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(10 869)</w:t>
            </w:r>
          </w:p>
        </w:tc>
      </w:tr>
      <w:tr w:rsidR="00182709" w14:paraId="7B7D427E"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33234B2B" w14:textId="77777777" w:rsidR="00182709" w:rsidRDefault="0044097C">
            <w:r>
              <w:t>Payments into the consolidated fund</w:t>
            </w:r>
          </w:p>
        </w:tc>
        <w:tc>
          <w:tcPr>
            <w:tcW w:w="1037" w:type="dxa"/>
            <w:tcBorders>
              <w:bottom w:val="single" w:sz="12" w:space="0" w:color="auto"/>
            </w:tcBorders>
          </w:tcPr>
          <w:p w14:paraId="6C078630" w14:textId="77777777" w:rsidR="00182709" w:rsidRDefault="0044097C">
            <w:pPr>
              <w:cnfStyle w:val="000000000000" w:firstRow="0" w:lastRow="0" w:firstColumn="0" w:lastColumn="0" w:oddVBand="0" w:evenVBand="0" w:oddHBand="0" w:evenHBand="0" w:firstRowFirstColumn="0" w:firstRowLastColumn="0" w:lastRowFirstColumn="0" w:lastRowLastColumn="0"/>
            </w:pPr>
            <w:r>
              <w:t>(6 758)</w:t>
            </w:r>
          </w:p>
        </w:tc>
        <w:tc>
          <w:tcPr>
            <w:tcW w:w="1038" w:type="dxa"/>
            <w:tcBorders>
              <w:bottom w:val="single" w:sz="12" w:space="0" w:color="auto"/>
            </w:tcBorders>
          </w:tcPr>
          <w:p w14:paraId="77B3C9E8" w14:textId="77777777" w:rsidR="00182709" w:rsidRDefault="0044097C">
            <w:pPr>
              <w:cnfStyle w:val="000000000000" w:firstRow="0" w:lastRow="0" w:firstColumn="0" w:lastColumn="0" w:oddVBand="0" w:evenVBand="0" w:oddHBand="0" w:evenHBand="0" w:firstRowFirstColumn="0" w:firstRowLastColumn="0" w:lastRowFirstColumn="0" w:lastRowLastColumn="0"/>
            </w:pPr>
            <w:r>
              <w:t>(7 424)</w:t>
            </w:r>
          </w:p>
        </w:tc>
        <w:tc>
          <w:tcPr>
            <w:tcW w:w="1037" w:type="dxa"/>
            <w:tcBorders>
              <w:bottom w:val="single" w:sz="12" w:space="0" w:color="auto"/>
            </w:tcBorders>
          </w:tcPr>
          <w:p w14:paraId="4755CDD4" w14:textId="77777777" w:rsidR="00182709" w:rsidRDefault="0044097C">
            <w:pPr>
              <w:cnfStyle w:val="000000000000" w:firstRow="0" w:lastRow="0" w:firstColumn="0" w:lastColumn="0" w:oddVBand="0" w:evenVBand="0" w:oddHBand="0" w:evenHBand="0" w:firstRowFirstColumn="0" w:firstRowLastColumn="0" w:lastRowFirstColumn="0" w:lastRowLastColumn="0"/>
            </w:pPr>
            <w:r>
              <w:t>(3 225)</w:t>
            </w:r>
          </w:p>
        </w:tc>
        <w:tc>
          <w:tcPr>
            <w:tcW w:w="1038" w:type="dxa"/>
            <w:tcBorders>
              <w:bottom w:val="single" w:sz="12" w:space="0" w:color="auto"/>
            </w:tcBorders>
          </w:tcPr>
          <w:p w14:paraId="41C6244B" w14:textId="77777777" w:rsidR="00182709" w:rsidRDefault="0044097C">
            <w:pPr>
              <w:cnfStyle w:val="000000000000" w:firstRow="0" w:lastRow="0" w:firstColumn="0" w:lastColumn="0" w:oddVBand="0" w:evenVBand="0" w:oddHBand="0" w:evenHBand="0" w:firstRowFirstColumn="0" w:firstRowLastColumn="0" w:lastRowFirstColumn="0" w:lastRowLastColumn="0"/>
            </w:pPr>
            <w:r>
              <w:t>(2 619)</w:t>
            </w:r>
          </w:p>
        </w:tc>
        <w:tc>
          <w:tcPr>
            <w:tcW w:w="1038" w:type="dxa"/>
            <w:tcBorders>
              <w:bottom w:val="single" w:sz="12" w:space="0" w:color="auto"/>
            </w:tcBorders>
          </w:tcPr>
          <w:p w14:paraId="696B28C3"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(13 719)</w:t>
            </w:r>
          </w:p>
        </w:tc>
        <w:tc>
          <w:tcPr>
            <w:tcW w:w="1037" w:type="dxa"/>
            <w:tcBorders>
              <w:bottom w:val="single" w:sz="12" w:space="0" w:color="auto"/>
            </w:tcBorders>
          </w:tcPr>
          <w:p w14:paraId="4F07A0AC" w14:textId="77777777" w:rsidR="00182709" w:rsidRDefault="0044097C">
            <w:pPr>
              <w:cnfStyle w:val="000000000000" w:firstRow="0" w:lastRow="0" w:firstColumn="0" w:lastColumn="0" w:oddVBand="0" w:evenVBand="0" w:oddHBand="0" w:evenHBand="0" w:firstRowFirstColumn="0" w:firstRowLastColumn="0" w:lastRowFirstColumn="0" w:lastRowLastColumn="0"/>
            </w:pPr>
            <w:r>
              <w:t>(17 483)</w:t>
            </w:r>
          </w:p>
        </w:tc>
        <w:tc>
          <w:tcPr>
            <w:tcW w:w="1038" w:type="dxa"/>
            <w:tcBorders>
              <w:bottom w:val="single" w:sz="12" w:space="0" w:color="auto"/>
            </w:tcBorders>
          </w:tcPr>
          <w:p w14:paraId="72ABCC89" w14:textId="77777777" w:rsidR="00182709" w:rsidRDefault="0044097C">
            <w:pPr>
              <w:cnfStyle w:val="000000000000" w:firstRow="0" w:lastRow="0" w:firstColumn="0" w:lastColumn="0" w:oddVBand="0" w:evenVBand="0" w:oddHBand="0" w:evenHBand="0" w:firstRowFirstColumn="0" w:firstRowLastColumn="0" w:lastRowFirstColumn="0" w:lastRowLastColumn="0"/>
            </w:pPr>
            <w:r>
              <w:t>(2 887)</w:t>
            </w:r>
          </w:p>
        </w:tc>
        <w:tc>
          <w:tcPr>
            <w:tcW w:w="1037" w:type="dxa"/>
            <w:tcBorders>
              <w:bottom w:val="single" w:sz="12" w:space="0" w:color="auto"/>
            </w:tcBorders>
          </w:tcPr>
          <w:p w14:paraId="43D28CB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7F6E414B" w14:textId="77777777" w:rsidR="00182709" w:rsidRDefault="0044097C">
            <w:pPr>
              <w:cnfStyle w:val="000000000000" w:firstRow="0" w:lastRow="0" w:firstColumn="0" w:lastColumn="0" w:oddVBand="0" w:evenVBand="0" w:oddHBand="0" w:evenHBand="0" w:firstRowFirstColumn="0" w:firstRowLastColumn="0" w:lastRowFirstColumn="0" w:lastRowLastColumn="0"/>
            </w:pPr>
            <w:r>
              <w:t>(26 589)</w:t>
            </w:r>
          </w:p>
        </w:tc>
        <w:tc>
          <w:tcPr>
            <w:tcW w:w="1038" w:type="dxa"/>
            <w:tcBorders>
              <w:bottom w:val="single" w:sz="12" w:space="0" w:color="auto"/>
            </w:tcBorders>
          </w:tcPr>
          <w:p w14:paraId="43CBC625" w14:textId="77777777" w:rsidR="00182709" w:rsidRDefault="0044097C">
            <w:pPr>
              <w:cnfStyle w:val="000000000000" w:firstRow="0" w:lastRow="0" w:firstColumn="0" w:lastColumn="0" w:oddVBand="0" w:evenVBand="0" w:oddHBand="0" w:evenHBand="0" w:firstRowFirstColumn="0" w:firstRowLastColumn="0" w:lastRowFirstColumn="0" w:lastRowLastColumn="0"/>
            </w:pPr>
            <w:r>
              <w:t>(27 526)</w:t>
            </w:r>
          </w:p>
        </w:tc>
      </w:tr>
      <w:tr w:rsidR="00671D55" w14:paraId="28BFA139"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0F6CDFCD" w14:textId="1A8194D9" w:rsidR="00182709" w:rsidRDefault="0044097C">
            <w:r>
              <w:rPr>
                <w:b/>
              </w:rPr>
              <w:t>Total administered net result from transactions (net operating balance)</w:t>
            </w:r>
          </w:p>
        </w:tc>
        <w:tc>
          <w:tcPr>
            <w:tcW w:w="1037" w:type="dxa"/>
          </w:tcPr>
          <w:p w14:paraId="5ED2710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A47AE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3AF7A5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99904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Pr>
          <w:p w14:paraId="0E3C36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370071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Pr>
          <w:p w14:paraId="270952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2BA72E3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7A3B59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6E7A26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F77684" w14:paraId="1E7A40B7"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11190EF8" w14:textId="77777777" w:rsidR="00F77684" w:rsidRDefault="00F77684">
            <w:pPr>
              <w:rPr>
                <w:b/>
              </w:rPr>
            </w:pPr>
          </w:p>
        </w:tc>
        <w:tc>
          <w:tcPr>
            <w:tcW w:w="1037" w:type="dxa"/>
          </w:tcPr>
          <w:p w14:paraId="09600D0C"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8" w:type="dxa"/>
          </w:tcPr>
          <w:p w14:paraId="44E14DBD"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7" w:type="dxa"/>
          </w:tcPr>
          <w:p w14:paraId="12703756"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8" w:type="dxa"/>
          </w:tcPr>
          <w:p w14:paraId="76079264"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8" w:type="dxa"/>
          </w:tcPr>
          <w:p w14:paraId="1B87F05B"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7" w:type="dxa"/>
          </w:tcPr>
          <w:p w14:paraId="491C876F"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8" w:type="dxa"/>
          </w:tcPr>
          <w:p w14:paraId="668485E3"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7" w:type="dxa"/>
          </w:tcPr>
          <w:p w14:paraId="05114A22"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8" w:type="dxa"/>
          </w:tcPr>
          <w:p w14:paraId="0355A6B7"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c>
          <w:tcPr>
            <w:tcW w:w="1038" w:type="dxa"/>
          </w:tcPr>
          <w:p w14:paraId="07E95BFA" w14:textId="77777777" w:rsidR="00F77684" w:rsidRDefault="00F77684">
            <w:pPr>
              <w:cnfStyle w:val="000000000000" w:firstRow="0" w:lastRow="0" w:firstColumn="0" w:lastColumn="0" w:oddVBand="0" w:evenVBand="0" w:oddHBand="0" w:evenHBand="0" w:firstRowFirstColumn="0" w:firstRowLastColumn="0" w:lastRowFirstColumn="0" w:lastRowLastColumn="0"/>
              <w:rPr>
                <w:b/>
              </w:rPr>
            </w:pPr>
          </w:p>
        </w:tc>
      </w:tr>
      <w:tr w:rsidR="00182709" w14:paraId="60DF5257" w14:textId="77777777">
        <w:tc>
          <w:tcPr>
            <w:cnfStyle w:val="001000000000" w:firstRow="0" w:lastRow="0" w:firstColumn="1" w:lastColumn="0" w:oddVBand="0" w:evenVBand="0" w:oddHBand="0" w:evenHBand="0" w:firstRowFirstColumn="0" w:firstRowLastColumn="0" w:lastRowFirstColumn="0" w:lastRowLastColumn="0"/>
            <w:tcW w:w="4253" w:type="dxa"/>
          </w:tcPr>
          <w:p w14:paraId="4A639A6E" w14:textId="77777777" w:rsidR="00182709" w:rsidRDefault="0044097C">
            <w:r>
              <w:rPr>
                <w:b/>
              </w:rPr>
              <w:t>Administered other economic flows included in administered net result</w:t>
            </w:r>
          </w:p>
        </w:tc>
        <w:tc>
          <w:tcPr>
            <w:tcW w:w="1037" w:type="dxa"/>
          </w:tcPr>
          <w:p w14:paraId="6A284CF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71DAC3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864D04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E97689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19474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747025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A3165E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41FEFE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843D46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D38389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F743E00" w14:textId="77777777">
        <w:tc>
          <w:tcPr>
            <w:cnfStyle w:val="001000000000" w:firstRow="0" w:lastRow="0" w:firstColumn="1" w:lastColumn="0" w:oddVBand="0" w:evenVBand="0" w:oddHBand="0" w:evenHBand="0" w:firstRowFirstColumn="0" w:firstRowLastColumn="0" w:lastRowFirstColumn="0" w:lastRowLastColumn="0"/>
            <w:tcW w:w="4253" w:type="dxa"/>
          </w:tcPr>
          <w:p w14:paraId="7266C5DE" w14:textId="77777777" w:rsidR="00182709" w:rsidRDefault="0044097C">
            <w:r>
              <w:t>Net gain/(loss) on financial instruments</w:t>
            </w:r>
          </w:p>
        </w:tc>
        <w:tc>
          <w:tcPr>
            <w:tcW w:w="1037" w:type="dxa"/>
          </w:tcPr>
          <w:p w14:paraId="6BC1D5EC" w14:textId="77777777" w:rsidR="00182709" w:rsidRDefault="0044097C">
            <w:pPr>
              <w:cnfStyle w:val="000000000000" w:firstRow="0" w:lastRow="0" w:firstColumn="0" w:lastColumn="0" w:oddVBand="0" w:evenVBand="0" w:oddHBand="0" w:evenHBand="0" w:firstRowFirstColumn="0" w:firstRowLastColumn="0" w:lastRowFirstColumn="0" w:lastRowLastColumn="0"/>
            </w:pPr>
            <w:r>
              <w:t>253</w:t>
            </w:r>
          </w:p>
        </w:tc>
        <w:tc>
          <w:tcPr>
            <w:tcW w:w="1038" w:type="dxa"/>
          </w:tcPr>
          <w:p w14:paraId="0638BDBE" w14:textId="77777777" w:rsidR="00182709" w:rsidRDefault="0044097C">
            <w:pPr>
              <w:cnfStyle w:val="000000000000" w:firstRow="0" w:lastRow="0" w:firstColumn="0" w:lastColumn="0" w:oddVBand="0" w:evenVBand="0" w:oddHBand="0" w:evenHBand="0" w:firstRowFirstColumn="0" w:firstRowLastColumn="0" w:lastRowFirstColumn="0" w:lastRowLastColumn="0"/>
            </w:pPr>
            <w:r>
              <w:t>(156)</w:t>
            </w:r>
          </w:p>
        </w:tc>
        <w:tc>
          <w:tcPr>
            <w:tcW w:w="1037" w:type="dxa"/>
          </w:tcPr>
          <w:p w14:paraId="49D3D10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5E05E8E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3C5DCF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78B99AE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379A2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6C4AEE3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11A0B85A" w14:textId="77777777" w:rsidR="00182709" w:rsidRDefault="0044097C">
            <w:pPr>
              <w:cnfStyle w:val="000000000000" w:firstRow="0" w:lastRow="0" w:firstColumn="0" w:lastColumn="0" w:oddVBand="0" w:evenVBand="0" w:oddHBand="0" w:evenHBand="0" w:firstRowFirstColumn="0" w:firstRowLastColumn="0" w:lastRowFirstColumn="0" w:lastRowLastColumn="0"/>
            </w:pPr>
            <w:r>
              <w:t>253</w:t>
            </w:r>
          </w:p>
        </w:tc>
        <w:tc>
          <w:tcPr>
            <w:tcW w:w="1038" w:type="dxa"/>
          </w:tcPr>
          <w:p w14:paraId="5DCD138F" w14:textId="77777777" w:rsidR="00182709" w:rsidRDefault="0044097C">
            <w:pPr>
              <w:cnfStyle w:val="000000000000" w:firstRow="0" w:lastRow="0" w:firstColumn="0" w:lastColumn="0" w:oddVBand="0" w:evenVBand="0" w:oddHBand="0" w:evenHBand="0" w:firstRowFirstColumn="0" w:firstRowLastColumn="0" w:lastRowFirstColumn="0" w:lastRowLastColumn="0"/>
            </w:pPr>
            <w:r>
              <w:t>(156)</w:t>
            </w:r>
          </w:p>
        </w:tc>
      </w:tr>
      <w:tr w:rsidR="00182709" w14:paraId="3A692D60"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497B52CD" w14:textId="77777777" w:rsidR="00182709" w:rsidRDefault="0044097C">
            <w:r>
              <w:t>Other gains/(losses) from other economic flows</w:t>
            </w:r>
          </w:p>
        </w:tc>
        <w:tc>
          <w:tcPr>
            <w:tcW w:w="1037" w:type="dxa"/>
            <w:tcBorders>
              <w:bottom w:val="single" w:sz="12" w:space="0" w:color="auto"/>
            </w:tcBorders>
          </w:tcPr>
          <w:p w14:paraId="1B24634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E018EB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7CCC8F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EAAAC0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496196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D5959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37C14450" w14:textId="77777777" w:rsidR="00182709" w:rsidRDefault="0044097C">
            <w:pPr>
              <w:cnfStyle w:val="000000000000" w:firstRow="0" w:lastRow="0" w:firstColumn="0" w:lastColumn="0" w:oddVBand="0" w:evenVBand="0" w:oddHBand="0" w:evenHBand="0" w:firstRowFirstColumn="0" w:firstRowLastColumn="0" w:lastRowFirstColumn="0" w:lastRowLastColumn="0"/>
            </w:pPr>
            <w:r>
              <w:t>225</w:t>
            </w:r>
          </w:p>
        </w:tc>
        <w:tc>
          <w:tcPr>
            <w:tcW w:w="1037" w:type="dxa"/>
            <w:tcBorders>
              <w:bottom w:val="single" w:sz="12" w:space="0" w:color="auto"/>
            </w:tcBorders>
          </w:tcPr>
          <w:p w14:paraId="0C669206" w14:textId="77777777" w:rsidR="00182709" w:rsidRDefault="0044097C">
            <w:pPr>
              <w:cnfStyle w:val="000000000000" w:firstRow="0" w:lastRow="0" w:firstColumn="0" w:lastColumn="0" w:oddVBand="0" w:evenVBand="0" w:oddHBand="0" w:evenHBand="0" w:firstRowFirstColumn="0" w:firstRowLastColumn="0" w:lastRowFirstColumn="0" w:lastRowLastColumn="0"/>
            </w:pPr>
            <w:r>
              <w:t>88</w:t>
            </w:r>
          </w:p>
        </w:tc>
        <w:tc>
          <w:tcPr>
            <w:tcW w:w="1038" w:type="dxa"/>
            <w:tcBorders>
              <w:bottom w:val="single" w:sz="12" w:space="0" w:color="auto"/>
            </w:tcBorders>
          </w:tcPr>
          <w:p w14:paraId="55FCA54E" w14:textId="77777777" w:rsidR="00182709" w:rsidRDefault="0044097C">
            <w:pPr>
              <w:cnfStyle w:val="000000000000" w:firstRow="0" w:lastRow="0" w:firstColumn="0" w:lastColumn="0" w:oddVBand="0" w:evenVBand="0" w:oddHBand="0" w:evenHBand="0" w:firstRowFirstColumn="0" w:firstRowLastColumn="0" w:lastRowFirstColumn="0" w:lastRowLastColumn="0"/>
            </w:pPr>
            <w:r>
              <w:t>225</w:t>
            </w:r>
          </w:p>
        </w:tc>
        <w:tc>
          <w:tcPr>
            <w:tcW w:w="1038" w:type="dxa"/>
            <w:tcBorders>
              <w:bottom w:val="single" w:sz="12" w:space="0" w:color="auto"/>
            </w:tcBorders>
          </w:tcPr>
          <w:p w14:paraId="585E72DB" w14:textId="77777777" w:rsidR="00182709" w:rsidRDefault="0044097C">
            <w:pPr>
              <w:cnfStyle w:val="000000000000" w:firstRow="0" w:lastRow="0" w:firstColumn="0" w:lastColumn="0" w:oddVBand="0" w:evenVBand="0" w:oddHBand="0" w:evenHBand="0" w:firstRowFirstColumn="0" w:firstRowLastColumn="0" w:lastRowFirstColumn="0" w:lastRowLastColumn="0"/>
            </w:pPr>
            <w:r>
              <w:t>88</w:t>
            </w:r>
          </w:p>
        </w:tc>
      </w:tr>
      <w:tr w:rsidR="00671D55" w14:paraId="310CA357"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6FFE9257" w14:textId="77777777" w:rsidR="00182709" w:rsidRDefault="0044097C">
            <w:r>
              <w:rPr>
                <w:b/>
              </w:rPr>
              <w:t>Administered net result</w:t>
            </w:r>
          </w:p>
        </w:tc>
        <w:tc>
          <w:tcPr>
            <w:tcW w:w="1037" w:type="dxa"/>
          </w:tcPr>
          <w:p w14:paraId="144104F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253</w:t>
            </w:r>
          </w:p>
        </w:tc>
        <w:tc>
          <w:tcPr>
            <w:tcW w:w="1038" w:type="dxa"/>
          </w:tcPr>
          <w:p w14:paraId="1D68978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(156)</w:t>
            </w:r>
          </w:p>
        </w:tc>
        <w:tc>
          <w:tcPr>
            <w:tcW w:w="1037" w:type="dxa"/>
          </w:tcPr>
          <w:p w14:paraId="508AE6E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7BC9B86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Pr>
          <w:p w14:paraId="04B380D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756267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(500)</w:t>
            </w:r>
          </w:p>
        </w:tc>
        <w:tc>
          <w:tcPr>
            <w:tcW w:w="1038" w:type="dxa"/>
          </w:tcPr>
          <w:p w14:paraId="5B308B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225</w:t>
            </w:r>
          </w:p>
        </w:tc>
        <w:tc>
          <w:tcPr>
            <w:tcW w:w="1037" w:type="dxa"/>
          </w:tcPr>
          <w:p w14:paraId="706583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w:t>
            </w:r>
          </w:p>
        </w:tc>
        <w:tc>
          <w:tcPr>
            <w:tcW w:w="1038" w:type="dxa"/>
          </w:tcPr>
          <w:p w14:paraId="017A32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478</w:t>
            </w:r>
          </w:p>
        </w:tc>
        <w:tc>
          <w:tcPr>
            <w:tcW w:w="1038" w:type="dxa"/>
          </w:tcPr>
          <w:p w14:paraId="47F82B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(68)</w:t>
            </w:r>
          </w:p>
        </w:tc>
      </w:tr>
      <w:tr w:rsidR="00182709" w14:paraId="5109A5FF" w14:textId="77777777">
        <w:tc>
          <w:tcPr>
            <w:cnfStyle w:val="001000000000" w:firstRow="0" w:lastRow="0" w:firstColumn="1" w:lastColumn="0" w:oddVBand="0" w:evenVBand="0" w:oddHBand="0" w:evenHBand="0" w:firstRowFirstColumn="0" w:firstRowLastColumn="0" w:lastRowFirstColumn="0" w:lastRowLastColumn="0"/>
            <w:tcW w:w="4253" w:type="dxa"/>
          </w:tcPr>
          <w:p w14:paraId="23D91FC0" w14:textId="2C37557A" w:rsidR="00182709" w:rsidRDefault="0044097C">
            <w:r>
              <w:rPr>
                <w:b/>
              </w:rPr>
              <w:t>Administered other economic flows – other comprehensive income</w:t>
            </w:r>
          </w:p>
        </w:tc>
        <w:tc>
          <w:tcPr>
            <w:tcW w:w="1037" w:type="dxa"/>
          </w:tcPr>
          <w:p w14:paraId="5BA3CE0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624EF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42169A6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82DC8F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F8489E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6AAA028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72F0E8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034DB1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6A908F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DCA9D8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F77684" w14:paraId="51C2EB31" w14:textId="77777777">
        <w:tc>
          <w:tcPr>
            <w:cnfStyle w:val="001000000000" w:firstRow="0" w:lastRow="0" w:firstColumn="1" w:lastColumn="0" w:oddVBand="0" w:evenVBand="0" w:oddHBand="0" w:evenHBand="0" w:firstRowFirstColumn="0" w:firstRowLastColumn="0" w:lastRowFirstColumn="0" w:lastRowLastColumn="0"/>
            <w:tcW w:w="4253" w:type="dxa"/>
          </w:tcPr>
          <w:p w14:paraId="6EB62F9C" w14:textId="77777777" w:rsidR="00F77684" w:rsidRDefault="00F77684">
            <w:pPr>
              <w:rPr>
                <w:b/>
              </w:rPr>
            </w:pPr>
          </w:p>
        </w:tc>
        <w:tc>
          <w:tcPr>
            <w:tcW w:w="1037" w:type="dxa"/>
          </w:tcPr>
          <w:p w14:paraId="5E4D67BC"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8" w:type="dxa"/>
          </w:tcPr>
          <w:p w14:paraId="5A917F12"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7" w:type="dxa"/>
          </w:tcPr>
          <w:p w14:paraId="1AC4C556"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8" w:type="dxa"/>
          </w:tcPr>
          <w:p w14:paraId="09D32805"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8" w:type="dxa"/>
          </w:tcPr>
          <w:p w14:paraId="04B30F01"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7" w:type="dxa"/>
          </w:tcPr>
          <w:p w14:paraId="64533BE7"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8" w:type="dxa"/>
          </w:tcPr>
          <w:p w14:paraId="682E0301"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7" w:type="dxa"/>
          </w:tcPr>
          <w:p w14:paraId="48362164"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8" w:type="dxa"/>
          </w:tcPr>
          <w:p w14:paraId="5FABE5F9"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c>
          <w:tcPr>
            <w:tcW w:w="1038" w:type="dxa"/>
          </w:tcPr>
          <w:p w14:paraId="60A269D5" w14:textId="77777777" w:rsidR="00F77684" w:rsidRDefault="00F77684">
            <w:pPr>
              <w:cnfStyle w:val="000000000000" w:firstRow="0" w:lastRow="0" w:firstColumn="0" w:lastColumn="0" w:oddVBand="0" w:evenVBand="0" w:oddHBand="0" w:evenHBand="0" w:firstRowFirstColumn="0" w:firstRowLastColumn="0" w:lastRowFirstColumn="0" w:lastRowLastColumn="0"/>
            </w:pPr>
          </w:p>
        </w:tc>
      </w:tr>
      <w:tr w:rsidR="00182709" w14:paraId="04ABF484" w14:textId="77777777">
        <w:tc>
          <w:tcPr>
            <w:cnfStyle w:val="001000000000" w:firstRow="0" w:lastRow="0" w:firstColumn="1" w:lastColumn="0" w:oddVBand="0" w:evenVBand="0" w:oddHBand="0" w:evenHBand="0" w:firstRowFirstColumn="0" w:firstRowLastColumn="0" w:lastRowFirstColumn="0" w:lastRowLastColumn="0"/>
            <w:tcW w:w="4253" w:type="dxa"/>
          </w:tcPr>
          <w:p w14:paraId="7A3207B1" w14:textId="77777777" w:rsidR="00182709" w:rsidRDefault="0044097C">
            <w:r>
              <w:rPr>
                <w:b/>
              </w:rPr>
              <w:t>Items that will not be reclassified to administered net result</w:t>
            </w:r>
          </w:p>
        </w:tc>
        <w:tc>
          <w:tcPr>
            <w:tcW w:w="1037" w:type="dxa"/>
          </w:tcPr>
          <w:p w14:paraId="6C5E0C4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F091C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4B9D73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726EB6C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C6636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8382B7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DE76D8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260FDC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DF578B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1D23E24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1C8C894" w14:textId="77777777">
        <w:tc>
          <w:tcPr>
            <w:cnfStyle w:val="001000000000" w:firstRow="0" w:lastRow="0" w:firstColumn="1" w:lastColumn="0" w:oddVBand="0" w:evenVBand="0" w:oddHBand="0" w:evenHBand="0" w:firstRowFirstColumn="0" w:firstRowLastColumn="0" w:lastRowFirstColumn="0" w:lastRowLastColumn="0"/>
            <w:tcW w:w="4253" w:type="dxa"/>
          </w:tcPr>
          <w:p w14:paraId="53D02D11" w14:textId="77777777" w:rsidR="00182709" w:rsidRDefault="0044097C">
            <w:r>
              <w:t>Adjustment to accumulated surplus/(deficit) due to change in accounting policy</w:t>
            </w:r>
          </w:p>
        </w:tc>
        <w:tc>
          <w:tcPr>
            <w:tcW w:w="1037" w:type="dxa"/>
          </w:tcPr>
          <w:p w14:paraId="745DB91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4A92B857" w14:textId="77777777" w:rsidR="00182709" w:rsidRDefault="0044097C">
            <w:pPr>
              <w:cnfStyle w:val="000000000000" w:firstRow="0" w:lastRow="0" w:firstColumn="0" w:lastColumn="0" w:oddVBand="0" w:evenVBand="0" w:oddHBand="0" w:evenHBand="0" w:firstRowFirstColumn="0" w:firstRowLastColumn="0" w:lastRowFirstColumn="0" w:lastRowLastColumn="0"/>
            </w:pPr>
            <w:r>
              <w:t>153</w:t>
            </w:r>
          </w:p>
        </w:tc>
        <w:tc>
          <w:tcPr>
            <w:tcW w:w="1037" w:type="dxa"/>
          </w:tcPr>
          <w:p w14:paraId="79B6CD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74FF3687" w14:textId="77777777" w:rsidR="00182709" w:rsidRDefault="0044097C">
            <w:pPr>
              <w:cnfStyle w:val="000000000000" w:firstRow="0" w:lastRow="0" w:firstColumn="0" w:lastColumn="0" w:oddVBand="0" w:evenVBand="0" w:oddHBand="0" w:evenHBand="0" w:firstRowFirstColumn="0" w:firstRowLastColumn="0" w:lastRowFirstColumn="0" w:lastRowLastColumn="0"/>
            </w:pPr>
            <w:r>
              <w:t>201</w:t>
            </w:r>
          </w:p>
        </w:tc>
        <w:tc>
          <w:tcPr>
            <w:tcW w:w="1038" w:type="dxa"/>
          </w:tcPr>
          <w:p w14:paraId="7DDBD0D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74E8261D" w14:textId="77777777" w:rsidR="00182709" w:rsidRDefault="0044097C">
            <w:pPr>
              <w:cnfStyle w:val="000000000000" w:firstRow="0" w:lastRow="0" w:firstColumn="0" w:lastColumn="0" w:oddVBand="0" w:evenVBand="0" w:oddHBand="0" w:evenHBand="0" w:firstRowFirstColumn="0" w:firstRowLastColumn="0" w:lastRowFirstColumn="0" w:lastRowLastColumn="0"/>
            </w:pPr>
            <w:r>
              <w:t>243</w:t>
            </w:r>
          </w:p>
        </w:tc>
        <w:tc>
          <w:tcPr>
            <w:tcW w:w="1038" w:type="dxa"/>
          </w:tcPr>
          <w:p w14:paraId="090B2E8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D04E4F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FD064C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48B6A445" w14:textId="77777777" w:rsidR="00182709" w:rsidRDefault="0044097C">
            <w:pPr>
              <w:cnfStyle w:val="000000000000" w:firstRow="0" w:lastRow="0" w:firstColumn="0" w:lastColumn="0" w:oddVBand="0" w:evenVBand="0" w:oddHBand="0" w:evenHBand="0" w:firstRowFirstColumn="0" w:firstRowLastColumn="0" w:lastRowFirstColumn="0" w:lastRowLastColumn="0"/>
            </w:pPr>
            <w:r>
              <w:t>597</w:t>
            </w:r>
          </w:p>
        </w:tc>
      </w:tr>
      <w:tr w:rsidR="00182709" w14:paraId="5E1D32FD"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2EC3A39E" w14:textId="77777777" w:rsidR="00182709" w:rsidRDefault="0044097C">
            <w:r>
              <w:t>Changes in physical asset revaluation surplus</w:t>
            </w:r>
          </w:p>
        </w:tc>
        <w:tc>
          <w:tcPr>
            <w:tcW w:w="1037" w:type="dxa"/>
            <w:tcBorders>
              <w:bottom w:val="single" w:sz="12" w:space="0" w:color="auto"/>
            </w:tcBorders>
          </w:tcPr>
          <w:p w14:paraId="2268B3A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5C1AE1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23FA13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2E176E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3EB8A7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E2C05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49E2566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B1A5D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D784F4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B86D16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3F82F8B3"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2139FF6F" w14:textId="77777777" w:rsidR="00182709" w:rsidRDefault="0044097C">
            <w:r>
              <w:rPr>
                <w:b/>
              </w:rPr>
              <w:t>Total administered comprehensive result</w:t>
            </w:r>
          </w:p>
        </w:tc>
        <w:tc>
          <w:tcPr>
            <w:tcW w:w="1037" w:type="dxa"/>
          </w:tcPr>
          <w:p w14:paraId="490911E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253</w:t>
            </w:r>
          </w:p>
        </w:tc>
        <w:tc>
          <w:tcPr>
            <w:tcW w:w="1038" w:type="dxa"/>
          </w:tcPr>
          <w:p w14:paraId="7C0096D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w:t>
            </w:r>
          </w:p>
        </w:tc>
        <w:tc>
          <w:tcPr>
            <w:tcW w:w="1037" w:type="dxa"/>
          </w:tcPr>
          <w:p w14:paraId="3DA6D03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38E338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701</w:t>
            </w:r>
          </w:p>
        </w:tc>
        <w:tc>
          <w:tcPr>
            <w:tcW w:w="1038" w:type="dxa"/>
          </w:tcPr>
          <w:p w14:paraId="415BBDA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778864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(257)</w:t>
            </w:r>
          </w:p>
        </w:tc>
        <w:tc>
          <w:tcPr>
            <w:tcW w:w="1038" w:type="dxa"/>
          </w:tcPr>
          <w:p w14:paraId="4682580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225</w:t>
            </w:r>
          </w:p>
        </w:tc>
        <w:tc>
          <w:tcPr>
            <w:tcW w:w="1037" w:type="dxa"/>
          </w:tcPr>
          <w:p w14:paraId="117722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w:t>
            </w:r>
          </w:p>
        </w:tc>
        <w:tc>
          <w:tcPr>
            <w:tcW w:w="1038" w:type="dxa"/>
          </w:tcPr>
          <w:p w14:paraId="2271EB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478</w:t>
            </w:r>
          </w:p>
        </w:tc>
        <w:tc>
          <w:tcPr>
            <w:tcW w:w="1038" w:type="dxa"/>
          </w:tcPr>
          <w:p w14:paraId="07691C0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529</w:t>
            </w:r>
          </w:p>
        </w:tc>
      </w:tr>
    </w:tbl>
    <w:p w14:paraId="19C06C2D" w14:textId="77777777" w:rsidR="003719CD" w:rsidRDefault="003719CD" w:rsidP="007D536F">
      <w:pPr>
        <w:pStyle w:val="Note"/>
      </w:pPr>
      <w:r>
        <w:t>Notes:</w:t>
      </w:r>
    </w:p>
    <w:p w14:paraId="0602B1CC" w14:textId="79FED1B9" w:rsidR="003719CD" w:rsidRDefault="003719CD" w:rsidP="007D536F">
      <w:pPr>
        <w:pStyle w:val="Note"/>
      </w:pPr>
      <w:r>
        <w:t>(a)</w:t>
      </w:r>
      <w:r>
        <w:tab/>
        <w:t xml:space="preserve">Based on the Administrative Arrangements Order [No. xxx] </w:t>
      </w:r>
      <w:fldSimple w:instr="DOCPROPERTY  YearCurrent  \* MERGEFORMAT">
        <w:r w:rsidR="00A545BA">
          <w:t>20X2</w:t>
        </w:r>
      </w:fldSimple>
      <w:r>
        <w:t>, figures for the income and expenses for the new technology administration output for the comparative year are not adjusted. Figures for the income and expenses of the output for the current year are reported by the Department of Cabinet Administration.</w:t>
      </w:r>
    </w:p>
    <w:p w14:paraId="306BA279" w14:textId="2F291A9F" w:rsidR="003719CD" w:rsidRDefault="003719CD" w:rsidP="007D536F">
      <w:pPr>
        <w:pStyle w:val="Note"/>
      </w:pPr>
      <w:r>
        <w:t>(b)</w:t>
      </w:r>
      <w:r>
        <w:tab/>
        <w:t xml:space="preserve">Based on the Administrative Arrangements Order [No. xxx] </w:t>
      </w:r>
      <w:fldSimple w:instr="DOCPROPERTY  YearCurrent  \* MERGEFORMAT">
        <w:r w:rsidR="00A545BA">
          <w:t>20X2</w:t>
        </w:r>
      </w:fldSimple>
      <w:r>
        <w:t xml:space="preserve">, figures for the income and expenses for the R&amp;D biological technology output for the current financial year are as at 30 June </w:t>
      </w:r>
      <w:fldSimple w:instr="DOCPROPERTY  YearCurrent  \* MERGEFORMAT">
        <w:r w:rsidR="00A545BA">
          <w:t>20X2</w:t>
        </w:r>
      </w:fldSimple>
      <w:r>
        <w:t>. Figures for the income and expenses of the output for the comparative year are reported by the Department of Natural Resources.</w:t>
      </w:r>
    </w:p>
    <w:p w14:paraId="2C44BAC0" w14:textId="77777777" w:rsidR="003719CD" w:rsidRDefault="003719CD" w:rsidP="00DC39DE"/>
    <w:p w14:paraId="63BD1377" w14:textId="0D4C6892" w:rsidR="003719CD" w:rsidRDefault="003719CD" w:rsidP="007D536F">
      <w:pPr>
        <w:pStyle w:val="Heading3"/>
      </w:pPr>
      <w:r>
        <w:lastRenderedPageBreak/>
        <w:t xml:space="preserve">Administered (non-controlled) items </w:t>
      </w:r>
      <w:r w:rsidRPr="00936CB4">
        <w:rPr>
          <w:i/>
          <w:iCs/>
        </w:rPr>
        <w:t>(continued)</w:t>
      </w:r>
      <w:r>
        <w:t xml:space="preserve"> </w:t>
      </w:r>
      <w:r w:rsidRPr="00936CB4">
        <w:rPr>
          <w:rStyle w:val="Reference"/>
        </w:rPr>
        <w:t>[AASB 1050.7, FRD 9]</w:t>
      </w:r>
    </w:p>
    <w:p w14:paraId="67A0B384" w14:textId="2E430CA1" w:rsidR="003719CD" w:rsidRDefault="003719CD" w:rsidP="007D536F">
      <w:pPr>
        <w:pStyle w:val="Caption"/>
      </w:pPr>
      <w:r>
        <w:t xml:space="preserve">For the financial year ended 30 June </w:t>
      </w:r>
      <w:fldSimple w:instr="DOCPROPERTY  YearCurrent  \* MERGEFORMAT">
        <w:r w:rsidR="00A545BA">
          <w:t>20X2</w:t>
        </w:r>
      </w:fldSimple>
      <w:r>
        <w:tab/>
      </w:r>
      <w:r>
        <w:tab/>
        <w:t>($ thousand)</w:t>
      </w:r>
    </w:p>
    <w:tbl>
      <w:tblPr>
        <w:tblStyle w:val="DTFTable"/>
        <w:tblW w:w="14629" w:type="dxa"/>
        <w:tblLayout w:type="fixed"/>
        <w:tblLook w:val="06A0" w:firstRow="1" w:lastRow="0" w:firstColumn="1" w:lastColumn="0" w:noHBand="1" w:noVBand="1"/>
      </w:tblPr>
      <w:tblGrid>
        <w:gridCol w:w="4253"/>
        <w:gridCol w:w="1037"/>
        <w:gridCol w:w="1038"/>
        <w:gridCol w:w="1037"/>
        <w:gridCol w:w="1038"/>
        <w:gridCol w:w="1038"/>
        <w:gridCol w:w="1037"/>
        <w:gridCol w:w="1038"/>
        <w:gridCol w:w="1037"/>
        <w:gridCol w:w="1038"/>
        <w:gridCol w:w="1038"/>
      </w:tblGrid>
      <w:tr w:rsidR="00182709" w14:paraId="5C088BA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Pr>
          <w:p w14:paraId="5B2C5943" w14:textId="77777777" w:rsidR="00182709" w:rsidRDefault="00182709">
            <w:pPr>
              <w:keepNext/>
            </w:pPr>
          </w:p>
        </w:tc>
        <w:tc>
          <w:tcPr>
            <w:tcW w:w="2075" w:type="dxa"/>
            <w:gridSpan w:val="2"/>
          </w:tcPr>
          <w:p w14:paraId="4F69546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Strategic policy advice</w:t>
            </w:r>
          </w:p>
        </w:tc>
        <w:tc>
          <w:tcPr>
            <w:tcW w:w="2075" w:type="dxa"/>
            <w:gridSpan w:val="2"/>
          </w:tcPr>
          <w:p w14:paraId="16D6DC7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IT&amp;T services</w:t>
            </w:r>
          </w:p>
        </w:tc>
        <w:tc>
          <w:tcPr>
            <w:tcW w:w="2075" w:type="dxa"/>
            <w:gridSpan w:val="2"/>
          </w:tcPr>
          <w:p w14:paraId="4BD38E4D"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New technology administration</w:t>
            </w:r>
            <w:r>
              <w:rPr>
                <w:vertAlign w:val="superscript"/>
              </w:rPr>
              <w:t xml:space="preserve"> (a)</w:t>
            </w:r>
          </w:p>
        </w:tc>
        <w:tc>
          <w:tcPr>
            <w:tcW w:w="2075" w:type="dxa"/>
            <w:gridSpan w:val="2"/>
          </w:tcPr>
          <w:p w14:paraId="0E07031B" w14:textId="2956C296"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 xml:space="preserve">R&amp;D biological </w:t>
            </w:r>
            <w:r w:rsidR="004B4963">
              <w:br/>
            </w:r>
            <w:r>
              <w:t>technology</w:t>
            </w:r>
            <w:r>
              <w:rPr>
                <w:vertAlign w:val="superscript"/>
              </w:rPr>
              <w:t xml:space="preserve"> (b)</w:t>
            </w:r>
          </w:p>
        </w:tc>
        <w:tc>
          <w:tcPr>
            <w:tcW w:w="2076" w:type="dxa"/>
            <w:gridSpan w:val="2"/>
          </w:tcPr>
          <w:p w14:paraId="3E0EE23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Departmental total</w:t>
            </w:r>
          </w:p>
        </w:tc>
      </w:tr>
      <w:tr w:rsidR="00645E0B" w14:paraId="62C5A985"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3" w:type="dxa"/>
            <w:tcBorders>
              <w:bottom w:val="single" w:sz="12" w:space="0" w:color="auto"/>
            </w:tcBorders>
          </w:tcPr>
          <w:p w14:paraId="4EE175CE" w14:textId="77777777" w:rsidR="00645E0B" w:rsidRDefault="00645E0B" w:rsidP="00645E0B">
            <w:pPr>
              <w:keepNext/>
            </w:pPr>
          </w:p>
        </w:tc>
        <w:tc>
          <w:tcPr>
            <w:tcW w:w="1037" w:type="dxa"/>
            <w:tcBorders>
              <w:bottom w:val="single" w:sz="12" w:space="0" w:color="auto"/>
            </w:tcBorders>
          </w:tcPr>
          <w:p w14:paraId="3A714344" w14:textId="2E38B836"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8" w:type="dxa"/>
            <w:tcBorders>
              <w:bottom w:val="single" w:sz="12" w:space="0" w:color="auto"/>
            </w:tcBorders>
          </w:tcPr>
          <w:p w14:paraId="262E62F8" w14:textId="7EA9ED24"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7" w:type="dxa"/>
            <w:tcBorders>
              <w:bottom w:val="single" w:sz="12" w:space="0" w:color="auto"/>
            </w:tcBorders>
          </w:tcPr>
          <w:p w14:paraId="5C9780B6" w14:textId="63CCBD0F"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8" w:type="dxa"/>
            <w:tcBorders>
              <w:bottom w:val="single" w:sz="12" w:space="0" w:color="auto"/>
            </w:tcBorders>
          </w:tcPr>
          <w:p w14:paraId="3B319DEF" w14:textId="37C39251"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8" w:type="dxa"/>
            <w:tcBorders>
              <w:bottom w:val="single" w:sz="12" w:space="0" w:color="auto"/>
            </w:tcBorders>
          </w:tcPr>
          <w:p w14:paraId="7984AF2A" w14:textId="419AB2AD"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7" w:type="dxa"/>
            <w:tcBorders>
              <w:bottom w:val="single" w:sz="12" w:space="0" w:color="auto"/>
            </w:tcBorders>
          </w:tcPr>
          <w:p w14:paraId="7240DA30" w14:textId="41C2A79D"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8" w:type="dxa"/>
            <w:tcBorders>
              <w:bottom w:val="single" w:sz="12" w:space="0" w:color="auto"/>
            </w:tcBorders>
          </w:tcPr>
          <w:p w14:paraId="3CFF4E10" w14:textId="500CE7CB"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7" w:type="dxa"/>
            <w:tcBorders>
              <w:bottom w:val="single" w:sz="12" w:space="0" w:color="auto"/>
            </w:tcBorders>
          </w:tcPr>
          <w:p w14:paraId="29628193" w14:textId="20D11024"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c>
          <w:tcPr>
            <w:tcW w:w="1038" w:type="dxa"/>
            <w:tcBorders>
              <w:bottom w:val="single" w:sz="12" w:space="0" w:color="auto"/>
            </w:tcBorders>
          </w:tcPr>
          <w:p w14:paraId="43119C00" w14:textId="2D378163"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YearCurrent \* MERGEFORMAT</w:instrText>
            </w:r>
            <w:r w:rsidRPr="00954EF7">
              <w:rPr>
                <w:iCs/>
              </w:rPr>
              <w:fldChar w:fldCharType="separate"/>
            </w:r>
            <w:r w:rsidRPr="00954EF7">
              <w:rPr>
                <w:bCs w:val="0"/>
                <w:iCs/>
              </w:rPr>
              <w:t>20X2</w:t>
            </w:r>
            <w:r w:rsidRPr="00954EF7">
              <w:rPr>
                <w:iCs/>
              </w:rPr>
              <w:fldChar w:fldCharType="end"/>
            </w:r>
          </w:p>
        </w:tc>
        <w:tc>
          <w:tcPr>
            <w:tcW w:w="1038" w:type="dxa"/>
            <w:tcBorders>
              <w:bottom w:val="single" w:sz="12" w:space="0" w:color="auto"/>
            </w:tcBorders>
          </w:tcPr>
          <w:p w14:paraId="159A7D4D" w14:textId="4A92662C" w:rsidR="00645E0B" w:rsidRDefault="00645E0B" w:rsidP="00645E0B">
            <w:pPr>
              <w:keepNext/>
              <w:cnfStyle w:val="100000000000" w:firstRow="1" w:lastRow="0" w:firstColumn="0" w:lastColumn="0" w:oddVBand="0" w:evenVBand="0" w:oddHBand="0" w:evenHBand="0" w:firstRowFirstColumn="0" w:firstRowLastColumn="0" w:lastRowFirstColumn="0" w:lastRowLastColumn="0"/>
            </w:pPr>
            <w:r w:rsidRPr="00954EF7">
              <w:rPr>
                <w:iCs/>
              </w:rPr>
              <w:fldChar w:fldCharType="begin"/>
            </w:r>
            <w:r w:rsidRPr="00954EF7">
              <w:rPr>
                <w:bCs w:val="0"/>
                <w:iCs/>
              </w:rPr>
              <w:instrText>DOCPROPERTY  YearPrevious  \* MERGEFORMAT</w:instrText>
            </w:r>
            <w:r w:rsidRPr="00954EF7">
              <w:rPr>
                <w:iCs/>
              </w:rPr>
              <w:fldChar w:fldCharType="separate"/>
            </w:r>
            <w:r w:rsidRPr="00954EF7">
              <w:rPr>
                <w:bCs w:val="0"/>
                <w:iCs/>
              </w:rPr>
              <w:t>20X1</w:t>
            </w:r>
            <w:r w:rsidRPr="00954EF7">
              <w:rPr>
                <w:iCs/>
              </w:rPr>
              <w:fldChar w:fldCharType="end"/>
            </w:r>
          </w:p>
        </w:tc>
      </w:tr>
      <w:tr w:rsidR="00671D55" w14:paraId="7120C06F"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54053625" w14:textId="77777777" w:rsidR="00182709" w:rsidRDefault="0044097C">
            <w:r>
              <w:rPr>
                <w:b/>
              </w:rPr>
              <w:t>Administered financial assets</w:t>
            </w:r>
          </w:p>
        </w:tc>
        <w:tc>
          <w:tcPr>
            <w:tcW w:w="1037" w:type="dxa"/>
          </w:tcPr>
          <w:p w14:paraId="66FB19A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A152C2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294BF5B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21E38A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C6F7F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C8703B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2A5487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19D9A25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D34FA4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047197F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09A50F1D" w14:textId="77777777">
        <w:tc>
          <w:tcPr>
            <w:cnfStyle w:val="001000000000" w:firstRow="0" w:lastRow="0" w:firstColumn="1" w:lastColumn="0" w:oddVBand="0" w:evenVBand="0" w:oddHBand="0" w:evenHBand="0" w:firstRowFirstColumn="0" w:firstRowLastColumn="0" w:lastRowFirstColumn="0" w:lastRowLastColumn="0"/>
            <w:tcW w:w="4253" w:type="dxa"/>
          </w:tcPr>
          <w:p w14:paraId="0015DB0F" w14:textId="77777777" w:rsidR="00182709" w:rsidRDefault="0044097C">
            <w:r>
              <w:t>Receivables</w:t>
            </w:r>
          </w:p>
        </w:tc>
        <w:tc>
          <w:tcPr>
            <w:tcW w:w="1037" w:type="dxa"/>
          </w:tcPr>
          <w:p w14:paraId="618178C8" w14:textId="77777777" w:rsidR="00182709" w:rsidRDefault="0044097C">
            <w:pPr>
              <w:cnfStyle w:val="000000000000" w:firstRow="0" w:lastRow="0" w:firstColumn="0" w:lastColumn="0" w:oddVBand="0" w:evenVBand="0" w:oddHBand="0" w:evenHBand="0" w:firstRowFirstColumn="0" w:firstRowLastColumn="0" w:lastRowFirstColumn="0" w:lastRowLastColumn="0"/>
            </w:pPr>
            <w:r>
              <w:t>443</w:t>
            </w:r>
          </w:p>
        </w:tc>
        <w:tc>
          <w:tcPr>
            <w:tcW w:w="1038" w:type="dxa"/>
          </w:tcPr>
          <w:p w14:paraId="3F03828D" w14:textId="77777777" w:rsidR="00182709" w:rsidRDefault="0044097C">
            <w:pPr>
              <w:cnfStyle w:val="000000000000" w:firstRow="0" w:lastRow="0" w:firstColumn="0" w:lastColumn="0" w:oddVBand="0" w:evenVBand="0" w:oddHBand="0" w:evenHBand="0" w:firstRowFirstColumn="0" w:firstRowLastColumn="0" w:lastRowFirstColumn="0" w:lastRowLastColumn="0"/>
            </w:pPr>
            <w:r>
              <w:t>746</w:t>
            </w:r>
          </w:p>
        </w:tc>
        <w:tc>
          <w:tcPr>
            <w:tcW w:w="1037" w:type="dxa"/>
          </w:tcPr>
          <w:p w14:paraId="04B41FF0" w14:textId="77777777" w:rsidR="00182709" w:rsidRDefault="0044097C">
            <w:pPr>
              <w:cnfStyle w:val="000000000000" w:firstRow="0" w:lastRow="0" w:firstColumn="0" w:lastColumn="0" w:oddVBand="0" w:evenVBand="0" w:oddHBand="0" w:evenHBand="0" w:firstRowFirstColumn="0" w:firstRowLastColumn="0" w:lastRowFirstColumn="0" w:lastRowLastColumn="0"/>
            </w:pPr>
            <w:r>
              <w:t>3 242</w:t>
            </w:r>
          </w:p>
        </w:tc>
        <w:tc>
          <w:tcPr>
            <w:tcW w:w="1038" w:type="dxa"/>
          </w:tcPr>
          <w:p w14:paraId="0D39DCF5"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1 491</w:t>
            </w:r>
          </w:p>
        </w:tc>
        <w:tc>
          <w:tcPr>
            <w:tcW w:w="1038" w:type="dxa"/>
          </w:tcPr>
          <w:p w14:paraId="7FDE61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11466BBC" w14:textId="77777777" w:rsidR="00182709" w:rsidRDefault="0044097C">
            <w:pPr>
              <w:cnfStyle w:val="000000000000" w:firstRow="0" w:lastRow="0" w:firstColumn="0" w:lastColumn="0" w:oddVBand="0" w:evenVBand="0" w:oddHBand="0" w:evenHBand="0" w:firstRowFirstColumn="0" w:firstRowLastColumn="0" w:lastRowFirstColumn="0" w:lastRowLastColumn="0"/>
            </w:pPr>
            <w:r>
              <w:t>4 167</w:t>
            </w:r>
          </w:p>
        </w:tc>
        <w:tc>
          <w:tcPr>
            <w:tcW w:w="1038" w:type="dxa"/>
          </w:tcPr>
          <w:p w14:paraId="559FD2DA" w14:textId="77777777" w:rsidR="00182709" w:rsidRDefault="0044097C">
            <w:pPr>
              <w:cnfStyle w:val="000000000000" w:firstRow="0" w:lastRow="0" w:firstColumn="0" w:lastColumn="0" w:oddVBand="0" w:evenVBand="0" w:oddHBand="0" w:evenHBand="0" w:firstRowFirstColumn="0" w:firstRowLastColumn="0" w:lastRowFirstColumn="0" w:lastRowLastColumn="0"/>
            </w:pPr>
            <w:r>
              <w:t>5 407</w:t>
            </w:r>
          </w:p>
        </w:tc>
        <w:tc>
          <w:tcPr>
            <w:tcW w:w="1037" w:type="dxa"/>
          </w:tcPr>
          <w:p w14:paraId="6F68E0F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58A5F09" w14:textId="77777777" w:rsidR="00182709" w:rsidRDefault="0044097C">
            <w:pPr>
              <w:cnfStyle w:val="000000000000" w:firstRow="0" w:lastRow="0" w:firstColumn="0" w:lastColumn="0" w:oddVBand="0" w:evenVBand="0" w:oddHBand="0" w:evenHBand="0" w:firstRowFirstColumn="0" w:firstRowLastColumn="0" w:lastRowFirstColumn="0" w:lastRowLastColumn="0"/>
            </w:pPr>
            <w:r>
              <w:t>9 092</w:t>
            </w:r>
          </w:p>
        </w:tc>
        <w:tc>
          <w:tcPr>
            <w:tcW w:w="1038" w:type="dxa"/>
          </w:tcPr>
          <w:p w14:paraId="486C9BE2" w14:textId="77777777" w:rsidR="00182709" w:rsidRDefault="0044097C">
            <w:pPr>
              <w:cnfStyle w:val="000000000000" w:firstRow="0" w:lastRow="0" w:firstColumn="0" w:lastColumn="0" w:oddVBand="0" w:evenVBand="0" w:oddHBand="0" w:evenHBand="0" w:firstRowFirstColumn="0" w:firstRowLastColumn="0" w:lastRowFirstColumn="0" w:lastRowLastColumn="0"/>
            </w:pPr>
            <w:r>
              <w:t>6 404</w:t>
            </w:r>
          </w:p>
        </w:tc>
      </w:tr>
      <w:tr w:rsidR="00182709" w14:paraId="7408E085"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C416F21" w14:textId="77777777" w:rsidR="00182709" w:rsidRDefault="0044097C">
            <w:r>
              <w:t>Investments and other financial assets</w:t>
            </w:r>
          </w:p>
        </w:tc>
        <w:tc>
          <w:tcPr>
            <w:tcW w:w="1037" w:type="dxa"/>
            <w:tcBorders>
              <w:bottom w:val="single" w:sz="12" w:space="0" w:color="auto"/>
            </w:tcBorders>
          </w:tcPr>
          <w:p w14:paraId="155103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5 897</w:t>
            </w:r>
          </w:p>
        </w:tc>
        <w:tc>
          <w:tcPr>
            <w:tcW w:w="1038" w:type="dxa"/>
            <w:tcBorders>
              <w:bottom w:val="single" w:sz="12" w:space="0" w:color="auto"/>
            </w:tcBorders>
          </w:tcPr>
          <w:p w14:paraId="5FF3CC68" w14:textId="77777777" w:rsidR="00182709" w:rsidRDefault="0044097C">
            <w:pPr>
              <w:cnfStyle w:val="000000000000" w:firstRow="0" w:lastRow="0" w:firstColumn="0" w:lastColumn="0" w:oddVBand="0" w:evenVBand="0" w:oddHBand="0" w:evenHBand="0" w:firstRowFirstColumn="0" w:firstRowLastColumn="0" w:lastRowFirstColumn="0" w:lastRowLastColumn="0"/>
            </w:pPr>
            <w:r>
              <w:t>4 378</w:t>
            </w:r>
          </w:p>
        </w:tc>
        <w:tc>
          <w:tcPr>
            <w:tcW w:w="1037" w:type="dxa"/>
            <w:tcBorders>
              <w:bottom w:val="single" w:sz="12" w:space="0" w:color="auto"/>
            </w:tcBorders>
          </w:tcPr>
          <w:p w14:paraId="26F5A3AD" w14:textId="77777777" w:rsidR="00182709" w:rsidRDefault="0044097C">
            <w:pPr>
              <w:cnfStyle w:val="000000000000" w:firstRow="0" w:lastRow="0" w:firstColumn="0" w:lastColumn="0" w:oddVBand="0" w:evenVBand="0" w:oddHBand="0" w:evenHBand="0" w:firstRowFirstColumn="0" w:firstRowLastColumn="0" w:lastRowFirstColumn="0" w:lastRowLastColumn="0"/>
            </w:pPr>
            <w:r>
              <w:t>4 090</w:t>
            </w:r>
          </w:p>
        </w:tc>
        <w:tc>
          <w:tcPr>
            <w:tcW w:w="1038" w:type="dxa"/>
            <w:tcBorders>
              <w:bottom w:val="single" w:sz="12" w:space="0" w:color="auto"/>
            </w:tcBorders>
          </w:tcPr>
          <w:p w14:paraId="3894DAEC" w14:textId="77777777" w:rsidR="00182709" w:rsidRDefault="0044097C">
            <w:pPr>
              <w:cnfStyle w:val="000000000000" w:firstRow="0" w:lastRow="0" w:firstColumn="0" w:lastColumn="0" w:oddVBand="0" w:evenVBand="0" w:oddHBand="0" w:evenHBand="0" w:firstRowFirstColumn="0" w:firstRowLastColumn="0" w:lastRowFirstColumn="0" w:lastRowLastColumn="0"/>
            </w:pPr>
            <w:r>
              <w:t>3 051</w:t>
            </w:r>
          </w:p>
        </w:tc>
        <w:tc>
          <w:tcPr>
            <w:tcW w:w="1038" w:type="dxa"/>
            <w:tcBorders>
              <w:bottom w:val="single" w:sz="12" w:space="0" w:color="auto"/>
            </w:tcBorders>
          </w:tcPr>
          <w:p w14:paraId="419F569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18CABECC" w14:textId="77777777" w:rsidR="00182709" w:rsidRDefault="0044097C">
            <w:pPr>
              <w:cnfStyle w:val="000000000000" w:firstRow="0" w:lastRow="0" w:firstColumn="0" w:lastColumn="0" w:oddVBand="0" w:evenVBand="0" w:oddHBand="0" w:evenHBand="0" w:firstRowFirstColumn="0" w:firstRowLastColumn="0" w:lastRowFirstColumn="0" w:lastRowLastColumn="0"/>
            </w:pPr>
            <w:r>
              <w:t>4 573</w:t>
            </w:r>
          </w:p>
        </w:tc>
        <w:tc>
          <w:tcPr>
            <w:tcW w:w="1038" w:type="dxa"/>
            <w:tcBorders>
              <w:bottom w:val="single" w:sz="12" w:space="0" w:color="auto"/>
            </w:tcBorders>
          </w:tcPr>
          <w:p w14:paraId="350651F4" w14:textId="77777777" w:rsidR="00182709" w:rsidRDefault="0044097C">
            <w:pPr>
              <w:cnfStyle w:val="000000000000" w:firstRow="0" w:lastRow="0" w:firstColumn="0" w:lastColumn="0" w:oddVBand="0" w:evenVBand="0" w:oddHBand="0" w:evenHBand="0" w:firstRowFirstColumn="0" w:firstRowLastColumn="0" w:lastRowFirstColumn="0" w:lastRowLastColumn="0"/>
            </w:pPr>
            <w:r>
              <w:t>2 245</w:t>
            </w:r>
          </w:p>
        </w:tc>
        <w:tc>
          <w:tcPr>
            <w:tcW w:w="1037" w:type="dxa"/>
            <w:tcBorders>
              <w:bottom w:val="single" w:sz="12" w:space="0" w:color="auto"/>
            </w:tcBorders>
          </w:tcPr>
          <w:p w14:paraId="4E82E02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DDECC5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12 232</w:t>
            </w:r>
          </w:p>
        </w:tc>
        <w:tc>
          <w:tcPr>
            <w:tcW w:w="1038" w:type="dxa"/>
            <w:tcBorders>
              <w:bottom w:val="single" w:sz="12" w:space="0" w:color="auto"/>
            </w:tcBorders>
          </w:tcPr>
          <w:p w14:paraId="375286C4" w14:textId="77777777" w:rsidR="00182709" w:rsidRDefault="0044097C">
            <w:pPr>
              <w:cnfStyle w:val="000000000000" w:firstRow="0" w:lastRow="0" w:firstColumn="0" w:lastColumn="0" w:oddVBand="0" w:evenVBand="0" w:oddHBand="0" w:evenHBand="0" w:firstRowFirstColumn="0" w:firstRowLastColumn="0" w:lastRowFirstColumn="0" w:lastRowLastColumn="0"/>
            </w:pPr>
            <w:r>
              <w:t>12 002</w:t>
            </w:r>
          </w:p>
        </w:tc>
      </w:tr>
      <w:tr w:rsidR="00671D55" w14:paraId="17B5F16A"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139A4DEC" w14:textId="77777777" w:rsidR="00182709" w:rsidRDefault="0044097C">
            <w:r>
              <w:rPr>
                <w:b/>
              </w:rPr>
              <w:t>Total administered financial assets</w:t>
            </w:r>
          </w:p>
        </w:tc>
        <w:tc>
          <w:tcPr>
            <w:tcW w:w="1037" w:type="dxa"/>
          </w:tcPr>
          <w:p w14:paraId="21AC171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6 340</w:t>
            </w:r>
          </w:p>
        </w:tc>
        <w:tc>
          <w:tcPr>
            <w:tcW w:w="1038" w:type="dxa"/>
          </w:tcPr>
          <w:p w14:paraId="61FEF50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5 124</w:t>
            </w:r>
          </w:p>
        </w:tc>
        <w:tc>
          <w:tcPr>
            <w:tcW w:w="1037" w:type="dxa"/>
          </w:tcPr>
          <w:p w14:paraId="0D0B94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7 332</w:t>
            </w:r>
          </w:p>
        </w:tc>
        <w:tc>
          <w:tcPr>
            <w:tcW w:w="1038" w:type="dxa"/>
          </w:tcPr>
          <w:p w14:paraId="104B818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4 542</w:t>
            </w:r>
          </w:p>
        </w:tc>
        <w:tc>
          <w:tcPr>
            <w:tcW w:w="1038" w:type="dxa"/>
          </w:tcPr>
          <w:p w14:paraId="3BB512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2C8A04E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8 740</w:t>
            </w:r>
          </w:p>
        </w:tc>
        <w:tc>
          <w:tcPr>
            <w:tcW w:w="1038" w:type="dxa"/>
          </w:tcPr>
          <w:p w14:paraId="45EB02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7 652</w:t>
            </w:r>
          </w:p>
        </w:tc>
        <w:tc>
          <w:tcPr>
            <w:tcW w:w="1037" w:type="dxa"/>
          </w:tcPr>
          <w:p w14:paraId="63BBDC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390B259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21 324</w:t>
            </w:r>
          </w:p>
        </w:tc>
        <w:tc>
          <w:tcPr>
            <w:tcW w:w="1038" w:type="dxa"/>
          </w:tcPr>
          <w:p w14:paraId="7BAEC2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18 406</w:t>
            </w:r>
          </w:p>
        </w:tc>
      </w:tr>
      <w:tr w:rsidR="00671D55" w14:paraId="7676614E"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63E091CC" w14:textId="77777777" w:rsidR="00182709" w:rsidRDefault="0044097C">
            <w:r>
              <w:rPr>
                <w:b/>
              </w:rPr>
              <w:t>Administered non‑financial assets</w:t>
            </w:r>
            <w:r>
              <w:rPr>
                <w:b/>
                <w:vertAlign w:val="superscript"/>
              </w:rPr>
              <w:t xml:space="preserve"> (c)</w:t>
            </w:r>
          </w:p>
        </w:tc>
        <w:tc>
          <w:tcPr>
            <w:tcW w:w="1037" w:type="dxa"/>
          </w:tcPr>
          <w:p w14:paraId="39463C2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67EF72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5FDCF34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3A6DCF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1C3D98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717C57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A48B09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61AAB04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C39421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6BA99C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31658F4" w14:textId="77777777">
        <w:tc>
          <w:tcPr>
            <w:cnfStyle w:val="001000000000" w:firstRow="0" w:lastRow="0" w:firstColumn="1" w:lastColumn="0" w:oddVBand="0" w:evenVBand="0" w:oddHBand="0" w:evenHBand="0" w:firstRowFirstColumn="0" w:firstRowLastColumn="0" w:lastRowFirstColumn="0" w:lastRowLastColumn="0"/>
            <w:tcW w:w="4253" w:type="dxa"/>
          </w:tcPr>
          <w:p w14:paraId="4949C9E7" w14:textId="77777777" w:rsidR="00182709" w:rsidRDefault="0044097C">
            <w:r>
              <w:t>Inventories</w:t>
            </w:r>
          </w:p>
        </w:tc>
        <w:tc>
          <w:tcPr>
            <w:tcW w:w="1037" w:type="dxa"/>
          </w:tcPr>
          <w:p w14:paraId="2ED37E5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02A24D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27816AE6" w14:textId="77777777" w:rsidR="00182709" w:rsidRDefault="0044097C">
            <w:pPr>
              <w:cnfStyle w:val="000000000000" w:firstRow="0" w:lastRow="0" w:firstColumn="0" w:lastColumn="0" w:oddVBand="0" w:evenVBand="0" w:oddHBand="0" w:evenHBand="0" w:firstRowFirstColumn="0" w:firstRowLastColumn="0" w:lastRowFirstColumn="0" w:lastRowLastColumn="0"/>
            </w:pPr>
            <w:r>
              <w:t>243</w:t>
            </w:r>
          </w:p>
        </w:tc>
        <w:tc>
          <w:tcPr>
            <w:tcW w:w="1038" w:type="dxa"/>
          </w:tcPr>
          <w:p w14:paraId="2AEECFA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6A0F8D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0876E1F1" w14:textId="77777777" w:rsidR="00182709" w:rsidRDefault="0044097C">
            <w:pPr>
              <w:cnfStyle w:val="000000000000" w:firstRow="0" w:lastRow="0" w:firstColumn="0" w:lastColumn="0" w:oddVBand="0" w:evenVBand="0" w:oddHBand="0" w:evenHBand="0" w:firstRowFirstColumn="0" w:firstRowLastColumn="0" w:lastRowFirstColumn="0" w:lastRowLastColumn="0"/>
            </w:pPr>
            <w:r>
              <w:t>1 894</w:t>
            </w:r>
          </w:p>
        </w:tc>
        <w:tc>
          <w:tcPr>
            <w:tcW w:w="1038" w:type="dxa"/>
          </w:tcPr>
          <w:p w14:paraId="53C696DE" w14:textId="77777777" w:rsidR="00182709" w:rsidRDefault="0044097C">
            <w:pPr>
              <w:cnfStyle w:val="000000000000" w:firstRow="0" w:lastRow="0" w:firstColumn="0" w:lastColumn="0" w:oddVBand="0" w:evenVBand="0" w:oddHBand="0" w:evenHBand="0" w:firstRowFirstColumn="0" w:firstRowLastColumn="0" w:lastRowFirstColumn="0" w:lastRowLastColumn="0"/>
            </w:pPr>
            <w:r>
              <w:t>1 109</w:t>
            </w:r>
          </w:p>
        </w:tc>
        <w:tc>
          <w:tcPr>
            <w:tcW w:w="1037" w:type="dxa"/>
          </w:tcPr>
          <w:p w14:paraId="0496A4F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22430A78" w14:textId="77777777" w:rsidR="00182709" w:rsidRDefault="0044097C">
            <w:pPr>
              <w:cnfStyle w:val="000000000000" w:firstRow="0" w:lastRow="0" w:firstColumn="0" w:lastColumn="0" w:oddVBand="0" w:evenVBand="0" w:oddHBand="0" w:evenHBand="0" w:firstRowFirstColumn="0" w:firstRowLastColumn="0" w:lastRowFirstColumn="0" w:lastRowLastColumn="0"/>
            </w:pPr>
            <w:r>
              <w:t>1 352</w:t>
            </w:r>
          </w:p>
        </w:tc>
        <w:tc>
          <w:tcPr>
            <w:tcW w:w="1038" w:type="dxa"/>
          </w:tcPr>
          <w:p w14:paraId="00F571AB" w14:textId="77777777" w:rsidR="00182709" w:rsidRDefault="0044097C">
            <w:pPr>
              <w:cnfStyle w:val="000000000000" w:firstRow="0" w:lastRow="0" w:firstColumn="0" w:lastColumn="0" w:oddVBand="0" w:evenVBand="0" w:oddHBand="0" w:evenHBand="0" w:firstRowFirstColumn="0" w:firstRowLastColumn="0" w:lastRowFirstColumn="0" w:lastRowLastColumn="0"/>
            </w:pPr>
            <w:r>
              <w:t>1 894</w:t>
            </w:r>
          </w:p>
        </w:tc>
      </w:tr>
      <w:tr w:rsidR="00182709" w14:paraId="1D606D8B"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6B5F6C72" w14:textId="77777777" w:rsidR="00182709" w:rsidRDefault="0044097C">
            <w:r>
              <w:t>Prepayments</w:t>
            </w:r>
          </w:p>
        </w:tc>
        <w:tc>
          <w:tcPr>
            <w:tcW w:w="1037" w:type="dxa"/>
            <w:tcBorders>
              <w:bottom w:val="single" w:sz="12" w:space="0" w:color="auto"/>
            </w:tcBorders>
          </w:tcPr>
          <w:p w14:paraId="46D0349E" w14:textId="77777777" w:rsidR="00182709" w:rsidRDefault="0044097C">
            <w:pPr>
              <w:cnfStyle w:val="000000000000" w:firstRow="0" w:lastRow="0" w:firstColumn="0" w:lastColumn="0" w:oddVBand="0" w:evenVBand="0" w:oddHBand="0" w:evenHBand="0" w:firstRowFirstColumn="0" w:firstRowLastColumn="0" w:lastRowFirstColumn="0" w:lastRowLastColumn="0"/>
            </w:pPr>
            <w:r>
              <w:t>578</w:t>
            </w:r>
          </w:p>
        </w:tc>
        <w:tc>
          <w:tcPr>
            <w:tcW w:w="1038" w:type="dxa"/>
            <w:tcBorders>
              <w:bottom w:val="single" w:sz="12" w:space="0" w:color="auto"/>
            </w:tcBorders>
          </w:tcPr>
          <w:p w14:paraId="3C7F7E1F" w14:textId="77777777" w:rsidR="00182709" w:rsidRDefault="0044097C">
            <w:pPr>
              <w:cnfStyle w:val="000000000000" w:firstRow="0" w:lastRow="0" w:firstColumn="0" w:lastColumn="0" w:oddVBand="0" w:evenVBand="0" w:oddHBand="0" w:evenHBand="0" w:firstRowFirstColumn="0" w:firstRowLastColumn="0" w:lastRowFirstColumn="0" w:lastRowLastColumn="0"/>
            </w:pPr>
            <w:r>
              <w:t>872</w:t>
            </w:r>
          </w:p>
        </w:tc>
        <w:tc>
          <w:tcPr>
            <w:tcW w:w="1037" w:type="dxa"/>
            <w:tcBorders>
              <w:bottom w:val="single" w:sz="12" w:space="0" w:color="auto"/>
            </w:tcBorders>
          </w:tcPr>
          <w:p w14:paraId="0216343F" w14:textId="77777777" w:rsidR="00182709" w:rsidRDefault="0044097C">
            <w:pPr>
              <w:cnfStyle w:val="000000000000" w:firstRow="0" w:lastRow="0" w:firstColumn="0" w:lastColumn="0" w:oddVBand="0" w:evenVBand="0" w:oddHBand="0" w:evenHBand="0" w:firstRowFirstColumn="0" w:firstRowLastColumn="0" w:lastRowFirstColumn="0" w:lastRowLastColumn="0"/>
            </w:pPr>
            <w:r>
              <w:t>326</w:t>
            </w:r>
          </w:p>
        </w:tc>
        <w:tc>
          <w:tcPr>
            <w:tcW w:w="1038" w:type="dxa"/>
            <w:tcBorders>
              <w:bottom w:val="single" w:sz="12" w:space="0" w:color="auto"/>
            </w:tcBorders>
          </w:tcPr>
          <w:p w14:paraId="28DF0538" w14:textId="77777777" w:rsidR="00182709" w:rsidRDefault="0044097C">
            <w:pPr>
              <w:cnfStyle w:val="000000000000" w:firstRow="0" w:lastRow="0" w:firstColumn="0" w:lastColumn="0" w:oddVBand="0" w:evenVBand="0" w:oddHBand="0" w:evenHBand="0" w:firstRowFirstColumn="0" w:firstRowLastColumn="0" w:lastRowFirstColumn="0" w:lastRowLastColumn="0"/>
            </w:pPr>
            <w:r>
              <w:t>537</w:t>
            </w:r>
          </w:p>
        </w:tc>
        <w:tc>
          <w:tcPr>
            <w:tcW w:w="1038" w:type="dxa"/>
            <w:tcBorders>
              <w:bottom w:val="single" w:sz="12" w:space="0" w:color="auto"/>
            </w:tcBorders>
          </w:tcPr>
          <w:p w14:paraId="0ED7EEE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0CF47E7E" w14:textId="77777777" w:rsidR="00182709" w:rsidRDefault="0044097C">
            <w:pPr>
              <w:cnfStyle w:val="000000000000" w:firstRow="0" w:lastRow="0" w:firstColumn="0" w:lastColumn="0" w:oddVBand="0" w:evenVBand="0" w:oddHBand="0" w:evenHBand="0" w:firstRowFirstColumn="0" w:firstRowLastColumn="0" w:lastRowFirstColumn="0" w:lastRowLastColumn="0"/>
            </w:pPr>
            <w:r>
              <w:t>901</w:t>
            </w:r>
          </w:p>
        </w:tc>
        <w:tc>
          <w:tcPr>
            <w:tcW w:w="1038" w:type="dxa"/>
            <w:tcBorders>
              <w:bottom w:val="single" w:sz="12" w:space="0" w:color="auto"/>
            </w:tcBorders>
          </w:tcPr>
          <w:p w14:paraId="1AA55D33" w14:textId="77777777" w:rsidR="00182709" w:rsidRDefault="0044097C">
            <w:pPr>
              <w:cnfStyle w:val="000000000000" w:firstRow="0" w:lastRow="0" w:firstColumn="0" w:lastColumn="0" w:oddVBand="0" w:evenVBand="0" w:oddHBand="0" w:evenHBand="0" w:firstRowFirstColumn="0" w:firstRowLastColumn="0" w:lastRowFirstColumn="0" w:lastRowLastColumn="0"/>
            </w:pPr>
            <w:r>
              <w:t>783</w:t>
            </w:r>
          </w:p>
        </w:tc>
        <w:tc>
          <w:tcPr>
            <w:tcW w:w="1037" w:type="dxa"/>
            <w:tcBorders>
              <w:bottom w:val="single" w:sz="12" w:space="0" w:color="auto"/>
            </w:tcBorders>
          </w:tcPr>
          <w:p w14:paraId="54F5348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5DEE3348" w14:textId="77777777" w:rsidR="00182709" w:rsidRDefault="0044097C">
            <w:pPr>
              <w:cnfStyle w:val="000000000000" w:firstRow="0" w:lastRow="0" w:firstColumn="0" w:lastColumn="0" w:oddVBand="0" w:evenVBand="0" w:oddHBand="0" w:evenHBand="0" w:firstRowFirstColumn="0" w:firstRowLastColumn="0" w:lastRowFirstColumn="0" w:lastRowLastColumn="0"/>
            </w:pPr>
            <w:r>
              <w:t>1 687</w:t>
            </w:r>
          </w:p>
        </w:tc>
        <w:tc>
          <w:tcPr>
            <w:tcW w:w="1038" w:type="dxa"/>
            <w:tcBorders>
              <w:bottom w:val="single" w:sz="12" w:space="0" w:color="auto"/>
            </w:tcBorders>
          </w:tcPr>
          <w:p w14:paraId="16322920" w14:textId="77777777" w:rsidR="00182709" w:rsidRDefault="0044097C">
            <w:pPr>
              <w:cnfStyle w:val="000000000000" w:firstRow="0" w:lastRow="0" w:firstColumn="0" w:lastColumn="0" w:oddVBand="0" w:evenVBand="0" w:oddHBand="0" w:evenHBand="0" w:firstRowFirstColumn="0" w:firstRowLastColumn="0" w:lastRowFirstColumn="0" w:lastRowLastColumn="0"/>
            </w:pPr>
            <w:r>
              <w:t>2 310</w:t>
            </w:r>
          </w:p>
        </w:tc>
      </w:tr>
      <w:tr w:rsidR="00671D55" w14:paraId="63F10281"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17573AD3" w14:textId="77777777" w:rsidR="00182709" w:rsidRDefault="0044097C">
            <w:r>
              <w:rPr>
                <w:b/>
              </w:rPr>
              <w:t>Total administered non‑financial assets</w:t>
            </w:r>
          </w:p>
        </w:tc>
        <w:tc>
          <w:tcPr>
            <w:tcW w:w="1037" w:type="dxa"/>
          </w:tcPr>
          <w:p w14:paraId="087875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578</w:t>
            </w:r>
          </w:p>
        </w:tc>
        <w:tc>
          <w:tcPr>
            <w:tcW w:w="1038" w:type="dxa"/>
          </w:tcPr>
          <w:p w14:paraId="1040F9A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872</w:t>
            </w:r>
          </w:p>
        </w:tc>
        <w:tc>
          <w:tcPr>
            <w:tcW w:w="1037" w:type="dxa"/>
          </w:tcPr>
          <w:p w14:paraId="27B67E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569</w:t>
            </w:r>
          </w:p>
        </w:tc>
        <w:tc>
          <w:tcPr>
            <w:tcW w:w="1038" w:type="dxa"/>
          </w:tcPr>
          <w:p w14:paraId="1F1CA74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537</w:t>
            </w:r>
          </w:p>
        </w:tc>
        <w:tc>
          <w:tcPr>
            <w:tcW w:w="1038" w:type="dxa"/>
          </w:tcPr>
          <w:p w14:paraId="294A823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2A7385D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2 795</w:t>
            </w:r>
          </w:p>
        </w:tc>
        <w:tc>
          <w:tcPr>
            <w:tcW w:w="1038" w:type="dxa"/>
          </w:tcPr>
          <w:p w14:paraId="2CE2C3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1 892</w:t>
            </w:r>
          </w:p>
        </w:tc>
        <w:tc>
          <w:tcPr>
            <w:tcW w:w="1037" w:type="dxa"/>
          </w:tcPr>
          <w:p w14:paraId="126B49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38E6D6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3 039</w:t>
            </w:r>
          </w:p>
        </w:tc>
        <w:tc>
          <w:tcPr>
            <w:tcW w:w="1038" w:type="dxa"/>
          </w:tcPr>
          <w:p w14:paraId="0AB71F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4 204</w:t>
            </w:r>
          </w:p>
        </w:tc>
      </w:tr>
      <w:tr w:rsidR="00671D55" w14:paraId="21A33017"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0FCB60BB" w14:textId="77777777" w:rsidR="00182709" w:rsidRDefault="0044097C">
            <w:r>
              <w:rPr>
                <w:b/>
              </w:rPr>
              <w:t>Total administered assets</w:t>
            </w:r>
          </w:p>
        </w:tc>
        <w:tc>
          <w:tcPr>
            <w:tcW w:w="1037" w:type="dxa"/>
          </w:tcPr>
          <w:p w14:paraId="084A98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6 918</w:t>
            </w:r>
          </w:p>
        </w:tc>
        <w:tc>
          <w:tcPr>
            <w:tcW w:w="1038" w:type="dxa"/>
          </w:tcPr>
          <w:p w14:paraId="30C9A45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5 996</w:t>
            </w:r>
          </w:p>
        </w:tc>
        <w:tc>
          <w:tcPr>
            <w:tcW w:w="1037" w:type="dxa"/>
          </w:tcPr>
          <w:p w14:paraId="42B38E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7 901</w:t>
            </w:r>
          </w:p>
        </w:tc>
        <w:tc>
          <w:tcPr>
            <w:tcW w:w="1038" w:type="dxa"/>
          </w:tcPr>
          <w:p w14:paraId="7D73803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5 079</w:t>
            </w:r>
          </w:p>
        </w:tc>
        <w:tc>
          <w:tcPr>
            <w:tcW w:w="1038" w:type="dxa"/>
          </w:tcPr>
          <w:p w14:paraId="530AB3F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5CA7F46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11 535</w:t>
            </w:r>
          </w:p>
        </w:tc>
        <w:tc>
          <w:tcPr>
            <w:tcW w:w="1038" w:type="dxa"/>
          </w:tcPr>
          <w:p w14:paraId="3258318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9 544</w:t>
            </w:r>
          </w:p>
        </w:tc>
        <w:tc>
          <w:tcPr>
            <w:tcW w:w="1037" w:type="dxa"/>
          </w:tcPr>
          <w:p w14:paraId="7C7078D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01D8621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24 363</w:t>
            </w:r>
          </w:p>
        </w:tc>
        <w:tc>
          <w:tcPr>
            <w:tcW w:w="1038" w:type="dxa"/>
          </w:tcPr>
          <w:p w14:paraId="6537D6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22 610</w:t>
            </w:r>
          </w:p>
        </w:tc>
      </w:tr>
      <w:tr w:rsidR="00671D55" w14:paraId="0C129BC8"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33C341E1" w14:textId="77777777" w:rsidR="00182709" w:rsidRDefault="0044097C">
            <w:r>
              <w:rPr>
                <w:b/>
              </w:rPr>
              <w:t>Administered liabilities</w:t>
            </w:r>
            <w:r>
              <w:rPr>
                <w:b/>
                <w:vertAlign w:val="superscript"/>
              </w:rPr>
              <w:t xml:space="preserve"> (d)</w:t>
            </w:r>
          </w:p>
        </w:tc>
        <w:tc>
          <w:tcPr>
            <w:tcW w:w="1037" w:type="dxa"/>
          </w:tcPr>
          <w:p w14:paraId="64C318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2B975B3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68929B0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B51494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87539C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2436735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57F3A79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7" w:type="dxa"/>
          </w:tcPr>
          <w:p w14:paraId="39716E0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F95D28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38" w:type="dxa"/>
          </w:tcPr>
          <w:p w14:paraId="41BAB81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7734288" w14:textId="77777777">
        <w:tc>
          <w:tcPr>
            <w:cnfStyle w:val="001000000000" w:firstRow="0" w:lastRow="0" w:firstColumn="1" w:lastColumn="0" w:oddVBand="0" w:evenVBand="0" w:oddHBand="0" w:evenHBand="0" w:firstRowFirstColumn="0" w:firstRowLastColumn="0" w:lastRowFirstColumn="0" w:lastRowLastColumn="0"/>
            <w:tcW w:w="4253" w:type="dxa"/>
          </w:tcPr>
          <w:p w14:paraId="476A8A19" w14:textId="77777777" w:rsidR="00182709" w:rsidRDefault="0044097C">
            <w:r>
              <w:t>Payables</w:t>
            </w:r>
          </w:p>
        </w:tc>
        <w:tc>
          <w:tcPr>
            <w:tcW w:w="1037" w:type="dxa"/>
          </w:tcPr>
          <w:p w14:paraId="5D40C78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1 364</w:t>
            </w:r>
          </w:p>
        </w:tc>
        <w:tc>
          <w:tcPr>
            <w:tcW w:w="1038" w:type="dxa"/>
          </w:tcPr>
          <w:p w14:paraId="1932ABAF" w14:textId="77777777" w:rsidR="00182709" w:rsidRDefault="0044097C">
            <w:pPr>
              <w:cnfStyle w:val="000000000000" w:firstRow="0" w:lastRow="0" w:firstColumn="0" w:lastColumn="0" w:oddVBand="0" w:evenVBand="0" w:oddHBand="0" w:evenHBand="0" w:firstRowFirstColumn="0" w:firstRowLastColumn="0" w:lastRowFirstColumn="0" w:lastRowLastColumn="0"/>
            </w:pPr>
            <w:r>
              <w:t>1 093</w:t>
            </w:r>
          </w:p>
        </w:tc>
        <w:tc>
          <w:tcPr>
            <w:tcW w:w="1037" w:type="dxa"/>
          </w:tcPr>
          <w:p w14:paraId="47F109CD" w14:textId="77777777" w:rsidR="00182709" w:rsidRDefault="0044097C">
            <w:pPr>
              <w:cnfStyle w:val="000000000000" w:firstRow="0" w:lastRow="0" w:firstColumn="0" w:lastColumn="0" w:oddVBand="0" w:evenVBand="0" w:oddHBand="0" w:evenHBand="0" w:firstRowFirstColumn="0" w:firstRowLastColumn="0" w:lastRowFirstColumn="0" w:lastRowLastColumn="0"/>
            </w:pPr>
            <w:r>
              <w:t>921</w:t>
            </w:r>
          </w:p>
        </w:tc>
        <w:tc>
          <w:tcPr>
            <w:tcW w:w="1038" w:type="dxa"/>
          </w:tcPr>
          <w:p w14:paraId="0511E447" w14:textId="77777777" w:rsidR="00182709" w:rsidRDefault="0044097C">
            <w:pPr>
              <w:cnfStyle w:val="000000000000" w:firstRow="0" w:lastRow="0" w:firstColumn="0" w:lastColumn="0" w:oddVBand="0" w:evenVBand="0" w:oddHBand="0" w:evenHBand="0" w:firstRowFirstColumn="0" w:firstRowLastColumn="0" w:lastRowFirstColumn="0" w:lastRowLastColumn="0"/>
            </w:pPr>
            <w:r>
              <w:t>849</w:t>
            </w:r>
          </w:p>
        </w:tc>
        <w:tc>
          <w:tcPr>
            <w:tcW w:w="1038" w:type="dxa"/>
          </w:tcPr>
          <w:p w14:paraId="1A6F335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Pr>
          <w:p w14:paraId="371239C6" w14:textId="77777777" w:rsidR="00182709" w:rsidRDefault="0044097C">
            <w:pPr>
              <w:cnfStyle w:val="000000000000" w:firstRow="0" w:lastRow="0" w:firstColumn="0" w:lastColumn="0" w:oddVBand="0" w:evenVBand="0" w:oddHBand="0" w:evenHBand="0" w:firstRowFirstColumn="0" w:firstRowLastColumn="0" w:lastRowFirstColumn="0" w:lastRowLastColumn="0"/>
            </w:pPr>
            <w:r>
              <w:t>2 277</w:t>
            </w:r>
          </w:p>
        </w:tc>
        <w:tc>
          <w:tcPr>
            <w:tcW w:w="1038" w:type="dxa"/>
          </w:tcPr>
          <w:p w14:paraId="513F233E" w14:textId="77777777" w:rsidR="00182709" w:rsidRDefault="0044097C">
            <w:pPr>
              <w:cnfStyle w:val="000000000000" w:firstRow="0" w:lastRow="0" w:firstColumn="0" w:lastColumn="0" w:oddVBand="0" w:evenVBand="0" w:oddHBand="0" w:evenHBand="0" w:firstRowFirstColumn="0" w:firstRowLastColumn="0" w:lastRowFirstColumn="0" w:lastRowLastColumn="0"/>
            </w:pPr>
            <w:r>
              <w:t>2 107</w:t>
            </w:r>
          </w:p>
        </w:tc>
        <w:tc>
          <w:tcPr>
            <w:tcW w:w="1037" w:type="dxa"/>
          </w:tcPr>
          <w:p w14:paraId="7E37D1D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Pr>
          <w:p w14:paraId="3E7A40E2" w14:textId="77777777" w:rsidR="00182709" w:rsidRDefault="0044097C">
            <w:pPr>
              <w:cnfStyle w:val="000000000000" w:firstRow="0" w:lastRow="0" w:firstColumn="0" w:lastColumn="0" w:oddVBand="0" w:evenVBand="0" w:oddHBand="0" w:evenHBand="0" w:firstRowFirstColumn="0" w:firstRowLastColumn="0" w:lastRowFirstColumn="0" w:lastRowLastColumn="0"/>
            </w:pPr>
            <w:r>
              <w:t>4 392</w:t>
            </w:r>
          </w:p>
        </w:tc>
        <w:tc>
          <w:tcPr>
            <w:tcW w:w="1038" w:type="dxa"/>
          </w:tcPr>
          <w:p w14:paraId="7317E9DA"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4 219</w:t>
            </w:r>
          </w:p>
        </w:tc>
      </w:tr>
      <w:tr w:rsidR="00182709" w14:paraId="063EFF46" w14:textId="77777777" w:rsidTr="00182709">
        <w:tc>
          <w:tcPr>
            <w:cnfStyle w:val="001000000000" w:firstRow="0" w:lastRow="0" w:firstColumn="1" w:lastColumn="0" w:oddVBand="0" w:evenVBand="0" w:oddHBand="0" w:evenHBand="0" w:firstRowFirstColumn="0" w:firstRowLastColumn="0" w:lastRowFirstColumn="0" w:lastRowLastColumn="0"/>
            <w:tcW w:w="4253" w:type="dxa"/>
            <w:tcBorders>
              <w:bottom w:val="single" w:sz="12" w:space="0" w:color="auto"/>
            </w:tcBorders>
          </w:tcPr>
          <w:p w14:paraId="1BCC62CE" w14:textId="77777777" w:rsidR="00182709" w:rsidRDefault="0044097C">
            <w:r>
              <w:t>Borrowings</w:t>
            </w:r>
          </w:p>
        </w:tc>
        <w:tc>
          <w:tcPr>
            <w:tcW w:w="1037" w:type="dxa"/>
            <w:tcBorders>
              <w:bottom w:val="single" w:sz="12" w:space="0" w:color="auto"/>
            </w:tcBorders>
          </w:tcPr>
          <w:p w14:paraId="0AF73502" w14:textId="77777777" w:rsidR="00182709" w:rsidRDefault="0044097C">
            <w:pPr>
              <w:cnfStyle w:val="000000000000" w:firstRow="0" w:lastRow="0" w:firstColumn="0" w:lastColumn="0" w:oddVBand="0" w:evenVBand="0" w:oddHBand="0" w:evenHBand="0" w:firstRowFirstColumn="0" w:firstRowLastColumn="0" w:lastRowFirstColumn="0" w:lastRowLastColumn="0"/>
            </w:pPr>
            <w:r>
              <w:t>2 015</w:t>
            </w:r>
          </w:p>
        </w:tc>
        <w:tc>
          <w:tcPr>
            <w:tcW w:w="1038" w:type="dxa"/>
            <w:tcBorders>
              <w:bottom w:val="single" w:sz="12" w:space="0" w:color="auto"/>
            </w:tcBorders>
          </w:tcPr>
          <w:p w14:paraId="48B93BBB" w14:textId="77777777" w:rsidR="00182709" w:rsidRDefault="0044097C">
            <w:pPr>
              <w:cnfStyle w:val="000000000000" w:firstRow="0" w:lastRow="0" w:firstColumn="0" w:lastColumn="0" w:oddVBand="0" w:evenVBand="0" w:oddHBand="0" w:evenHBand="0" w:firstRowFirstColumn="0" w:firstRowLastColumn="0" w:lastRowFirstColumn="0" w:lastRowLastColumn="0"/>
            </w:pPr>
            <w:r>
              <w:t>2 227</w:t>
            </w:r>
          </w:p>
        </w:tc>
        <w:tc>
          <w:tcPr>
            <w:tcW w:w="1037" w:type="dxa"/>
            <w:tcBorders>
              <w:bottom w:val="single" w:sz="12" w:space="0" w:color="auto"/>
            </w:tcBorders>
          </w:tcPr>
          <w:p w14:paraId="05356302" w14:textId="77777777" w:rsidR="00182709" w:rsidRDefault="0044097C">
            <w:pPr>
              <w:cnfStyle w:val="000000000000" w:firstRow="0" w:lastRow="0" w:firstColumn="0" w:lastColumn="0" w:oddVBand="0" w:evenVBand="0" w:oddHBand="0" w:evenHBand="0" w:firstRowFirstColumn="0" w:firstRowLastColumn="0" w:lastRowFirstColumn="0" w:lastRowLastColumn="0"/>
            </w:pPr>
            <w:r>
              <w:t>543</w:t>
            </w:r>
          </w:p>
        </w:tc>
        <w:tc>
          <w:tcPr>
            <w:tcW w:w="1038" w:type="dxa"/>
            <w:tcBorders>
              <w:bottom w:val="single" w:sz="12" w:space="0" w:color="auto"/>
            </w:tcBorders>
          </w:tcPr>
          <w:p w14:paraId="6C23F0AE" w14:textId="77777777" w:rsidR="00182709" w:rsidRDefault="0044097C">
            <w:pPr>
              <w:cnfStyle w:val="000000000000" w:firstRow="0" w:lastRow="0" w:firstColumn="0" w:lastColumn="0" w:oddVBand="0" w:evenVBand="0" w:oddHBand="0" w:evenHBand="0" w:firstRowFirstColumn="0" w:firstRowLastColumn="0" w:lastRowFirstColumn="0" w:lastRowLastColumn="0"/>
            </w:pPr>
            <w:r>
              <w:t>764</w:t>
            </w:r>
          </w:p>
        </w:tc>
        <w:tc>
          <w:tcPr>
            <w:tcW w:w="1038" w:type="dxa"/>
            <w:tcBorders>
              <w:bottom w:val="single" w:sz="12" w:space="0" w:color="auto"/>
            </w:tcBorders>
          </w:tcPr>
          <w:p w14:paraId="39D542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7" w:type="dxa"/>
            <w:tcBorders>
              <w:bottom w:val="single" w:sz="12" w:space="0" w:color="auto"/>
            </w:tcBorders>
          </w:tcPr>
          <w:p w14:paraId="45710C4A" w14:textId="77777777" w:rsidR="00182709" w:rsidRDefault="0044097C">
            <w:pPr>
              <w:cnfStyle w:val="000000000000" w:firstRow="0" w:lastRow="0" w:firstColumn="0" w:lastColumn="0" w:oddVBand="0" w:evenVBand="0" w:oddHBand="0" w:evenHBand="0" w:firstRowFirstColumn="0" w:firstRowLastColumn="0" w:lastRowFirstColumn="0" w:lastRowLastColumn="0"/>
            </w:pPr>
            <w:r>
              <w:t>272</w:t>
            </w:r>
          </w:p>
        </w:tc>
        <w:tc>
          <w:tcPr>
            <w:tcW w:w="1038" w:type="dxa"/>
            <w:tcBorders>
              <w:bottom w:val="single" w:sz="12" w:space="0" w:color="auto"/>
            </w:tcBorders>
          </w:tcPr>
          <w:p w14:paraId="1CF14DD9" w14:textId="77777777" w:rsidR="00182709" w:rsidRDefault="0044097C">
            <w:pPr>
              <w:cnfStyle w:val="000000000000" w:firstRow="0" w:lastRow="0" w:firstColumn="0" w:lastColumn="0" w:oddVBand="0" w:evenVBand="0" w:oddHBand="0" w:evenHBand="0" w:firstRowFirstColumn="0" w:firstRowLastColumn="0" w:lastRowFirstColumn="0" w:lastRowLastColumn="0"/>
            </w:pPr>
            <w:r>
              <w:t>221</w:t>
            </w:r>
          </w:p>
        </w:tc>
        <w:tc>
          <w:tcPr>
            <w:tcW w:w="1037" w:type="dxa"/>
            <w:tcBorders>
              <w:bottom w:val="single" w:sz="12" w:space="0" w:color="auto"/>
            </w:tcBorders>
          </w:tcPr>
          <w:p w14:paraId="704444F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38" w:type="dxa"/>
            <w:tcBorders>
              <w:bottom w:val="single" w:sz="12" w:space="0" w:color="auto"/>
            </w:tcBorders>
          </w:tcPr>
          <w:p w14:paraId="0615937E" w14:textId="77777777" w:rsidR="00182709" w:rsidRDefault="0044097C">
            <w:pPr>
              <w:cnfStyle w:val="000000000000" w:firstRow="0" w:lastRow="0" w:firstColumn="0" w:lastColumn="0" w:oddVBand="0" w:evenVBand="0" w:oddHBand="0" w:evenHBand="0" w:firstRowFirstColumn="0" w:firstRowLastColumn="0" w:lastRowFirstColumn="0" w:lastRowLastColumn="0"/>
            </w:pPr>
            <w:r>
              <w:t>2 779</w:t>
            </w:r>
          </w:p>
        </w:tc>
        <w:tc>
          <w:tcPr>
            <w:tcW w:w="1038" w:type="dxa"/>
            <w:tcBorders>
              <w:bottom w:val="single" w:sz="12" w:space="0" w:color="auto"/>
            </w:tcBorders>
          </w:tcPr>
          <w:p w14:paraId="04C7F642" w14:textId="77777777" w:rsidR="00182709" w:rsidRDefault="0044097C">
            <w:pPr>
              <w:cnfStyle w:val="000000000000" w:firstRow="0" w:lastRow="0" w:firstColumn="0" w:lastColumn="0" w:oddVBand="0" w:evenVBand="0" w:oddHBand="0" w:evenHBand="0" w:firstRowFirstColumn="0" w:firstRowLastColumn="0" w:lastRowFirstColumn="0" w:lastRowLastColumn="0"/>
            </w:pPr>
            <w:r>
              <w:t>3 263</w:t>
            </w:r>
          </w:p>
        </w:tc>
      </w:tr>
      <w:tr w:rsidR="00671D55" w14:paraId="2E24967F"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39D3C3DF" w14:textId="77777777" w:rsidR="00182709" w:rsidRDefault="0044097C">
            <w:r>
              <w:rPr>
                <w:b/>
              </w:rPr>
              <w:t>Total administered liabilities</w:t>
            </w:r>
          </w:p>
        </w:tc>
        <w:tc>
          <w:tcPr>
            <w:tcW w:w="1037" w:type="dxa"/>
          </w:tcPr>
          <w:p w14:paraId="0C0E18A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3 379</w:t>
            </w:r>
          </w:p>
        </w:tc>
        <w:tc>
          <w:tcPr>
            <w:tcW w:w="1038" w:type="dxa"/>
          </w:tcPr>
          <w:p w14:paraId="13D3B16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3 320</w:t>
            </w:r>
          </w:p>
        </w:tc>
        <w:tc>
          <w:tcPr>
            <w:tcW w:w="1037" w:type="dxa"/>
          </w:tcPr>
          <w:p w14:paraId="3B4A93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1 464</w:t>
            </w:r>
          </w:p>
        </w:tc>
        <w:tc>
          <w:tcPr>
            <w:tcW w:w="1038" w:type="dxa"/>
          </w:tcPr>
          <w:p w14:paraId="37129E2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1 613</w:t>
            </w:r>
          </w:p>
        </w:tc>
        <w:tc>
          <w:tcPr>
            <w:tcW w:w="1038" w:type="dxa"/>
          </w:tcPr>
          <w:p w14:paraId="604994C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01DE98D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2 549</w:t>
            </w:r>
          </w:p>
        </w:tc>
        <w:tc>
          <w:tcPr>
            <w:tcW w:w="1038" w:type="dxa"/>
          </w:tcPr>
          <w:p w14:paraId="539A99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2 328</w:t>
            </w:r>
          </w:p>
        </w:tc>
        <w:tc>
          <w:tcPr>
            <w:tcW w:w="1037" w:type="dxa"/>
          </w:tcPr>
          <w:p w14:paraId="6D0EB09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6799B6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7 171</w:t>
            </w:r>
          </w:p>
        </w:tc>
        <w:tc>
          <w:tcPr>
            <w:tcW w:w="1038" w:type="dxa"/>
          </w:tcPr>
          <w:p w14:paraId="0EF07E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7 482</w:t>
            </w:r>
          </w:p>
        </w:tc>
      </w:tr>
      <w:tr w:rsidR="00671D55" w14:paraId="54A85967" w14:textId="77777777" w:rsidTr="00182709">
        <w:tc>
          <w:tcPr>
            <w:cnfStyle w:val="001000000000" w:firstRow="0" w:lastRow="0" w:firstColumn="1" w:lastColumn="0" w:oddVBand="0" w:evenVBand="0" w:oddHBand="0" w:evenHBand="0" w:firstRowFirstColumn="0" w:firstRowLastColumn="0" w:lastRowFirstColumn="0" w:lastRowLastColumn="0"/>
            <w:tcW w:w="4253" w:type="dxa"/>
          </w:tcPr>
          <w:p w14:paraId="6AFF975B" w14:textId="77777777" w:rsidR="00182709" w:rsidRDefault="0044097C">
            <w:r>
              <w:rPr>
                <w:b/>
              </w:rPr>
              <w:t>Total administered net assets</w:t>
            </w:r>
          </w:p>
        </w:tc>
        <w:tc>
          <w:tcPr>
            <w:tcW w:w="1037" w:type="dxa"/>
          </w:tcPr>
          <w:p w14:paraId="6A5E5C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3 539</w:t>
            </w:r>
          </w:p>
        </w:tc>
        <w:tc>
          <w:tcPr>
            <w:tcW w:w="1038" w:type="dxa"/>
          </w:tcPr>
          <w:p w14:paraId="4102BC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2 676</w:t>
            </w:r>
          </w:p>
        </w:tc>
        <w:tc>
          <w:tcPr>
            <w:tcW w:w="1037" w:type="dxa"/>
          </w:tcPr>
          <w:p w14:paraId="2113F23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6 437</w:t>
            </w:r>
          </w:p>
        </w:tc>
        <w:tc>
          <w:tcPr>
            <w:tcW w:w="1038" w:type="dxa"/>
          </w:tcPr>
          <w:p w14:paraId="15407EA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3 466</w:t>
            </w:r>
          </w:p>
        </w:tc>
        <w:tc>
          <w:tcPr>
            <w:tcW w:w="1038" w:type="dxa"/>
          </w:tcPr>
          <w:p w14:paraId="66478F8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7" w:type="dxa"/>
          </w:tcPr>
          <w:p w14:paraId="6259229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8 986</w:t>
            </w:r>
          </w:p>
        </w:tc>
        <w:tc>
          <w:tcPr>
            <w:tcW w:w="1038" w:type="dxa"/>
          </w:tcPr>
          <w:p w14:paraId="109146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7 216</w:t>
            </w:r>
          </w:p>
        </w:tc>
        <w:tc>
          <w:tcPr>
            <w:tcW w:w="1037" w:type="dxa"/>
          </w:tcPr>
          <w:p w14:paraId="304ADD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038" w:type="dxa"/>
          </w:tcPr>
          <w:p w14:paraId="432F46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17 192</w:t>
            </w:r>
          </w:p>
        </w:tc>
        <w:tc>
          <w:tcPr>
            <w:tcW w:w="1038" w:type="dxa"/>
          </w:tcPr>
          <w:p w14:paraId="07B2571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15 128</w:t>
            </w:r>
          </w:p>
        </w:tc>
      </w:tr>
    </w:tbl>
    <w:p w14:paraId="59C19B06" w14:textId="4D5ADEEB" w:rsidR="003719CD" w:rsidRDefault="003719CD" w:rsidP="007D536F">
      <w:pPr>
        <w:pStyle w:val="Note"/>
      </w:pPr>
      <w:r>
        <w:t>Notes:</w:t>
      </w:r>
    </w:p>
    <w:p w14:paraId="7365238C" w14:textId="443B347A" w:rsidR="003719CD" w:rsidRDefault="003719CD" w:rsidP="007D536F">
      <w:pPr>
        <w:pStyle w:val="Note"/>
      </w:pPr>
      <w:r>
        <w:t>(a)</w:t>
      </w:r>
      <w:r>
        <w:tab/>
        <w:t xml:space="preserve">As a result of the administrative restructure, the administered assets and liabilities for the new technology administration output are now reported by the Department of Cabinet Administration. Accordingly, the administered income and expenses for the current financial year only reflect the Department’s period of responsibility, which was 1 July </w:t>
      </w:r>
      <w:fldSimple w:instr="DOCPROPERTY  YearPrevious  \* MERGEFORMAT">
        <w:r w:rsidR="00A545BA">
          <w:t>20X1</w:t>
        </w:r>
      </w:fldSimple>
      <w:r>
        <w:t xml:space="preserve"> to 31 August </w:t>
      </w:r>
      <w:fldSimple w:instr="DOCPROPERTY  YearPrevious  \* MERGEFORMAT">
        <w:r w:rsidR="00A545BA">
          <w:t>20X1</w:t>
        </w:r>
      </w:fldSimple>
      <w:r>
        <w:t xml:space="preserve">. </w:t>
      </w:r>
    </w:p>
    <w:p w14:paraId="0A11A10E" w14:textId="1D247023" w:rsidR="003719CD" w:rsidRDefault="003719CD" w:rsidP="007D536F">
      <w:pPr>
        <w:pStyle w:val="Note"/>
      </w:pPr>
      <w:r>
        <w:t>(b)</w:t>
      </w:r>
      <w:r>
        <w:tab/>
        <w:t xml:space="preserve">As a result of the administrative restructure, the figures for administered income and expenses for the R&amp;D biological technology only represents activities since 1 September </w:t>
      </w:r>
      <w:fldSimple w:instr="DOCPROPERTY  YearPrevious  \* MERGEFORMAT">
        <w:r w:rsidR="00A545BA">
          <w:t>20X1</w:t>
        </w:r>
      </w:fldSimple>
      <w:r>
        <w:t xml:space="preserve">. Administered items for the prior year and the current year to 31 August </w:t>
      </w:r>
      <w:fldSimple w:instr="DOCPROPERTY  YearPrevious  \* MERGEFORMAT">
        <w:r w:rsidR="00A545BA">
          <w:t>20X1</w:t>
        </w:r>
      </w:fldSimple>
      <w:r>
        <w:t xml:space="preserve"> are reported by the Department of Natural Resources. </w:t>
      </w:r>
    </w:p>
    <w:p w14:paraId="615C5ED7" w14:textId="77777777" w:rsidR="003719CD" w:rsidRDefault="003719CD" w:rsidP="007D536F">
      <w:pPr>
        <w:pStyle w:val="Note"/>
      </w:pPr>
      <w:r>
        <w:t xml:space="preserve">(c) </w:t>
      </w:r>
      <w:r>
        <w:tab/>
        <w:t>The State’s investment in all its controlled entities is disclosed in the administered note of the Department of Treasury and Finance’s (DTF) financial statements. This includes the investment in the Department’s portfolio entities.</w:t>
      </w:r>
    </w:p>
    <w:p w14:paraId="2FAF4642" w14:textId="7E144A2E" w:rsidR="003719CD" w:rsidRDefault="003719CD" w:rsidP="007D536F">
      <w:pPr>
        <w:pStyle w:val="Note"/>
      </w:pPr>
      <w:r>
        <w:t xml:space="preserve">(d) </w:t>
      </w:r>
      <w:r>
        <w:tab/>
        <w:t>The Department of Treasury and Finance in its Annual Financial Statements discloses on behalf of the State as the sponsoring employer, the net defined benefit cost related to the members of these plans as an administered liability. Refer to DTF’s Annual Financial Statements for more detailed disclosures in relation to these plans.</w:t>
      </w:r>
    </w:p>
    <w:p w14:paraId="722717E2" w14:textId="77777777" w:rsidR="003719CD" w:rsidRDefault="003719CD" w:rsidP="00DC39DE">
      <w:pPr>
        <w:sectPr w:rsidR="003719CD" w:rsidSect="00994C66">
          <w:headerReference w:type="even" r:id="rId66"/>
          <w:headerReference w:type="default" r:id="rId67"/>
          <w:footerReference w:type="even" r:id="rId68"/>
          <w:footerReference w:type="default" r:id="rId69"/>
          <w:headerReference w:type="first" r:id="rId70"/>
          <w:footerReference w:type="first" r:id="rId71"/>
          <w:pgSz w:w="16838" w:h="11906" w:orient="landscape" w:code="9"/>
          <w:pgMar w:top="1134" w:right="1134" w:bottom="1134" w:left="1134" w:header="624" w:footer="567" w:gutter="0"/>
          <w:cols w:space="708"/>
          <w:docGrid w:linePitch="360"/>
        </w:sectPr>
      </w:pPr>
    </w:p>
    <w:p w14:paraId="60CC24FF" w14:textId="77777777" w:rsidR="003719CD" w:rsidRDefault="003719CD" w:rsidP="007D536F">
      <w:pPr>
        <w:pStyle w:val="GuidanceBlockHeading"/>
      </w:pPr>
      <w:r>
        <w:lastRenderedPageBreak/>
        <w:t>Guidance – Departmental outputs</w:t>
      </w:r>
    </w:p>
    <w:p w14:paraId="12B43A0F" w14:textId="77777777" w:rsidR="003719CD" w:rsidRPr="00936CB4" w:rsidRDefault="003719CD" w:rsidP="007D536F">
      <w:pPr>
        <w:rPr>
          <w:rStyle w:val="Guidance"/>
        </w:rPr>
      </w:pPr>
      <w:r w:rsidRPr="00936CB4">
        <w:rPr>
          <w:rStyle w:val="Guidance"/>
        </w:rPr>
        <w:t xml:space="preserve">AASB 1052 </w:t>
      </w:r>
      <w:r w:rsidRPr="00E43051">
        <w:rPr>
          <w:rStyle w:val="Guidance"/>
          <w:i/>
          <w:iCs/>
        </w:rPr>
        <w:t>Disaggregated Disclosures</w:t>
      </w:r>
      <w:r w:rsidRPr="00936CB4">
        <w:rPr>
          <w:rStyle w:val="Guidance"/>
        </w:rPr>
        <w:t xml:space="preserve"> requires:</w:t>
      </w:r>
    </w:p>
    <w:p w14:paraId="272408C0" w14:textId="0903D5EC" w:rsidR="003719CD" w:rsidRPr="00936CB4" w:rsidRDefault="003719CD" w:rsidP="00310F12">
      <w:pPr>
        <w:pStyle w:val="ListBullet"/>
        <w:rPr>
          <w:rStyle w:val="Guidance"/>
        </w:rPr>
      </w:pPr>
      <w:r w:rsidRPr="00936CB4">
        <w:rPr>
          <w:rStyle w:val="Guidance"/>
        </w:rPr>
        <w:t xml:space="preserve">a summary of the identity and purpose of each of the </w:t>
      </w:r>
      <w:r w:rsidR="00674866">
        <w:rPr>
          <w:rStyle w:val="Guidance"/>
        </w:rPr>
        <w:t>d</w:t>
      </w:r>
      <w:r w:rsidR="007A4F1E" w:rsidRPr="00936CB4">
        <w:rPr>
          <w:rStyle w:val="Guidance"/>
        </w:rPr>
        <w:t xml:space="preserve">epartment’s </w:t>
      </w:r>
      <w:r w:rsidRPr="00936CB4">
        <w:rPr>
          <w:rStyle w:val="Guidance"/>
        </w:rPr>
        <w:t>major activities (outputs) undertaken during the reporting period</w:t>
      </w:r>
    </w:p>
    <w:p w14:paraId="2C70632D" w14:textId="7456B0A0" w:rsidR="003719CD" w:rsidRPr="00936CB4" w:rsidRDefault="003719CD" w:rsidP="00310F12">
      <w:pPr>
        <w:pStyle w:val="ListBullet"/>
        <w:rPr>
          <w:rStyle w:val="Guidance"/>
        </w:rPr>
      </w:pPr>
      <w:r w:rsidRPr="00936CB4">
        <w:rPr>
          <w:rStyle w:val="Guidance"/>
        </w:rPr>
        <w:t xml:space="preserve">the objectives of the </w:t>
      </w:r>
      <w:r w:rsidR="00674866">
        <w:rPr>
          <w:rStyle w:val="Guidance"/>
        </w:rPr>
        <w:t>d</w:t>
      </w:r>
      <w:r w:rsidR="007A4F1E" w:rsidRPr="00936CB4">
        <w:rPr>
          <w:rStyle w:val="Guidance"/>
        </w:rPr>
        <w:t>epartment</w:t>
      </w:r>
      <w:r w:rsidRPr="00936CB4">
        <w:rPr>
          <w:rStyle w:val="Guidance"/>
        </w:rPr>
        <w:t>, if not disclosed elsewhere in the annual report</w:t>
      </w:r>
    </w:p>
    <w:p w14:paraId="6E997C61" w14:textId="77777777" w:rsidR="003719CD" w:rsidRPr="00936CB4" w:rsidRDefault="003719CD" w:rsidP="00310F12">
      <w:pPr>
        <w:pStyle w:val="ListBullet"/>
        <w:rPr>
          <w:rStyle w:val="Guidance"/>
        </w:rPr>
      </w:pPr>
      <w:r w:rsidRPr="00936CB4">
        <w:rPr>
          <w:rStyle w:val="Guidance"/>
        </w:rPr>
        <w:t>income and expenses attributable to outputs identified in (a) above, showing separately each major class.</w:t>
      </w:r>
    </w:p>
    <w:p w14:paraId="11457693" w14:textId="3CC2F21F" w:rsidR="003719CD" w:rsidRPr="00936CB4" w:rsidRDefault="003719CD" w:rsidP="007D536F">
      <w:pPr>
        <w:rPr>
          <w:rStyle w:val="Guidance"/>
        </w:rPr>
      </w:pPr>
      <w:r w:rsidRPr="00936CB4">
        <w:rPr>
          <w:rStyle w:val="Guidance"/>
        </w:rPr>
        <w:t xml:space="preserve">To facilitate the assessment of the costs incurred and the cost recoveries generated as a result of the </w:t>
      </w:r>
      <w:r w:rsidR="00674866">
        <w:rPr>
          <w:rStyle w:val="Guidance"/>
        </w:rPr>
        <w:t>d</w:t>
      </w:r>
      <w:r w:rsidRPr="00936CB4">
        <w:rPr>
          <w:rStyle w:val="Guidance"/>
        </w:rPr>
        <w:t xml:space="preserve">epartment’s activities, administered income, expenses, assets and liabilities are reported on the same basis adopted for the recognition of the elements of the financial statements. That is, they are accounted for using the accrual basis of accounting and by applying the same accounting policies as those applied to items recognised in the departmental financial statements. </w:t>
      </w:r>
      <w:r w:rsidRPr="00936CB4">
        <w:rPr>
          <w:rStyle w:val="Reference"/>
        </w:rPr>
        <w:t>[AASB 1050.24]</w:t>
      </w:r>
    </w:p>
    <w:p w14:paraId="30E29715" w14:textId="77777777" w:rsidR="003719CD" w:rsidRPr="00936CB4" w:rsidRDefault="003719CD" w:rsidP="007D536F">
      <w:pPr>
        <w:rPr>
          <w:rStyle w:val="Guidance"/>
        </w:rPr>
      </w:pPr>
      <w:r w:rsidRPr="00936CB4">
        <w:rPr>
          <w:rStyle w:val="Guidance"/>
        </w:rPr>
        <w:t>Allocation of income and expenses to outputs is only required to the extent that such an allocation can be determined reliably. Where amounts cannot be allocated on a reliable basis, they should be disclosed in a separate ‘unallocated’ column.</w:t>
      </w:r>
    </w:p>
    <w:p w14:paraId="7FCAC483" w14:textId="77777777" w:rsidR="003719CD" w:rsidRPr="00936CB4" w:rsidRDefault="003719CD" w:rsidP="007D536F">
      <w:pPr>
        <w:rPr>
          <w:rStyle w:val="Guidance"/>
        </w:rPr>
      </w:pPr>
      <w:r w:rsidRPr="00936CB4">
        <w:rPr>
          <w:rStyle w:val="Guidance"/>
        </w:rPr>
        <w:t>In identifying major activities, judgement is required to identify those activities of a department that warrant separate disclosure in the general-purpose financial statements. Exercising this judgement involves a consideration of the following:</w:t>
      </w:r>
    </w:p>
    <w:p w14:paraId="20E1C529" w14:textId="04010431" w:rsidR="003719CD" w:rsidRPr="00936CB4" w:rsidRDefault="00B56F74" w:rsidP="00310F12">
      <w:pPr>
        <w:pStyle w:val="ListBullet"/>
        <w:rPr>
          <w:rStyle w:val="Guidance"/>
        </w:rPr>
      </w:pPr>
      <w:r>
        <w:rPr>
          <w:rStyle w:val="Guidance"/>
        </w:rPr>
        <w:t>T</w:t>
      </w:r>
      <w:r w:rsidR="003719CD" w:rsidRPr="00936CB4">
        <w:rPr>
          <w:rStyle w:val="Guidance"/>
        </w:rPr>
        <w:t>he objectives of the department</w:t>
      </w:r>
    </w:p>
    <w:p w14:paraId="10557B35" w14:textId="360A87F8" w:rsidR="003719CD" w:rsidRPr="00936CB4" w:rsidRDefault="00B56F74" w:rsidP="00310F12">
      <w:pPr>
        <w:pStyle w:val="ListBullet"/>
        <w:rPr>
          <w:rStyle w:val="Guidance"/>
        </w:rPr>
      </w:pPr>
      <w:r>
        <w:rPr>
          <w:rStyle w:val="Guidance"/>
        </w:rPr>
        <w:t>T</w:t>
      </w:r>
      <w:r w:rsidR="003719CD" w:rsidRPr="00936CB4">
        <w:rPr>
          <w:rStyle w:val="Guidance"/>
        </w:rPr>
        <w:t>he likely users of the general-purpose financial statements</w:t>
      </w:r>
    </w:p>
    <w:p w14:paraId="3A645468" w14:textId="4D0F0976" w:rsidR="003719CD" w:rsidRPr="00936CB4" w:rsidRDefault="00B56F74" w:rsidP="00310F12">
      <w:pPr>
        <w:pStyle w:val="ListBullet"/>
        <w:rPr>
          <w:rStyle w:val="Guidance"/>
        </w:rPr>
      </w:pPr>
      <w:r>
        <w:rPr>
          <w:rStyle w:val="Guidance"/>
        </w:rPr>
        <w:t>T</w:t>
      </w:r>
      <w:r w:rsidR="003719CD" w:rsidRPr="00936CB4">
        <w:rPr>
          <w:rStyle w:val="Guidance"/>
        </w:rPr>
        <w:t>he activity level that may be relevant to users’ assessments of the performance of the department</w:t>
      </w:r>
    </w:p>
    <w:p w14:paraId="3606DD71" w14:textId="54EAE1F0" w:rsidR="003719CD" w:rsidRPr="00936CB4" w:rsidRDefault="00B56F74" w:rsidP="00310F12">
      <w:pPr>
        <w:pStyle w:val="ListBullet"/>
        <w:rPr>
          <w:rStyle w:val="Guidance"/>
        </w:rPr>
      </w:pPr>
      <w:r>
        <w:rPr>
          <w:rStyle w:val="Guidance"/>
        </w:rPr>
        <w:t>T</w:t>
      </w:r>
      <w:r w:rsidR="003719CD" w:rsidRPr="00936CB4">
        <w:rPr>
          <w:rStyle w:val="Guidance"/>
        </w:rPr>
        <w:t>he concept of materiality.</w:t>
      </w:r>
    </w:p>
    <w:p w14:paraId="406A12B7" w14:textId="77777777" w:rsidR="003719CD" w:rsidRPr="00936CB4" w:rsidRDefault="003719CD" w:rsidP="007D536F">
      <w:pPr>
        <w:rPr>
          <w:rStyle w:val="Guidance"/>
        </w:rPr>
      </w:pPr>
      <w:r w:rsidRPr="00936CB4">
        <w:rPr>
          <w:rStyle w:val="Guidance"/>
        </w:rPr>
        <w:t>Descriptions of output activities and key government objectives for the reporting period should be consistent with those reported in the corresponding budget papers.</w:t>
      </w:r>
    </w:p>
    <w:p w14:paraId="405CC814" w14:textId="51EA8782" w:rsidR="003719CD" w:rsidRPr="00936CB4" w:rsidRDefault="003719CD" w:rsidP="007D536F">
      <w:pPr>
        <w:rPr>
          <w:rStyle w:val="Guidance"/>
        </w:rPr>
      </w:pPr>
      <w:r w:rsidRPr="00936CB4">
        <w:rPr>
          <w:rStyle w:val="Guidance"/>
          <w:b/>
          <w:bCs/>
        </w:rPr>
        <w:t>Guidance on the classification of items as controlled or administered</w:t>
      </w:r>
      <w:r w:rsidRPr="00936CB4">
        <w:rPr>
          <w:rStyle w:val="Guidance"/>
        </w:rPr>
        <w:t>: Departments</w:t>
      </w:r>
      <w:r w:rsidR="007A4F1E" w:rsidRPr="00936CB4">
        <w:rPr>
          <w:rStyle w:val="Guidance"/>
        </w:rPr>
        <w:t xml:space="preserve"> </w:t>
      </w:r>
      <w:r w:rsidRPr="00936CB4">
        <w:rPr>
          <w:rStyle w:val="Guidance"/>
        </w:rPr>
        <w:t xml:space="preserve">are required to classify revenues, expenses, assets and liabilities as either ‘controlled’ or ‘administered’. The way an output is defined can affect the classification of a revenue or expense between the administered or controlled categories. The decision to classify an asset or liability as ‘administered’ rather than ‘controlled’ will impact items such as the capital assets charge on the </w:t>
      </w:r>
      <w:r w:rsidR="009F758B">
        <w:rPr>
          <w:rStyle w:val="Guidance"/>
        </w:rPr>
        <w:t>d</w:t>
      </w:r>
      <w:r w:rsidRPr="00936CB4">
        <w:rPr>
          <w:rStyle w:val="Guidance"/>
        </w:rPr>
        <w:t xml:space="preserve">epartment’s operations, and the way in which the asset or liability is presented in the State Budget. Further guidance on controlled and administered can be found in </w:t>
      </w:r>
      <w:r w:rsidR="00AA41F4">
        <w:rPr>
          <w:rStyle w:val="Guidance"/>
        </w:rPr>
        <w:t xml:space="preserve">the </w:t>
      </w:r>
      <w:hyperlink r:id="rId72">
        <w:r w:rsidR="001A5CA8" w:rsidRPr="2856114A">
          <w:rPr>
            <w:rStyle w:val="Hyperlink"/>
          </w:rPr>
          <w:t>Resource Management Framework on the DTF website</w:t>
        </w:r>
      </w:hyperlink>
      <w:r w:rsidR="00674866" w:rsidRPr="2856114A">
        <w:rPr>
          <w:rStyle w:val="Guidance"/>
        </w:rPr>
        <w:t>.</w:t>
      </w:r>
    </w:p>
    <w:p w14:paraId="427479B0" w14:textId="7C5BD338" w:rsidR="003719CD" w:rsidRPr="00936CB4" w:rsidRDefault="003719CD" w:rsidP="007D536F">
      <w:pPr>
        <w:rPr>
          <w:rStyle w:val="Guidance"/>
        </w:rPr>
      </w:pPr>
      <w:r w:rsidRPr="00936CB4">
        <w:rPr>
          <w:rStyle w:val="Guidance"/>
        </w:rPr>
        <w:t xml:space="preserve">Administered items do not form part of a </w:t>
      </w:r>
      <w:r w:rsidR="007A4F1E">
        <w:rPr>
          <w:rStyle w:val="Guidance"/>
        </w:rPr>
        <w:t>d</w:t>
      </w:r>
      <w:r w:rsidR="007A4F1E" w:rsidRPr="00936CB4">
        <w:rPr>
          <w:rStyle w:val="Guidance"/>
        </w:rPr>
        <w:t xml:space="preserve">epartment’s </w:t>
      </w:r>
      <w:r w:rsidRPr="00936CB4">
        <w:rPr>
          <w:rStyle w:val="Guidance"/>
        </w:rPr>
        <w:t>outputs, and in the case of administered expenses, funding is provided under a separate appropriation. For example:</w:t>
      </w:r>
    </w:p>
    <w:p w14:paraId="096D274A" w14:textId="6E580B39" w:rsidR="003719CD" w:rsidRPr="00936CB4" w:rsidRDefault="003719CD" w:rsidP="00310F12">
      <w:pPr>
        <w:pStyle w:val="ListBullet"/>
        <w:rPr>
          <w:rStyle w:val="Guidance"/>
        </w:rPr>
      </w:pPr>
      <w:r w:rsidRPr="00936CB4">
        <w:rPr>
          <w:rStyle w:val="Guidance"/>
        </w:rPr>
        <w:t xml:space="preserve">If the administrative process of making welfare transfer payments is part of an output of the </w:t>
      </w:r>
      <w:r w:rsidR="00674866">
        <w:rPr>
          <w:rStyle w:val="Guidance"/>
        </w:rPr>
        <w:t>d</w:t>
      </w:r>
      <w:r w:rsidRPr="00936CB4">
        <w:rPr>
          <w:rStyle w:val="Guidance"/>
        </w:rPr>
        <w:t xml:space="preserve">epartment, it should be classified as a controlled expense. However, the actual funds being paid to the beneficiaries could be classified as an administered item if they meet the criteria for administered items. In respect to an Act or binding agreement, an item may be classified as administered if the </w:t>
      </w:r>
      <w:r w:rsidR="00674866">
        <w:rPr>
          <w:rStyle w:val="Guidance"/>
        </w:rPr>
        <w:t>d</w:t>
      </w:r>
      <w:r w:rsidRPr="00936CB4">
        <w:rPr>
          <w:rStyle w:val="Guidance"/>
        </w:rPr>
        <w:t>epartment has no influence over eligibility, timing, or the amount, unless contributing to output delivery.</w:t>
      </w:r>
    </w:p>
    <w:p w14:paraId="3B88E6E6" w14:textId="7A782922" w:rsidR="003719CD" w:rsidRPr="00936CB4" w:rsidRDefault="003719CD" w:rsidP="00310F12">
      <w:pPr>
        <w:pStyle w:val="ListBullet"/>
        <w:rPr>
          <w:rStyle w:val="Guidance"/>
        </w:rPr>
      </w:pPr>
      <w:r w:rsidRPr="00936CB4">
        <w:rPr>
          <w:rStyle w:val="Guidance"/>
        </w:rPr>
        <w:t xml:space="preserve">If a </w:t>
      </w:r>
      <w:r w:rsidR="007A4F1E">
        <w:rPr>
          <w:rStyle w:val="Guidance"/>
        </w:rPr>
        <w:t>d</w:t>
      </w:r>
      <w:r w:rsidR="007A4F1E" w:rsidRPr="00936CB4">
        <w:rPr>
          <w:rStyle w:val="Guidance"/>
        </w:rPr>
        <w:t xml:space="preserve">epartment </w:t>
      </w:r>
      <w:r w:rsidRPr="00936CB4">
        <w:rPr>
          <w:rStyle w:val="Guidance"/>
        </w:rPr>
        <w:t>defined an output as ‘the management of grants to [some external body] for [some purpose]’, the actual grants themselves (as opposed to the administrative costs of managing the grants program) could be classified as administered expenditure. However, if the output were defined as ‘delivery of products or services for [some purpose]’, with the payment being conditional on the fulfilment of specified conditions, it may be seen to involve an exchange of value and therefore should be treated as controlled.</w:t>
      </w:r>
    </w:p>
    <w:p w14:paraId="0E0ED50F" w14:textId="3B5A8143" w:rsidR="003719CD" w:rsidRPr="00936CB4" w:rsidRDefault="003719CD" w:rsidP="00310F12">
      <w:pPr>
        <w:pStyle w:val="ListBullet"/>
        <w:rPr>
          <w:rStyle w:val="Guidance"/>
        </w:rPr>
      </w:pPr>
      <w:r w:rsidRPr="00936CB4">
        <w:rPr>
          <w:rStyle w:val="Guidance"/>
        </w:rPr>
        <w:t xml:space="preserve">If crime compensation payments awarded by a court or tribunal or revenues or taxes collected by a </w:t>
      </w:r>
      <w:r w:rsidR="007A4F1E">
        <w:rPr>
          <w:rStyle w:val="Guidance"/>
        </w:rPr>
        <w:t>d</w:t>
      </w:r>
      <w:r w:rsidR="007A4F1E" w:rsidRPr="00936CB4">
        <w:rPr>
          <w:rStyle w:val="Guidance"/>
        </w:rPr>
        <w:t xml:space="preserve">epartment </w:t>
      </w:r>
      <w:r w:rsidRPr="00936CB4">
        <w:rPr>
          <w:rStyle w:val="Guidance"/>
        </w:rPr>
        <w:t>on behalf of the State would normally be classified as giving rise to administered items. On the other hand, revenues, expenses, assets or liabilities arising in connection with the discharge of the function of making crime compensation payments (as distinct from the payments themselves) or collecting revenues (as distinct from the revenues themselves) on behalf of the State would normally be classified as controlled.</w:t>
      </w:r>
    </w:p>
    <w:p w14:paraId="2A6468C9" w14:textId="77777777" w:rsidR="00D70E94" w:rsidRDefault="00D70E94">
      <w:pPr>
        <w:keepLines w:val="0"/>
        <w:rPr>
          <w:rStyle w:val="Guidance"/>
          <w:b/>
          <w:bCs/>
        </w:rPr>
      </w:pPr>
      <w:r>
        <w:rPr>
          <w:rStyle w:val="Guidance"/>
          <w:b/>
          <w:bCs/>
        </w:rPr>
        <w:br w:type="page"/>
      </w:r>
    </w:p>
    <w:p w14:paraId="6A104935" w14:textId="164D312E" w:rsidR="003719CD" w:rsidRPr="00936CB4" w:rsidRDefault="003719CD" w:rsidP="007D536F">
      <w:pPr>
        <w:rPr>
          <w:rStyle w:val="Guidance"/>
        </w:rPr>
      </w:pPr>
      <w:r w:rsidRPr="00936CB4">
        <w:rPr>
          <w:rStyle w:val="Guidance"/>
          <w:b/>
          <w:bCs/>
        </w:rPr>
        <w:lastRenderedPageBreak/>
        <w:t>Changes in accounting policies</w:t>
      </w:r>
      <w:r w:rsidRPr="00936CB4">
        <w:rPr>
          <w:rStyle w:val="Guidance"/>
        </w:rPr>
        <w:t>: Where an item moves from controlled to administered, or vice versa, the reclassification may constitute a change of accounting policy.</w:t>
      </w:r>
    </w:p>
    <w:p w14:paraId="0DD56F44" w14:textId="77777777" w:rsidR="003719CD" w:rsidRPr="00936CB4" w:rsidRDefault="003719CD" w:rsidP="007D536F">
      <w:pPr>
        <w:rPr>
          <w:rStyle w:val="Guidance"/>
        </w:rPr>
      </w:pPr>
      <w:r w:rsidRPr="00936CB4">
        <w:rPr>
          <w:rStyle w:val="Guidance"/>
        </w:rPr>
        <w:t>Where principles in respect of classification have been applied consistently and the reclassification arises from a change in circumstances, the change does not constitute a change in accounting policy.</w:t>
      </w:r>
    </w:p>
    <w:p w14:paraId="501A4497" w14:textId="77777777" w:rsidR="003719CD" w:rsidRPr="00936CB4" w:rsidRDefault="003719CD" w:rsidP="007D536F">
      <w:pPr>
        <w:rPr>
          <w:rStyle w:val="Guidance"/>
        </w:rPr>
      </w:pPr>
      <w:r w:rsidRPr="00936CB4">
        <w:rPr>
          <w:rStyle w:val="Guidance"/>
        </w:rPr>
        <w:t>However, where there is no change in circumstances or facts, a reclassification would constitute a change in accounting policy and would have to be disclosed as such in accordance with AASB 108.</w:t>
      </w:r>
    </w:p>
    <w:p w14:paraId="1AC63A3C" w14:textId="77777777" w:rsidR="003719CD" w:rsidRPr="00936CB4" w:rsidRDefault="003719CD" w:rsidP="007D536F">
      <w:pPr>
        <w:rPr>
          <w:rStyle w:val="Guidance"/>
        </w:rPr>
      </w:pPr>
      <w:r w:rsidRPr="00936CB4">
        <w:rPr>
          <w:rStyle w:val="Guidance"/>
          <w:b/>
          <w:bCs/>
        </w:rPr>
        <w:t>Grants</w:t>
      </w:r>
      <w:r w:rsidRPr="00936CB4">
        <w:rPr>
          <w:rStyle w:val="Guidance"/>
        </w:rPr>
        <w:t>: Where grants are payable into the consolidated fund, they are reported as administered income.</w:t>
      </w:r>
    </w:p>
    <w:p w14:paraId="41B4E06C" w14:textId="15875C05" w:rsidR="003719CD" w:rsidRPr="00936CB4" w:rsidRDefault="003719CD" w:rsidP="007D536F">
      <w:pPr>
        <w:rPr>
          <w:rStyle w:val="Guidance"/>
        </w:rPr>
      </w:pPr>
      <w:r w:rsidRPr="00936CB4">
        <w:rPr>
          <w:rStyle w:val="Guidance"/>
          <w:b/>
          <w:bCs/>
        </w:rPr>
        <w:t>Administered income and expense</w:t>
      </w:r>
      <w:r w:rsidRPr="00936CB4">
        <w:rPr>
          <w:rStyle w:val="Guidance"/>
        </w:rPr>
        <w:t xml:space="preserve">: A </w:t>
      </w:r>
      <w:r w:rsidR="007A4F1E">
        <w:rPr>
          <w:rStyle w:val="Guidance"/>
        </w:rPr>
        <w:t>d</w:t>
      </w:r>
      <w:r w:rsidR="007A4F1E" w:rsidRPr="00936CB4">
        <w:rPr>
          <w:rStyle w:val="Guidance"/>
        </w:rPr>
        <w:t xml:space="preserve">epartment </w:t>
      </w:r>
      <w:r w:rsidRPr="00936CB4">
        <w:rPr>
          <w:rStyle w:val="Guidance"/>
        </w:rPr>
        <w:t xml:space="preserve">may be responsible for levying and collecting taxes, fines and fees, the provision of goods and services and transfer payments. These activities may give rise to income and expenses, which the </w:t>
      </w:r>
      <w:r w:rsidR="007A4F1E">
        <w:rPr>
          <w:rStyle w:val="Guidance"/>
        </w:rPr>
        <w:t>d</w:t>
      </w:r>
      <w:r w:rsidR="007A4F1E" w:rsidRPr="00936CB4">
        <w:rPr>
          <w:rStyle w:val="Guidance"/>
        </w:rPr>
        <w:t xml:space="preserve">epartment </w:t>
      </w:r>
      <w:r w:rsidRPr="00936CB4">
        <w:rPr>
          <w:rStyle w:val="Guidance"/>
        </w:rPr>
        <w:t xml:space="preserve">does not control. This would occur where, for example, the </w:t>
      </w:r>
      <w:r w:rsidR="007A4F1E">
        <w:rPr>
          <w:rStyle w:val="Guidance"/>
        </w:rPr>
        <w:t>d</w:t>
      </w:r>
      <w:r w:rsidR="007A4F1E" w:rsidRPr="00936CB4">
        <w:rPr>
          <w:rStyle w:val="Guidance"/>
        </w:rPr>
        <w:t xml:space="preserve">epartment </w:t>
      </w:r>
      <w:r w:rsidRPr="00936CB4">
        <w:rPr>
          <w:rStyle w:val="Guidance"/>
        </w:rPr>
        <w:t xml:space="preserve">is not permitted to utilise the proceeds from user charges without further authorisation. Income and expenses administered by a </w:t>
      </w:r>
      <w:r w:rsidR="007A4F1E">
        <w:rPr>
          <w:rStyle w:val="Guidance"/>
        </w:rPr>
        <w:t>d</w:t>
      </w:r>
      <w:r w:rsidR="007A4F1E" w:rsidRPr="00936CB4">
        <w:rPr>
          <w:rStyle w:val="Guidance"/>
        </w:rPr>
        <w:t xml:space="preserve">epartment </w:t>
      </w:r>
      <w:r w:rsidRPr="00936CB4">
        <w:rPr>
          <w:rStyle w:val="Guidance"/>
        </w:rPr>
        <w:t>are not recognised in its comprehensive operating statement but are disclosed in the notes.</w:t>
      </w:r>
    </w:p>
    <w:p w14:paraId="531253CB" w14:textId="1BFC7718" w:rsidR="003719CD" w:rsidRPr="00936CB4" w:rsidRDefault="003719CD" w:rsidP="007D536F">
      <w:pPr>
        <w:rPr>
          <w:rStyle w:val="Guidance"/>
        </w:rPr>
      </w:pPr>
      <w:r w:rsidRPr="00936CB4">
        <w:rPr>
          <w:rStyle w:val="Guidance"/>
        </w:rPr>
        <w:t xml:space="preserve">AASB 1050 </w:t>
      </w:r>
      <w:r w:rsidRPr="00936CB4">
        <w:rPr>
          <w:rStyle w:val="Guidance"/>
          <w:i/>
          <w:iCs/>
        </w:rPr>
        <w:t>Administered Items</w:t>
      </w:r>
      <w:r w:rsidRPr="00936CB4">
        <w:rPr>
          <w:rStyle w:val="Guidance"/>
        </w:rPr>
        <w:t xml:space="preserve"> and FRD 9 </w:t>
      </w:r>
      <w:r w:rsidRPr="00936CB4">
        <w:rPr>
          <w:rStyle w:val="Guidance"/>
          <w:i/>
          <w:iCs/>
        </w:rPr>
        <w:t>Departmental Disclosure of Administered Assets and Liabilities by Activit</w:t>
      </w:r>
      <w:r w:rsidR="00DE643D">
        <w:rPr>
          <w:rStyle w:val="Guidance"/>
          <w:i/>
          <w:iCs/>
        </w:rPr>
        <w:t>y</w:t>
      </w:r>
      <w:r w:rsidRPr="00936CB4">
        <w:rPr>
          <w:rStyle w:val="Guidance"/>
        </w:rPr>
        <w:t xml:space="preserve"> requires administered income and expenses to be disclosed separately by major class and attributed to outputs where such allocation can be determined reliably.</w:t>
      </w:r>
    </w:p>
    <w:p w14:paraId="0125744F" w14:textId="79E1824B" w:rsidR="003719CD" w:rsidRPr="00936CB4" w:rsidRDefault="003719CD" w:rsidP="007D536F">
      <w:pPr>
        <w:rPr>
          <w:rStyle w:val="Guidance"/>
        </w:rPr>
      </w:pPr>
      <w:r w:rsidRPr="001E591A">
        <w:rPr>
          <w:rStyle w:val="Guidance"/>
          <w:b/>
          <w:bCs/>
        </w:rPr>
        <w:t>Administered assets and liabilities</w:t>
      </w:r>
      <w:r w:rsidRPr="00936CB4">
        <w:rPr>
          <w:rStyle w:val="Guidance"/>
        </w:rPr>
        <w:t xml:space="preserve"> </w:t>
      </w:r>
      <w:r w:rsidRPr="00936CB4">
        <w:rPr>
          <w:rStyle w:val="Reference"/>
        </w:rPr>
        <w:t>[AASB 1050.7, FRD 9]</w:t>
      </w:r>
      <w:r w:rsidRPr="00936CB4">
        <w:rPr>
          <w:rStyle w:val="Guidance"/>
        </w:rPr>
        <w:t xml:space="preserve">: When undertaking administered activities, a </w:t>
      </w:r>
      <w:r w:rsidR="007A4F1E">
        <w:rPr>
          <w:rStyle w:val="Guidance"/>
        </w:rPr>
        <w:t>d</w:t>
      </w:r>
      <w:r w:rsidR="007A4F1E" w:rsidRPr="00936CB4">
        <w:rPr>
          <w:rStyle w:val="Guidance"/>
        </w:rPr>
        <w:t xml:space="preserve">epartment </w:t>
      </w:r>
      <w:r w:rsidRPr="00936CB4">
        <w:rPr>
          <w:rStyle w:val="Guidance"/>
        </w:rPr>
        <w:t xml:space="preserve">may manage and deploy assets in the capacity of an agent and may incur liabilities, which will not involve a sacrifice of assets that are controlled by the </w:t>
      </w:r>
      <w:r w:rsidR="007A4F1E">
        <w:rPr>
          <w:rStyle w:val="Guidance"/>
        </w:rPr>
        <w:t>d</w:t>
      </w:r>
      <w:r w:rsidR="007A4F1E" w:rsidRPr="00936CB4">
        <w:rPr>
          <w:rStyle w:val="Guidance"/>
        </w:rPr>
        <w:t xml:space="preserve">epartment </w:t>
      </w:r>
      <w:r w:rsidRPr="00936CB4">
        <w:rPr>
          <w:rStyle w:val="Guidance"/>
        </w:rPr>
        <w:t xml:space="preserve">at the end of the reporting period. Assets and liabilities administered by the </w:t>
      </w:r>
      <w:r w:rsidR="00494A62">
        <w:rPr>
          <w:rStyle w:val="Guidance"/>
        </w:rPr>
        <w:t>d</w:t>
      </w:r>
      <w:r w:rsidR="00494A62" w:rsidRPr="00936CB4">
        <w:rPr>
          <w:rStyle w:val="Guidance"/>
        </w:rPr>
        <w:t xml:space="preserve">epartment </w:t>
      </w:r>
      <w:r w:rsidRPr="00936CB4">
        <w:rPr>
          <w:rStyle w:val="Guidance"/>
        </w:rPr>
        <w:t xml:space="preserve">are not recognised in its balance sheet but are disclosed in the notes. </w:t>
      </w:r>
    </w:p>
    <w:p w14:paraId="14EB9AD9" w14:textId="608AEBEE" w:rsidR="003719CD" w:rsidRPr="00936CB4" w:rsidRDefault="00D948E4" w:rsidP="007D536F">
      <w:pPr>
        <w:rPr>
          <w:rStyle w:val="Guidance"/>
        </w:rPr>
      </w:pPr>
      <w:r>
        <w:rPr>
          <w:rStyle w:val="Guidance"/>
        </w:rPr>
        <w:t xml:space="preserve">While the investment in </w:t>
      </w:r>
      <w:r w:rsidR="00727281">
        <w:rPr>
          <w:rStyle w:val="Guidance"/>
        </w:rPr>
        <w:t xml:space="preserve">the relevant </w:t>
      </w:r>
      <w:r>
        <w:rPr>
          <w:rStyle w:val="Guidance"/>
        </w:rPr>
        <w:t>controlled entit</w:t>
      </w:r>
      <w:r w:rsidR="00727281">
        <w:rPr>
          <w:rStyle w:val="Guidance"/>
        </w:rPr>
        <w:t>ies</w:t>
      </w:r>
      <w:r>
        <w:rPr>
          <w:rStyle w:val="Guidance"/>
        </w:rPr>
        <w:t xml:space="preserve"> </w:t>
      </w:r>
      <w:r w:rsidR="0092160D">
        <w:rPr>
          <w:rStyle w:val="Guidance"/>
        </w:rPr>
        <w:t>is</w:t>
      </w:r>
      <w:r w:rsidR="00727281">
        <w:rPr>
          <w:rStyle w:val="Guidance"/>
        </w:rPr>
        <w:t xml:space="preserve"> </w:t>
      </w:r>
      <w:r>
        <w:rPr>
          <w:rStyle w:val="Guidance"/>
        </w:rPr>
        <w:t xml:space="preserve">required to be recorded by </w:t>
      </w:r>
      <w:r w:rsidR="00727281">
        <w:rPr>
          <w:rStyle w:val="Guidance"/>
        </w:rPr>
        <w:t xml:space="preserve">the portfolio </w:t>
      </w:r>
      <w:r>
        <w:rPr>
          <w:rStyle w:val="Guidance"/>
        </w:rPr>
        <w:t>department as an administered item</w:t>
      </w:r>
      <w:r w:rsidR="003719CD" w:rsidRPr="00936CB4">
        <w:rPr>
          <w:rStyle w:val="Guidance"/>
        </w:rPr>
        <w:t xml:space="preserve">, DTF discloses </w:t>
      </w:r>
      <w:r>
        <w:rPr>
          <w:rStyle w:val="Guidance"/>
        </w:rPr>
        <w:t xml:space="preserve">the </w:t>
      </w:r>
      <w:r w:rsidR="003719CD" w:rsidRPr="00936CB4">
        <w:rPr>
          <w:rStyle w:val="Guidance"/>
        </w:rPr>
        <w:t xml:space="preserve">State’s </w:t>
      </w:r>
      <w:r w:rsidR="008D43CC">
        <w:rPr>
          <w:rStyle w:val="Guidance"/>
        </w:rPr>
        <w:t xml:space="preserve">combined </w:t>
      </w:r>
      <w:r w:rsidR="003719CD" w:rsidRPr="00936CB4">
        <w:rPr>
          <w:rStyle w:val="Guidance"/>
        </w:rPr>
        <w:t xml:space="preserve">investment in controlled entities and the superannuation liabilities </w:t>
      </w:r>
      <w:r>
        <w:rPr>
          <w:rStyle w:val="Guidance"/>
        </w:rPr>
        <w:t>(</w:t>
      </w:r>
      <w:r w:rsidR="003719CD" w:rsidRPr="00936CB4">
        <w:rPr>
          <w:rStyle w:val="Guidance"/>
        </w:rPr>
        <w:t>related to departmental employees</w:t>
      </w:r>
      <w:r>
        <w:rPr>
          <w:rStyle w:val="Guidance"/>
        </w:rPr>
        <w:t>) in its annual financial statements</w:t>
      </w:r>
      <w:r w:rsidR="003719CD" w:rsidRPr="00936CB4">
        <w:rPr>
          <w:rStyle w:val="Guidance"/>
        </w:rPr>
        <w:t xml:space="preserve">. </w:t>
      </w:r>
      <w:r>
        <w:rPr>
          <w:rStyle w:val="Guidance"/>
        </w:rPr>
        <w:t>D</w:t>
      </w:r>
      <w:r w:rsidR="003719CD" w:rsidRPr="00936CB4">
        <w:rPr>
          <w:rStyle w:val="Guidance"/>
        </w:rPr>
        <w:t>epartments are not required to show these items in their administered notes</w:t>
      </w:r>
      <w:r>
        <w:rPr>
          <w:rStyle w:val="Guidance"/>
        </w:rPr>
        <w:t xml:space="preserve"> but</w:t>
      </w:r>
      <w:r w:rsidR="003719CD" w:rsidRPr="00936CB4">
        <w:rPr>
          <w:rStyle w:val="Guidance"/>
        </w:rPr>
        <w:t xml:space="preserve"> are advised to include footnotes as illustrated</w:t>
      </w:r>
      <w:r w:rsidR="008D43CC">
        <w:rPr>
          <w:rStyle w:val="Guidance"/>
        </w:rPr>
        <w:t xml:space="preserve">, </w:t>
      </w:r>
      <w:r w:rsidR="003719CD" w:rsidRPr="00936CB4">
        <w:rPr>
          <w:rStyle w:val="Guidance"/>
        </w:rPr>
        <w:t xml:space="preserve">stating that this information is available in the DTF’s annual </w:t>
      </w:r>
      <w:r w:rsidR="00727281">
        <w:rPr>
          <w:rStyle w:val="Guidance"/>
        </w:rPr>
        <w:t xml:space="preserve">financial </w:t>
      </w:r>
      <w:r w:rsidR="003719CD" w:rsidRPr="00936CB4">
        <w:rPr>
          <w:rStyle w:val="Guidance"/>
        </w:rPr>
        <w:t xml:space="preserve">report. </w:t>
      </w:r>
    </w:p>
    <w:p w14:paraId="2DA02763" w14:textId="5B505FB2" w:rsidR="003719CD" w:rsidRPr="00936CB4" w:rsidRDefault="003719CD" w:rsidP="007D536F">
      <w:pPr>
        <w:rPr>
          <w:rStyle w:val="Guidance"/>
        </w:rPr>
      </w:pPr>
      <w:r w:rsidRPr="00936CB4">
        <w:rPr>
          <w:rStyle w:val="Guidance"/>
        </w:rPr>
        <w:t>AASB 1050 encourages, but does not require, the allocation of administered assets and liabilities to outputs. However, FRD 9 extends AASB 1050’s disclosure requirement for administered income and expenses to include disclosure on a major activity basis for administered assets and liabilities. Assets and liabilities should only be disclosed on a major activity basis when such allocations can be reliably attributable to the outputs.</w:t>
      </w:r>
    </w:p>
    <w:p w14:paraId="7413DAEA" w14:textId="40D3DD91" w:rsidR="003719CD" w:rsidRPr="00936CB4" w:rsidRDefault="003719CD" w:rsidP="007D536F">
      <w:pPr>
        <w:rPr>
          <w:rStyle w:val="Guidance"/>
        </w:rPr>
      </w:pPr>
      <w:r w:rsidRPr="00936CB4">
        <w:rPr>
          <w:rStyle w:val="Guidance"/>
          <w:b/>
          <w:bCs/>
        </w:rPr>
        <w:t>Identifying an allocation basis</w:t>
      </w:r>
      <w:r w:rsidRPr="00936CB4">
        <w:rPr>
          <w:rStyle w:val="Guidance"/>
        </w:rPr>
        <w:t xml:space="preserve"> </w:t>
      </w:r>
      <w:r w:rsidRPr="00936CB4">
        <w:rPr>
          <w:rStyle w:val="Reference"/>
        </w:rPr>
        <w:t>[FRD 9]</w:t>
      </w:r>
      <w:r w:rsidRPr="00936CB4">
        <w:rPr>
          <w:rStyle w:val="Guidance"/>
        </w:rPr>
        <w:t xml:space="preserve">: Usually, it is the elements of those administered activities that are undertaken by an autonomous unit of the </w:t>
      </w:r>
      <w:r w:rsidR="0032786E">
        <w:rPr>
          <w:rStyle w:val="Guidance"/>
        </w:rPr>
        <w:t>d</w:t>
      </w:r>
      <w:r w:rsidRPr="00936CB4">
        <w:rPr>
          <w:rStyle w:val="Guidance"/>
        </w:rPr>
        <w:t xml:space="preserve">epartment, such as a tax collection agency, which are more likely to be separately identifiable. </w:t>
      </w:r>
    </w:p>
    <w:p w14:paraId="38C23251" w14:textId="31ACA96C" w:rsidR="003719CD" w:rsidRPr="00936CB4" w:rsidRDefault="003719CD" w:rsidP="007D536F">
      <w:pPr>
        <w:rPr>
          <w:rStyle w:val="Guidance"/>
        </w:rPr>
      </w:pPr>
      <w:r w:rsidRPr="00936CB4">
        <w:rPr>
          <w:rStyle w:val="Guidance"/>
        </w:rPr>
        <w:t xml:space="preserve">Where a </w:t>
      </w:r>
      <w:r w:rsidR="00494A62">
        <w:rPr>
          <w:rStyle w:val="Guidance"/>
        </w:rPr>
        <w:t>d</w:t>
      </w:r>
      <w:r w:rsidR="00494A62" w:rsidRPr="00936CB4">
        <w:rPr>
          <w:rStyle w:val="Guidance"/>
        </w:rPr>
        <w:t xml:space="preserve">epartment </w:t>
      </w:r>
      <w:r w:rsidRPr="00936CB4">
        <w:rPr>
          <w:rStyle w:val="Guidance"/>
        </w:rPr>
        <w:t>cannot determine an allocation on a reliable basis, it should discuss the matter with its auditor and advise the DTF of the outcome of those discussions before finalisation of the financial statements.</w:t>
      </w:r>
    </w:p>
    <w:p w14:paraId="0D110D7E" w14:textId="77777777" w:rsidR="003719CD" w:rsidRPr="00936CB4" w:rsidRDefault="003719CD" w:rsidP="007D536F">
      <w:pPr>
        <w:rPr>
          <w:rStyle w:val="Guidance"/>
        </w:rPr>
      </w:pPr>
      <w:r w:rsidRPr="001E591A">
        <w:rPr>
          <w:rStyle w:val="Guidance"/>
          <w:b/>
          <w:bCs/>
        </w:rPr>
        <w:t>Material administered items</w:t>
      </w:r>
      <w:r w:rsidRPr="00936CB4">
        <w:rPr>
          <w:rStyle w:val="Guidance"/>
        </w:rPr>
        <w:t>: Where administered items are material, departments are required to provide additional disclosure by way of additional notes, for example, taxes, fees and fines, are to be disaggregated further where these items are material.</w:t>
      </w:r>
    </w:p>
    <w:p w14:paraId="623F59DC" w14:textId="77777777" w:rsidR="003719CD" w:rsidRDefault="003719CD" w:rsidP="007D536F">
      <w:pPr>
        <w:pStyle w:val="GuidanceEnd"/>
      </w:pPr>
    </w:p>
    <w:p w14:paraId="007F22AF" w14:textId="77777777" w:rsidR="00D70E94" w:rsidRPr="00D70E94" w:rsidRDefault="00D70E94">
      <w:pPr>
        <w:keepLines w:val="0"/>
      </w:pPr>
      <w:bookmarkStart w:id="49" w:name="_Toc64983154"/>
      <w:r w:rsidRPr="00D70E94">
        <w:br w:type="page"/>
      </w:r>
    </w:p>
    <w:p w14:paraId="33674AE1" w14:textId="43E3429C" w:rsidR="003719CD" w:rsidRDefault="003719CD" w:rsidP="001B5265">
      <w:pPr>
        <w:pStyle w:val="Heading2numbered"/>
      </w:pPr>
      <w:bookmarkStart w:id="50" w:name="_Toc96704881"/>
      <w:bookmarkStart w:id="51" w:name="_Toc130225951"/>
      <w:r>
        <w:lastRenderedPageBreak/>
        <w:t xml:space="preserve">Restructuring of administrative arrangements </w:t>
      </w:r>
      <w:r w:rsidRPr="001E591A">
        <w:rPr>
          <w:rStyle w:val="Reference"/>
        </w:rPr>
        <w:t>[AASB 1052.15(a), AASB 1004.54-58]</w:t>
      </w:r>
      <w:bookmarkEnd w:id="49"/>
      <w:bookmarkEnd w:id="50"/>
      <w:bookmarkEnd w:id="51"/>
    </w:p>
    <w:p w14:paraId="1CB05A2E" w14:textId="37278861" w:rsidR="003719CD" w:rsidRDefault="003719CD" w:rsidP="00DC39DE">
      <w:r>
        <w:t xml:space="preserve">In August </w:t>
      </w:r>
      <w:fldSimple w:instr="DOCPROPERTY  YearPrevious  \* MERGEFORMAT">
        <w:r w:rsidR="00A545BA">
          <w:t>20X1</w:t>
        </w:r>
      </w:fldSimple>
      <w:r>
        <w:t xml:space="preserve">, the Government issued an administrative order restructuring some of its activities via machinery of government changes, taking effect from 1 September </w:t>
      </w:r>
      <w:fldSimple w:instr="DOCPROPERTY  YearPrevious  \* MERGEFORMAT">
        <w:r w:rsidR="00A545BA">
          <w:t>20X1</w:t>
        </w:r>
      </w:fldSimple>
      <w:r>
        <w:t>. As part of the machinery of government restructure, the Department (as transferor) relinquished its New Technology Administration output to the Department of Cabinet Administration (the transferee). The combined income and expenses for the new technology administration output for the reporting period are reported by the Department of Cabinet Administration.</w:t>
      </w:r>
    </w:p>
    <w:p w14:paraId="34805248" w14:textId="77777777" w:rsidR="003719CD" w:rsidRDefault="003719CD" w:rsidP="00DC39DE">
      <w:r>
        <w:t>In addition, the Department (as transferee) assumed responsibility for the research and development of biological technology output from the Department of Natural Resources (the transferor). The combined income and expenses for the research and development of biological technology output for the reporting period (including those recognised by the Department of Natural Resources) are as follows:</w:t>
      </w:r>
    </w:p>
    <w:p w14:paraId="39E15725"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820"/>
        <w:gridCol w:w="1843"/>
        <w:gridCol w:w="2069"/>
        <w:gridCol w:w="907"/>
      </w:tblGrid>
      <w:tr w:rsidR="00182709" w14:paraId="7B8E886C"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0D137E9D" w14:textId="77777777" w:rsidR="00182709" w:rsidRDefault="00182709">
            <w:pPr>
              <w:keepNext/>
            </w:pPr>
          </w:p>
        </w:tc>
        <w:tc>
          <w:tcPr>
            <w:tcW w:w="1843" w:type="dxa"/>
          </w:tcPr>
          <w:p w14:paraId="3FED0D2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Department of Natural Resources</w:t>
            </w:r>
          </w:p>
        </w:tc>
        <w:tc>
          <w:tcPr>
            <w:tcW w:w="2069" w:type="dxa"/>
          </w:tcPr>
          <w:p w14:paraId="041F3D6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Department of Technology</w:t>
            </w:r>
          </w:p>
        </w:tc>
        <w:tc>
          <w:tcPr>
            <w:tcW w:w="907" w:type="dxa"/>
          </w:tcPr>
          <w:p w14:paraId="3D839240" w14:textId="69EA5C54"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A8451A" w14:paraId="3A6B1263"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26149C02" w14:textId="77777777" w:rsidR="00A8451A" w:rsidRDefault="00A8451A" w:rsidP="00A8451A">
            <w:pPr>
              <w:keepNext/>
            </w:pPr>
            <w:r>
              <w:t>Research and development of biological technology output</w:t>
            </w:r>
          </w:p>
        </w:tc>
        <w:tc>
          <w:tcPr>
            <w:tcW w:w="1843" w:type="dxa"/>
          </w:tcPr>
          <w:p w14:paraId="7FB1CD78" w14:textId="4F821AA1"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 xml:space="preserve">(Jul‑Aug </w:t>
            </w:r>
            <w:fldSimple w:instr="DOCPROPERTY  YearPrevious  \* MERGEFORMAT">
              <w:r w:rsidR="00645E0B">
                <w:t>20X1</w:t>
              </w:r>
            </w:fldSimple>
            <w:r>
              <w:t>)</w:t>
            </w:r>
          </w:p>
        </w:tc>
        <w:tc>
          <w:tcPr>
            <w:tcW w:w="2069" w:type="dxa"/>
          </w:tcPr>
          <w:p w14:paraId="63245F24" w14:textId="664422FF"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 xml:space="preserve">(Sep </w:t>
            </w:r>
            <w:fldSimple w:instr="DOCPROPERTY  YearPrevious  \* MERGEFORMAT">
              <w:r w:rsidR="00645E0B">
                <w:t>20X1</w:t>
              </w:r>
            </w:fldSimple>
            <w:r>
              <w:t xml:space="preserve"> ‑ Jun </w:t>
            </w:r>
            <w:fldSimple w:instr="DOCPROPERTY  YearCurrent \* MERGEFORMAT">
              <w:r w:rsidR="00633C06">
                <w:t>20X2</w:t>
              </w:r>
            </w:fldSimple>
            <w:r>
              <w:t>)</w:t>
            </w:r>
          </w:p>
        </w:tc>
        <w:tc>
          <w:tcPr>
            <w:tcW w:w="907" w:type="dxa"/>
          </w:tcPr>
          <w:p w14:paraId="0562CD4F" w14:textId="43B1549A" w:rsidR="00A8451A" w:rsidRDefault="00A8451A" w:rsidP="00A8451A">
            <w:pPr>
              <w:keepNext/>
              <w:cnfStyle w:val="100000000000" w:firstRow="1" w:lastRow="0" w:firstColumn="0" w:lastColumn="0" w:oddVBand="0" w:evenVBand="0" w:oddHBand="0" w:evenHBand="0" w:firstRowFirstColumn="0" w:firstRowLastColumn="0" w:lastRowFirstColumn="0" w:lastRowLastColumn="0"/>
            </w:pPr>
            <w:r>
              <w:t>Total</w:t>
            </w:r>
          </w:p>
        </w:tc>
      </w:tr>
      <w:tr w:rsidR="00A8451A" w14:paraId="076FFFD3" w14:textId="77777777">
        <w:tc>
          <w:tcPr>
            <w:cnfStyle w:val="001000000000" w:firstRow="0" w:lastRow="0" w:firstColumn="1" w:lastColumn="0" w:oddVBand="0" w:evenVBand="0" w:oddHBand="0" w:evenHBand="0" w:firstRowFirstColumn="0" w:firstRowLastColumn="0" w:lastRowFirstColumn="0" w:lastRowLastColumn="0"/>
            <w:tcW w:w="4820" w:type="dxa"/>
          </w:tcPr>
          <w:p w14:paraId="38AD2CC4" w14:textId="77777777" w:rsidR="00A8451A" w:rsidRDefault="00A8451A" w:rsidP="00A8451A">
            <w:r>
              <w:rPr>
                <w:b/>
              </w:rPr>
              <w:t>Controlled income and expenses</w:t>
            </w:r>
          </w:p>
        </w:tc>
        <w:tc>
          <w:tcPr>
            <w:tcW w:w="1843" w:type="dxa"/>
          </w:tcPr>
          <w:p w14:paraId="669B3C0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2069" w:type="dxa"/>
          </w:tcPr>
          <w:p w14:paraId="6C5A0CA3"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907" w:type="dxa"/>
          </w:tcPr>
          <w:p w14:paraId="55A3C957"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r>
      <w:tr w:rsidR="00A8451A" w14:paraId="090DD33F" w14:textId="77777777">
        <w:tc>
          <w:tcPr>
            <w:cnfStyle w:val="001000000000" w:firstRow="0" w:lastRow="0" w:firstColumn="1" w:lastColumn="0" w:oddVBand="0" w:evenVBand="0" w:oddHBand="0" w:evenHBand="0" w:firstRowFirstColumn="0" w:firstRowLastColumn="0" w:lastRowFirstColumn="0" w:lastRowLastColumn="0"/>
            <w:tcW w:w="4820" w:type="dxa"/>
          </w:tcPr>
          <w:p w14:paraId="6EB606BC" w14:textId="77777777" w:rsidR="00A8451A" w:rsidRDefault="00A8451A" w:rsidP="00A8451A">
            <w:r>
              <w:t>Income</w:t>
            </w:r>
          </w:p>
        </w:tc>
        <w:tc>
          <w:tcPr>
            <w:tcW w:w="1843" w:type="dxa"/>
          </w:tcPr>
          <w:p w14:paraId="582D4644"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4 556</w:t>
            </w:r>
          </w:p>
        </w:tc>
        <w:tc>
          <w:tcPr>
            <w:tcW w:w="2069" w:type="dxa"/>
          </w:tcPr>
          <w:p w14:paraId="5BED952A"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19 494</w:t>
            </w:r>
          </w:p>
        </w:tc>
        <w:tc>
          <w:tcPr>
            <w:tcW w:w="907" w:type="dxa"/>
          </w:tcPr>
          <w:p w14:paraId="44804CC4"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24 050</w:t>
            </w:r>
          </w:p>
        </w:tc>
      </w:tr>
      <w:tr w:rsidR="00A8451A" w14:paraId="24CB4832"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726DDBC5" w14:textId="77777777" w:rsidR="00A8451A" w:rsidRDefault="00A8451A" w:rsidP="00A8451A">
            <w:r>
              <w:t>Expenses</w:t>
            </w:r>
          </w:p>
        </w:tc>
        <w:tc>
          <w:tcPr>
            <w:tcW w:w="1843" w:type="dxa"/>
            <w:tcBorders>
              <w:bottom w:val="single" w:sz="12" w:space="0" w:color="auto"/>
            </w:tcBorders>
          </w:tcPr>
          <w:p w14:paraId="7B95042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(4 375)</w:t>
            </w:r>
          </w:p>
        </w:tc>
        <w:tc>
          <w:tcPr>
            <w:tcW w:w="2069" w:type="dxa"/>
            <w:tcBorders>
              <w:bottom w:val="single" w:sz="12" w:space="0" w:color="auto"/>
            </w:tcBorders>
          </w:tcPr>
          <w:p w14:paraId="1ECC7807"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(18 722)</w:t>
            </w:r>
          </w:p>
        </w:tc>
        <w:tc>
          <w:tcPr>
            <w:tcW w:w="907" w:type="dxa"/>
            <w:tcBorders>
              <w:bottom w:val="single" w:sz="12" w:space="0" w:color="auto"/>
            </w:tcBorders>
          </w:tcPr>
          <w:p w14:paraId="252558C5"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(23 097)</w:t>
            </w:r>
          </w:p>
        </w:tc>
      </w:tr>
      <w:tr w:rsidR="00671D55" w14:paraId="50CB3380"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259D7CB5" w14:textId="77777777" w:rsidR="00A8451A" w:rsidRDefault="00A8451A" w:rsidP="00A8451A">
            <w:r>
              <w:rPr>
                <w:b/>
              </w:rPr>
              <w:t>Administered income and expenses</w:t>
            </w:r>
          </w:p>
        </w:tc>
        <w:tc>
          <w:tcPr>
            <w:tcW w:w="1843" w:type="dxa"/>
          </w:tcPr>
          <w:p w14:paraId="25C5FDBA"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2069" w:type="dxa"/>
          </w:tcPr>
          <w:p w14:paraId="37A39778"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c>
          <w:tcPr>
            <w:tcW w:w="907" w:type="dxa"/>
          </w:tcPr>
          <w:p w14:paraId="19F6BAB3"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p>
        </w:tc>
      </w:tr>
      <w:tr w:rsidR="00A8451A" w14:paraId="200A4840" w14:textId="77777777">
        <w:tc>
          <w:tcPr>
            <w:cnfStyle w:val="001000000000" w:firstRow="0" w:lastRow="0" w:firstColumn="1" w:lastColumn="0" w:oddVBand="0" w:evenVBand="0" w:oddHBand="0" w:evenHBand="0" w:firstRowFirstColumn="0" w:firstRowLastColumn="0" w:lastRowFirstColumn="0" w:lastRowLastColumn="0"/>
            <w:tcW w:w="4820" w:type="dxa"/>
          </w:tcPr>
          <w:p w14:paraId="2A46B20C" w14:textId="77777777" w:rsidR="00A8451A" w:rsidRDefault="00A8451A" w:rsidP="00A8451A">
            <w:r>
              <w:t>Income</w:t>
            </w:r>
          </w:p>
        </w:tc>
        <w:tc>
          <w:tcPr>
            <w:tcW w:w="1843" w:type="dxa"/>
          </w:tcPr>
          <w:p w14:paraId="7529518B"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541</w:t>
            </w:r>
          </w:p>
        </w:tc>
        <w:tc>
          <w:tcPr>
            <w:tcW w:w="2069" w:type="dxa"/>
          </w:tcPr>
          <w:p w14:paraId="4D2A43DF"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2 314</w:t>
            </w:r>
          </w:p>
        </w:tc>
        <w:tc>
          <w:tcPr>
            <w:tcW w:w="907" w:type="dxa"/>
          </w:tcPr>
          <w:p w14:paraId="697A9DF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2 855</w:t>
            </w:r>
          </w:p>
        </w:tc>
      </w:tr>
      <w:tr w:rsidR="00A8451A" w14:paraId="3DF464DC" w14:textId="77777777">
        <w:tc>
          <w:tcPr>
            <w:cnfStyle w:val="001000000000" w:firstRow="0" w:lastRow="0" w:firstColumn="1" w:lastColumn="0" w:oddVBand="0" w:evenVBand="0" w:oddHBand="0" w:evenHBand="0" w:firstRowFirstColumn="0" w:firstRowLastColumn="0" w:lastRowFirstColumn="0" w:lastRowLastColumn="0"/>
            <w:tcW w:w="4820" w:type="dxa"/>
          </w:tcPr>
          <w:p w14:paraId="458271FA" w14:textId="77777777" w:rsidR="00A8451A" w:rsidRDefault="00A8451A" w:rsidP="00A8451A">
            <w:r>
              <w:t>Expenses</w:t>
            </w:r>
          </w:p>
        </w:tc>
        <w:tc>
          <w:tcPr>
            <w:tcW w:w="1843" w:type="dxa"/>
          </w:tcPr>
          <w:p w14:paraId="385B5C89"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(519)</w:t>
            </w:r>
          </w:p>
        </w:tc>
        <w:tc>
          <w:tcPr>
            <w:tcW w:w="2069" w:type="dxa"/>
          </w:tcPr>
          <w:p w14:paraId="23F9D002"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(2 222)</w:t>
            </w:r>
          </w:p>
        </w:tc>
        <w:tc>
          <w:tcPr>
            <w:tcW w:w="907" w:type="dxa"/>
          </w:tcPr>
          <w:p w14:paraId="41ADA735" w14:textId="77777777" w:rsidR="00A8451A" w:rsidRDefault="00A8451A" w:rsidP="00A8451A">
            <w:pPr>
              <w:cnfStyle w:val="000000000000" w:firstRow="0" w:lastRow="0" w:firstColumn="0" w:lastColumn="0" w:oddVBand="0" w:evenVBand="0" w:oddHBand="0" w:evenHBand="0" w:firstRowFirstColumn="0" w:firstRowLastColumn="0" w:lastRowFirstColumn="0" w:lastRowLastColumn="0"/>
            </w:pPr>
            <w:r>
              <w:t>(2 741)</w:t>
            </w:r>
          </w:p>
        </w:tc>
      </w:tr>
    </w:tbl>
    <w:p w14:paraId="0E094101" w14:textId="77777777" w:rsidR="003719CD" w:rsidRDefault="003719CD" w:rsidP="00DC39DE">
      <w:r>
        <w:t>Comparative amounts for the prior year have not been adjusted.</w:t>
      </w:r>
    </w:p>
    <w:p w14:paraId="140F84DB" w14:textId="77777777" w:rsidR="003719CD" w:rsidRDefault="003719CD" w:rsidP="00DC39DE">
      <w:r>
        <w:t>The net assets assumed by the Department for the research and development of biological technology output as a result of the administrative restructure is recognised in the balance sheet at the carrying amount of those assets in the transferor’s (Department of Natural Resources) balance sheet immediately before the transfer.</w:t>
      </w:r>
    </w:p>
    <w:p w14:paraId="32686F98" w14:textId="77777777" w:rsidR="003719CD" w:rsidRDefault="003719CD" w:rsidP="00DC39DE">
      <w:r>
        <w:t>The net asset transfers were treated as a contribution of capital by the State. No income has been recognised by the Department in respect of the net asset transferred from the Department of Natural Resources.</w:t>
      </w:r>
    </w:p>
    <w:p w14:paraId="6B8DF03C" w14:textId="77777777" w:rsidR="003719CD" w:rsidRDefault="003719CD" w:rsidP="007D536F">
      <w:pPr>
        <w:pStyle w:val="Caption"/>
      </w:pPr>
      <w:r>
        <w:t xml:space="preserve">Restructuring of administrative arrangements </w:t>
      </w:r>
      <w:r w:rsidRPr="001E591A">
        <w:rPr>
          <w:rStyle w:val="Reference"/>
        </w:rPr>
        <w:t>[AASB 1052.15(a), AASB 1004.54-58]</w:t>
      </w:r>
      <w:r>
        <w:tab/>
        <w:t>($ thousand)</w:t>
      </w:r>
    </w:p>
    <w:tbl>
      <w:tblPr>
        <w:tblStyle w:val="DTFTable"/>
        <w:tblW w:w="9639" w:type="dxa"/>
        <w:tblLayout w:type="fixed"/>
        <w:tblLook w:val="06A0" w:firstRow="1" w:lastRow="0" w:firstColumn="1" w:lastColumn="0" w:noHBand="1" w:noVBand="1"/>
      </w:tblPr>
      <w:tblGrid>
        <w:gridCol w:w="5387"/>
        <w:gridCol w:w="1984"/>
        <w:gridCol w:w="2268"/>
      </w:tblGrid>
      <w:tr w:rsidR="008E5233" w14:paraId="2AEAE193" w14:textId="77777777" w:rsidTr="00E05B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7" w:type="dxa"/>
          </w:tcPr>
          <w:p w14:paraId="63CE2622" w14:textId="77777777" w:rsidR="008E5233" w:rsidRDefault="008E5233">
            <w:pPr>
              <w:keepNext/>
            </w:pPr>
          </w:p>
        </w:tc>
        <w:tc>
          <w:tcPr>
            <w:tcW w:w="1984" w:type="dxa"/>
          </w:tcPr>
          <w:p w14:paraId="7699DADD" w14:textId="4414F892" w:rsidR="008E5233" w:rsidRDefault="00633C06">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t>20X2</w:t>
              </w:r>
            </w:fldSimple>
          </w:p>
        </w:tc>
        <w:tc>
          <w:tcPr>
            <w:tcW w:w="2268" w:type="dxa"/>
          </w:tcPr>
          <w:p w14:paraId="076E3B70" w14:textId="6EEE5509" w:rsidR="008E5233" w:rsidRDefault="00633C06">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t>20X2</w:t>
              </w:r>
            </w:fldSimple>
          </w:p>
        </w:tc>
      </w:tr>
      <w:tr w:rsidR="008E5233" w14:paraId="489082C1" w14:textId="77777777" w:rsidTr="00E05B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87" w:type="dxa"/>
          </w:tcPr>
          <w:p w14:paraId="0FDC8C7D" w14:textId="77777777" w:rsidR="008E5233" w:rsidRDefault="008E5233">
            <w:pPr>
              <w:keepNext/>
            </w:pPr>
          </w:p>
        </w:tc>
        <w:tc>
          <w:tcPr>
            <w:tcW w:w="1984" w:type="dxa"/>
          </w:tcPr>
          <w:p w14:paraId="1B0640D9"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Transfer in:</w:t>
            </w:r>
            <w:r>
              <w:br/>
              <w:t>Output – R&amp;D biological technology</w:t>
            </w:r>
          </w:p>
        </w:tc>
        <w:tc>
          <w:tcPr>
            <w:tcW w:w="2268" w:type="dxa"/>
          </w:tcPr>
          <w:p w14:paraId="59F2897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Transfer out:</w:t>
            </w:r>
            <w:r>
              <w:br/>
              <w:t>Output – new technology administration</w:t>
            </w:r>
          </w:p>
        </w:tc>
      </w:tr>
      <w:tr w:rsidR="008E5233" w14:paraId="4B5E1396" w14:textId="77777777">
        <w:tc>
          <w:tcPr>
            <w:cnfStyle w:val="001000000000" w:firstRow="0" w:lastRow="0" w:firstColumn="1" w:lastColumn="0" w:oddVBand="0" w:evenVBand="0" w:oddHBand="0" w:evenHBand="0" w:firstRowFirstColumn="0" w:firstRowLastColumn="0" w:lastRowFirstColumn="0" w:lastRowLastColumn="0"/>
            <w:tcW w:w="5387" w:type="dxa"/>
          </w:tcPr>
          <w:p w14:paraId="6AF50EDC" w14:textId="77777777" w:rsidR="008E5233" w:rsidRDefault="005648A9">
            <w:r>
              <w:rPr>
                <w:b/>
              </w:rPr>
              <w:t>Assets</w:t>
            </w:r>
          </w:p>
        </w:tc>
        <w:tc>
          <w:tcPr>
            <w:tcW w:w="1984" w:type="dxa"/>
          </w:tcPr>
          <w:p w14:paraId="56480B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24F0F7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AA0E6C4" w14:textId="77777777">
        <w:tc>
          <w:tcPr>
            <w:cnfStyle w:val="001000000000" w:firstRow="0" w:lastRow="0" w:firstColumn="1" w:lastColumn="0" w:oddVBand="0" w:evenVBand="0" w:oddHBand="0" w:evenHBand="0" w:firstRowFirstColumn="0" w:firstRowLastColumn="0" w:lastRowFirstColumn="0" w:lastRowLastColumn="0"/>
            <w:tcW w:w="5387" w:type="dxa"/>
          </w:tcPr>
          <w:p w14:paraId="73224538" w14:textId="77777777" w:rsidR="008E5233" w:rsidRDefault="005648A9">
            <w:r>
              <w:t>Cash and deposits</w:t>
            </w:r>
          </w:p>
        </w:tc>
        <w:tc>
          <w:tcPr>
            <w:tcW w:w="1984" w:type="dxa"/>
          </w:tcPr>
          <w:p w14:paraId="04C66C7C"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2268" w:type="dxa"/>
          </w:tcPr>
          <w:p w14:paraId="4B3C7D54" w14:textId="77777777" w:rsidR="008E5233" w:rsidRDefault="005648A9">
            <w:pPr>
              <w:cnfStyle w:val="000000000000" w:firstRow="0" w:lastRow="0" w:firstColumn="0" w:lastColumn="0" w:oddVBand="0" w:evenVBand="0" w:oddHBand="0" w:evenHBand="0" w:firstRowFirstColumn="0" w:firstRowLastColumn="0" w:lastRowFirstColumn="0" w:lastRowLastColumn="0"/>
            </w:pPr>
            <w:r>
              <w:t>(3 072)</w:t>
            </w:r>
          </w:p>
        </w:tc>
      </w:tr>
      <w:tr w:rsidR="008E5233" w14:paraId="686FF60A" w14:textId="77777777">
        <w:tc>
          <w:tcPr>
            <w:cnfStyle w:val="001000000000" w:firstRow="0" w:lastRow="0" w:firstColumn="1" w:lastColumn="0" w:oddVBand="0" w:evenVBand="0" w:oddHBand="0" w:evenHBand="0" w:firstRowFirstColumn="0" w:firstRowLastColumn="0" w:lastRowFirstColumn="0" w:lastRowLastColumn="0"/>
            <w:tcW w:w="5387" w:type="dxa"/>
          </w:tcPr>
          <w:p w14:paraId="39C1D295" w14:textId="77777777" w:rsidR="008E5233" w:rsidRDefault="005648A9">
            <w:r>
              <w:t>Receivables</w:t>
            </w:r>
          </w:p>
        </w:tc>
        <w:tc>
          <w:tcPr>
            <w:tcW w:w="1984" w:type="dxa"/>
          </w:tcPr>
          <w:p w14:paraId="5BB86EC0" w14:textId="77777777" w:rsidR="008E5233" w:rsidRDefault="005648A9">
            <w:pPr>
              <w:cnfStyle w:val="000000000000" w:firstRow="0" w:lastRow="0" w:firstColumn="0" w:lastColumn="0" w:oddVBand="0" w:evenVBand="0" w:oddHBand="0" w:evenHBand="0" w:firstRowFirstColumn="0" w:firstRowLastColumn="0" w:lastRowFirstColumn="0" w:lastRowLastColumn="0"/>
            </w:pPr>
            <w:r>
              <w:t>2 767</w:t>
            </w:r>
          </w:p>
        </w:tc>
        <w:tc>
          <w:tcPr>
            <w:tcW w:w="2268" w:type="dxa"/>
          </w:tcPr>
          <w:p w14:paraId="4D7DA6AC" w14:textId="77777777" w:rsidR="008E5233" w:rsidRDefault="005648A9">
            <w:pPr>
              <w:cnfStyle w:val="000000000000" w:firstRow="0" w:lastRow="0" w:firstColumn="0" w:lastColumn="0" w:oddVBand="0" w:evenVBand="0" w:oddHBand="0" w:evenHBand="0" w:firstRowFirstColumn="0" w:firstRowLastColumn="0" w:lastRowFirstColumn="0" w:lastRowLastColumn="0"/>
            </w:pPr>
            <w:r>
              <w:t>(11 926)</w:t>
            </w:r>
          </w:p>
        </w:tc>
      </w:tr>
      <w:tr w:rsidR="008E5233" w14:paraId="532FEC77" w14:textId="77777777">
        <w:tc>
          <w:tcPr>
            <w:cnfStyle w:val="001000000000" w:firstRow="0" w:lastRow="0" w:firstColumn="1" w:lastColumn="0" w:oddVBand="0" w:evenVBand="0" w:oddHBand="0" w:evenHBand="0" w:firstRowFirstColumn="0" w:firstRowLastColumn="0" w:lastRowFirstColumn="0" w:lastRowLastColumn="0"/>
            <w:tcW w:w="5387" w:type="dxa"/>
          </w:tcPr>
          <w:p w14:paraId="2A3ECA81" w14:textId="77777777" w:rsidR="008E5233" w:rsidRDefault="005648A9">
            <w:r>
              <w:t>Investments and other financial assets</w:t>
            </w:r>
          </w:p>
        </w:tc>
        <w:tc>
          <w:tcPr>
            <w:tcW w:w="1984" w:type="dxa"/>
          </w:tcPr>
          <w:p w14:paraId="45EB8DC8" w14:textId="77777777" w:rsidR="008E5233" w:rsidRDefault="005648A9">
            <w:pPr>
              <w:cnfStyle w:val="000000000000" w:firstRow="0" w:lastRow="0" w:firstColumn="0" w:lastColumn="0" w:oddVBand="0" w:evenVBand="0" w:oddHBand="0" w:evenHBand="0" w:firstRowFirstColumn="0" w:firstRowLastColumn="0" w:lastRowFirstColumn="0" w:lastRowLastColumn="0"/>
            </w:pPr>
            <w:r>
              <w:t>2 401</w:t>
            </w:r>
          </w:p>
        </w:tc>
        <w:tc>
          <w:tcPr>
            <w:tcW w:w="2268" w:type="dxa"/>
          </w:tcPr>
          <w:p w14:paraId="78AB001A" w14:textId="77777777" w:rsidR="008E5233" w:rsidRDefault="005648A9">
            <w:pPr>
              <w:cnfStyle w:val="000000000000" w:firstRow="0" w:lastRow="0" w:firstColumn="0" w:lastColumn="0" w:oddVBand="0" w:evenVBand="0" w:oddHBand="0" w:evenHBand="0" w:firstRowFirstColumn="0" w:firstRowLastColumn="0" w:lastRowFirstColumn="0" w:lastRowLastColumn="0"/>
            </w:pPr>
            <w:r>
              <w:t>(5 266)</w:t>
            </w:r>
          </w:p>
        </w:tc>
      </w:tr>
      <w:tr w:rsidR="008E5233" w14:paraId="495F83F2" w14:textId="77777777">
        <w:tc>
          <w:tcPr>
            <w:cnfStyle w:val="001000000000" w:firstRow="0" w:lastRow="0" w:firstColumn="1" w:lastColumn="0" w:oddVBand="0" w:evenVBand="0" w:oddHBand="0" w:evenHBand="0" w:firstRowFirstColumn="0" w:firstRowLastColumn="0" w:lastRowFirstColumn="0" w:lastRowLastColumn="0"/>
            <w:tcW w:w="5387" w:type="dxa"/>
          </w:tcPr>
          <w:p w14:paraId="708F775B" w14:textId="77777777" w:rsidR="008E5233" w:rsidRDefault="005648A9">
            <w:r>
              <w:t>Investments accounted for using the equity method</w:t>
            </w:r>
          </w:p>
        </w:tc>
        <w:tc>
          <w:tcPr>
            <w:tcW w:w="1984" w:type="dxa"/>
          </w:tcPr>
          <w:p w14:paraId="4AE2CE0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2268" w:type="dxa"/>
          </w:tcPr>
          <w:p w14:paraId="7A05BE39" w14:textId="77777777" w:rsidR="008E5233" w:rsidRDefault="005648A9">
            <w:pPr>
              <w:cnfStyle w:val="000000000000" w:firstRow="0" w:lastRow="0" w:firstColumn="0" w:lastColumn="0" w:oddVBand="0" w:evenVBand="0" w:oddHBand="0" w:evenHBand="0" w:firstRowFirstColumn="0" w:firstRowLastColumn="0" w:lastRowFirstColumn="0" w:lastRowLastColumn="0"/>
            </w:pPr>
            <w:r>
              <w:t>(2 471)</w:t>
            </w:r>
          </w:p>
        </w:tc>
      </w:tr>
      <w:tr w:rsidR="008E5233" w14:paraId="7034313A" w14:textId="77777777">
        <w:tc>
          <w:tcPr>
            <w:cnfStyle w:val="001000000000" w:firstRow="0" w:lastRow="0" w:firstColumn="1" w:lastColumn="0" w:oddVBand="0" w:evenVBand="0" w:oddHBand="0" w:evenHBand="0" w:firstRowFirstColumn="0" w:firstRowLastColumn="0" w:lastRowFirstColumn="0" w:lastRowLastColumn="0"/>
            <w:tcW w:w="5387" w:type="dxa"/>
          </w:tcPr>
          <w:p w14:paraId="7055C2D6" w14:textId="77777777" w:rsidR="008E5233" w:rsidRDefault="005648A9">
            <w:r>
              <w:t>Inventories</w:t>
            </w:r>
          </w:p>
        </w:tc>
        <w:tc>
          <w:tcPr>
            <w:tcW w:w="1984" w:type="dxa"/>
          </w:tcPr>
          <w:p w14:paraId="25208979" w14:textId="77777777" w:rsidR="008E5233" w:rsidRDefault="005648A9">
            <w:pPr>
              <w:cnfStyle w:val="000000000000" w:firstRow="0" w:lastRow="0" w:firstColumn="0" w:lastColumn="0" w:oddVBand="0" w:evenVBand="0" w:oddHBand="0" w:evenHBand="0" w:firstRowFirstColumn="0" w:firstRowLastColumn="0" w:lastRowFirstColumn="0" w:lastRowLastColumn="0"/>
            </w:pPr>
            <w:r>
              <w:t>2 972</w:t>
            </w:r>
          </w:p>
        </w:tc>
        <w:tc>
          <w:tcPr>
            <w:tcW w:w="2268" w:type="dxa"/>
          </w:tcPr>
          <w:p w14:paraId="6C46B900" w14:textId="77777777" w:rsidR="008E5233" w:rsidRDefault="005648A9">
            <w:pPr>
              <w:cnfStyle w:val="000000000000" w:firstRow="0" w:lastRow="0" w:firstColumn="0" w:lastColumn="0" w:oddVBand="0" w:evenVBand="0" w:oddHBand="0" w:evenHBand="0" w:firstRowFirstColumn="0" w:firstRowLastColumn="0" w:lastRowFirstColumn="0" w:lastRowLastColumn="0"/>
            </w:pPr>
            <w:r>
              <w:t>(11 317)</w:t>
            </w:r>
          </w:p>
        </w:tc>
      </w:tr>
      <w:tr w:rsidR="008E5233" w14:paraId="726E1DE3" w14:textId="77777777">
        <w:tc>
          <w:tcPr>
            <w:cnfStyle w:val="001000000000" w:firstRow="0" w:lastRow="0" w:firstColumn="1" w:lastColumn="0" w:oddVBand="0" w:evenVBand="0" w:oddHBand="0" w:evenHBand="0" w:firstRowFirstColumn="0" w:firstRowLastColumn="0" w:lastRowFirstColumn="0" w:lastRowLastColumn="0"/>
            <w:tcW w:w="5387" w:type="dxa"/>
          </w:tcPr>
          <w:p w14:paraId="1D518492" w14:textId="77777777" w:rsidR="008E5233" w:rsidRDefault="005648A9">
            <w:r>
              <w:t>Property, plant and equipment</w:t>
            </w:r>
          </w:p>
        </w:tc>
        <w:tc>
          <w:tcPr>
            <w:tcW w:w="1984" w:type="dxa"/>
          </w:tcPr>
          <w:p w14:paraId="5B578A50" w14:textId="77777777" w:rsidR="008E5233" w:rsidRDefault="005648A9">
            <w:pPr>
              <w:cnfStyle w:val="000000000000" w:firstRow="0" w:lastRow="0" w:firstColumn="0" w:lastColumn="0" w:oddVBand="0" w:evenVBand="0" w:oddHBand="0" w:evenHBand="0" w:firstRowFirstColumn="0" w:firstRowLastColumn="0" w:lastRowFirstColumn="0" w:lastRowLastColumn="0"/>
            </w:pPr>
            <w:r>
              <w:t>15 512</w:t>
            </w:r>
          </w:p>
        </w:tc>
        <w:tc>
          <w:tcPr>
            <w:tcW w:w="2268" w:type="dxa"/>
          </w:tcPr>
          <w:p w14:paraId="4861FE85" w14:textId="77777777" w:rsidR="008E5233" w:rsidRDefault="005648A9">
            <w:pPr>
              <w:cnfStyle w:val="000000000000" w:firstRow="0" w:lastRow="0" w:firstColumn="0" w:lastColumn="0" w:oddVBand="0" w:evenVBand="0" w:oddHBand="0" w:evenHBand="0" w:firstRowFirstColumn="0" w:firstRowLastColumn="0" w:lastRowFirstColumn="0" w:lastRowLastColumn="0"/>
            </w:pPr>
            <w:r>
              <w:t>(31 012)</w:t>
            </w:r>
          </w:p>
        </w:tc>
      </w:tr>
      <w:tr w:rsidR="008E5233" w14:paraId="5CD0A0D7" w14:textId="77777777">
        <w:tc>
          <w:tcPr>
            <w:cnfStyle w:val="001000000000" w:firstRow="0" w:lastRow="0" w:firstColumn="1" w:lastColumn="0" w:oddVBand="0" w:evenVBand="0" w:oddHBand="0" w:evenHBand="0" w:firstRowFirstColumn="0" w:firstRowLastColumn="0" w:lastRowFirstColumn="0" w:lastRowLastColumn="0"/>
            <w:tcW w:w="5387" w:type="dxa"/>
          </w:tcPr>
          <w:p w14:paraId="057D8B0C" w14:textId="77777777" w:rsidR="008E5233" w:rsidRDefault="005648A9">
            <w:r>
              <w:t>Biological assets</w:t>
            </w:r>
          </w:p>
        </w:tc>
        <w:tc>
          <w:tcPr>
            <w:tcW w:w="1984" w:type="dxa"/>
          </w:tcPr>
          <w:p w14:paraId="3C4C0F52" w14:textId="77777777" w:rsidR="008E5233" w:rsidRDefault="005648A9">
            <w:pPr>
              <w:cnfStyle w:val="000000000000" w:firstRow="0" w:lastRow="0" w:firstColumn="0" w:lastColumn="0" w:oddVBand="0" w:evenVBand="0" w:oddHBand="0" w:evenHBand="0" w:firstRowFirstColumn="0" w:firstRowLastColumn="0" w:lastRowFirstColumn="0" w:lastRowLastColumn="0"/>
            </w:pPr>
            <w:r>
              <w:t>3 080</w:t>
            </w:r>
          </w:p>
        </w:tc>
        <w:tc>
          <w:tcPr>
            <w:tcW w:w="2268" w:type="dxa"/>
          </w:tcPr>
          <w:p w14:paraId="4CF48CF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14FED47" w14:textId="77777777">
        <w:tc>
          <w:tcPr>
            <w:cnfStyle w:val="001000000000" w:firstRow="0" w:lastRow="0" w:firstColumn="1" w:lastColumn="0" w:oddVBand="0" w:evenVBand="0" w:oddHBand="0" w:evenHBand="0" w:firstRowFirstColumn="0" w:firstRowLastColumn="0" w:lastRowFirstColumn="0" w:lastRowLastColumn="0"/>
            <w:tcW w:w="5387" w:type="dxa"/>
          </w:tcPr>
          <w:p w14:paraId="4AB75263" w14:textId="77777777" w:rsidR="008E5233" w:rsidRDefault="005648A9">
            <w:r>
              <w:t>Investment properties</w:t>
            </w:r>
          </w:p>
        </w:tc>
        <w:tc>
          <w:tcPr>
            <w:tcW w:w="1984" w:type="dxa"/>
          </w:tcPr>
          <w:p w14:paraId="75E08A96" w14:textId="77777777" w:rsidR="008E5233" w:rsidRDefault="005648A9">
            <w:pPr>
              <w:cnfStyle w:val="000000000000" w:firstRow="0" w:lastRow="0" w:firstColumn="0" w:lastColumn="0" w:oddVBand="0" w:evenVBand="0" w:oddHBand="0" w:evenHBand="0" w:firstRowFirstColumn="0" w:firstRowLastColumn="0" w:lastRowFirstColumn="0" w:lastRowLastColumn="0"/>
            </w:pPr>
            <w:r>
              <w:t>1 287</w:t>
            </w:r>
          </w:p>
        </w:tc>
        <w:tc>
          <w:tcPr>
            <w:tcW w:w="2268" w:type="dxa"/>
          </w:tcPr>
          <w:p w14:paraId="4231888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2E3AAA7" w14:textId="77777777">
        <w:tc>
          <w:tcPr>
            <w:cnfStyle w:val="001000000000" w:firstRow="0" w:lastRow="0" w:firstColumn="1" w:lastColumn="0" w:oddVBand="0" w:evenVBand="0" w:oddHBand="0" w:evenHBand="0" w:firstRowFirstColumn="0" w:firstRowLastColumn="0" w:lastRowFirstColumn="0" w:lastRowLastColumn="0"/>
            <w:tcW w:w="5387" w:type="dxa"/>
          </w:tcPr>
          <w:p w14:paraId="724E79C8" w14:textId="77777777" w:rsidR="008E5233" w:rsidRDefault="005648A9">
            <w:r>
              <w:t>Intangible assets</w:t>
            </w:r>
          </w:p>
        </w:tc>
        <w:tc>
          <w:tcPr>
            <w:tcW w:w="1984" w:type="dxa"/>
          </w:tcPr>
          <w:p w14:paraId="47A2E85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2268" w:type="dxa"/>
          </w:tcPr>
          <w:p w14:paraId="4FB737C7" w14:textId="77777777" w:rsidR="008E5233" w:rsidRDefault="005648A9">
            <w:pPr>
              <w:cnfStyle w:val="000000000000" w:firstRow="0" w:lastRow="0" w:firstColumn="0" w:lastColumn="0" w:oddVBand="0" w:evenVBand="0" w:oddHBand="0" w:evenHBand="0" w:firstRowFirstColumn="0" w:firstRowLastColumn="0" w:lastRowFirstColumn="0" w:lastRowLastColumn="0"/>
            </w:pPr>
            <w:r>
              <w:t>(3 630)</w:t>
            </w:r>
          </w:p>
        </w:tc>
      </w:tr>
      <w:tr w:rsidR="008E5233" w14:paraId="3135F9CD" w14:textId="77777777">
        <w:tc>
          <w:tcPr>
            <w:cnfStyle w:val="001000000000" w:firstRow="0" w:lastRow="0" w:firstColumn="1" w:lastColumn="0" w:oddVBand="0" w:evenVBand="0" w:oddHBand="0" w:evenHBand="0" w:firstRowFirstColumn="0" w:firstRowLastColumn="0" w:lastRowFirstColumn="0" w:lastRowLastColumn="0"/>
            <w:tcW w:w="5387" w:type="dxa"/>
          </w:tcPr>
          <w:p w14:paraId="3316AEF2" w14:textId="77777777" w:rsidR="008E5233" w:rsidRDefault="005648A9">
            <w:r>
              <w:t>Other non‑financial assets</w:t>
            </w:r>
          </w:p>
        </w:tc>
        <w:tc>
          <w:tcPr>
            <w:tcW w:w="1984" w:type="dxa"/>
          </w:tcPr>
          <w:p w14:paraId="0842516F" w14:textId="77777777" w:rsidR="008E5233" w:rsidRDefault="005648A9">
            <w:pPr>
              <w:cnfStyle w:val="000000000000" w:firstRow="0" w:lastRow="0" w:firstColumn="0" w:lastColumn="0" w:oddVBand="0" w:evenVBand="0" w:oddHBand="0" w:evenHBand="0" w:firstRowFirstColumn="0" w:firstRowLastColumn="0" w:lastRowFirstColumn="0" w:lastRowLastColumn="0"/>
            </w:pPr>
            <w:r>
              <w:t>34</w:t>
            </w:r>
          </w:p>
        </w:tc>
        <w:tc>
          <w:tcPr>
            <w:tcW w:w="2268" w:type="dxa"/>
          </w:tcPr>
          <w:p w14:paraId="733AC8C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CBA2174" w14:textId="77777777">
        <w:tc>
          <w:tcPr>
            <w:cnfStyle w:val="001000000000" w:firstRow="0" w:lastRow="0" w:firstColumn="1" w:lastColumn="0" w:oddVBand="0" w:evenVBand="0" w:oddHBand="0" w:evenHBand="0" w:firstRowFirstColumn="0" w:firstRowLastColumn="0" w:lastRowFirstColumn="0" w:lastRowLastColumn="0"/>
            <w:tcW w:w="5387" w:type="dxa"/>
          </w:tcPr>
          <w:p w14:paraId="7EBCF03B" w14:textId="77777777" w:rsidR="008E5233" w:rsidRDefault="005648A9">
            <w:r>
              <w:rPr>
                <w:b/>
              </w:rPr>
              <w:t>Liabilities</w:t>
            </w:r>
          </w:p>
        </w:tc>
        <w:tc>
          <w:tcPr>
            <w:tcW w:w="1984" w:type="dxa"/>
          </w:tcPr>
          <w:p w14:paraId="315901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3E9DF48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A3F077" w14:textId="77777777">
        <w:tc>
          <w:tcPr>
            <w:cnfStyle w:val="001000000000" w:firstRow="0" w:lastRow="0" w:firstColumn="1" w:lastColumn="0" w:oddVBand="0" w:evenVBand="0" w:oddHBand="0" w:evenHBand="0" w:firstRowFirstColumn="0" w:firstRowLastColumn="0" w:lastRowFirstColumn="0" w:lastRowLastColumn="0"/>
            <w:tcW w:w="5387" w:type="dxa"/>
          </w:tcPr>
          <w:p w14:paraId="1BA22D25" w14:textId="77777777" w:rsidR="008E5233" w:rsidRDefault="005648A9">
            <w:r>
              <w:t>Borrowings</w:t>
            </w:r>
          </w:p>
        </w:tc>
        <w:tc>
          <w:tcPr>
            <w:tcW w:w="1984" w:type="dxa"/>
          </w:tcPr>
          <w:p w14:paraId="37AA9B4A" w14:textId="77777777" w:rsidR="008E5233" w:rsidRDefault="005648A9">
            <w:pPr>
              <w:cnfStyle w:val="000000000000" w:firstRow="0" w:lastRow="0" w:firstColumn="0" w:lastColumn="0" w:oddVBand="0" w:evenVBand="0" w:oddHBand="0" w:evenHBand="0" w:firstRowFirstColumn="0" w:firstRowLastColumn="0" w:lastRowFirstColumn="0" w:lastRowLastColumn="0"/>
            </w:pPr>
            <w:r>
              <w:t>4 104</w:t>
            </w:r>
          </w:p>
        </w:tc>
        <w:tc>
          <w:tcPr>
            <w:tcW w:w="2268" w:type="dxa"/>
          </w:tcPr>
          <w:p w14:paraId="27143E3A" w14:textId="77777777" w:rsidR="008E5233" w:rsidRDefault="005648A9">
            <w:pPr>
              <w:cnfStyle w:val="000000000000" w:firstRow="0" w:lastRow="0" w:firstColumn="0" w:lastColumn="0" w:oddVBand="0" w:evenVBand="0" w:oddHBand="0" w:evenHBand="0" w:firstRowFirstColumn="0" w:firstRowLastColumn="0" w:lastRowFirstColumn="0" w:lastRowLastColumn="0"/>
            </w:pPr>
            <w:r>
              <w:t>(31 373)</w:t>
            </w:r>
          </w:p>
        </w:tc>
      </w:tr>
      <w:tr w:rsidR="008E5233" w14:paraId="0AA7AC27" w14:textId="77777777">
        <w:tc>
          <w:tcPr>
            <w:cnfStyle w:val="001000000000" w:firstRow="0" w:lastRow="0" w:firstColumn="1" w:lastColumn="0" w:oddVBand="0" w:evenVBand="0" w:oddHBand="0" w:evenHBand="0" w:firstRowFirstColumn="0" w:firstRowLastColumn="0" w:lastRowFirstColumn="0" w:lastRowLastColumn="0"/>
            <w:tcW w:w="5387" w:type="dxa"/>
          </w:tcPr>
          <w:p w14:paraId="024CE452" w14:textId="77777777" w:rsidR="008E5233" w:rsidRDefault="005648A9">
            <w:r>
              <w:t>Payables</w:t>
            </w:r>
          </w:p>
        </w:tc>
        <w:tc>
          <w:tcPr>
            <w:tcW w:w="1984" w:type="dxa"/>
          </w:tcPr>
          <w:p w14:paraId="5ADFBE28" w14:textId="77777777" w:rsidR="008E5233" w:rsidRDefault="005648A9">
            <w:pPr>
              <w:cnfStyle w:val="000000000000" w:firstRow="0" w:lastRow="0" w:firstColumn="0" w:lastColumn="0" w:oddVBand="0" w:evenVBand="0" w:oddHBand="0" w:evenHBand="0" w:firstRowFirstColumn="0" w:firstRowLastColumn="0" w:lastRowFirstColumn="0" w:lastRowLastColumn="0"/>
            </w:pPr>
            <w:r>
              <w:t>2 094</w:t>
            </w:r>
          </w:p>
        </w:tc>
        <w:tc>
          <w:tcPr>
            <w:tcW w:w="2268" w:type="dxa"/>
          </w:tcPr>
          <w:p w14:paraId="548EF05B" w14:textId="77777777" w:rsidR="008E5233" w:rsidRDefault="005648A9">
            <w:pPr>
              <w:cnfStyle w:val="000000000000" w:firstRow="0" w:lastRow="0" w:firstColumn="0" w:lastColumn="0" w:oddVBand="0" w:evenVBand="0" w:oddHBand="0" w:evenHBand="0" w:firstRowFirstColumn="0" w:firstRowLastColumn="0" w:lastRowFirstColumn="0" w:lastRowLastColumn="0"/>
            </w:pPr>
            <w:r>
              <w:t>(5 675)</w:t>
            </w:r>
          </w:p>
        </w:tc>
      </w:tr>
      <w:tr w:rsidR="008E5233" w14:paraId="274096C8" w14:textId="77777777">
        <w:tc>
          <w:tcPr>
            <w:cnfStyle w:val="001000000000" w:firstRow="0" w:lastRow="0" w:firstColumn="1" w:lastColumn="0" w:oddVBand="0" w:evenVBand="0" w:oddHBand="0" w:evenHBand="0" w:firstRowFirstColumn="0" w:firstRowLastColumn="0" w:lastRowFirstColumn="0" w:lastRowLastColumn="0"/>
            <w:tcW w:w="5387" w:type="dxa"/>
          </w:tcPr>
          <w:p w14:paraId="5D840685" w14:textId="77777777" w:rsidR="008E5233" w:rsidRDefault="005648A9">
            <w:r>
              <w:t>Provisions</w:t>
            </w:r>
          </w:p>
        </w:tc>
        <w:tc>
          <w:tcPr>
            <w:tcW w:w="1984" w:type="dxa"/>
          </w:tcPr>
          <w:p w14:paraId="2CFAF88E" w14:textId="77777777" w:rsidR="008E5233" w:rsidRDefault="005648A9">
            <w:pPr>
              <w:cnfStyle w:val="000000000000" w:firstRow="0" w:lastRow="0" w:firstColumn="0" w:lastColumn="0" w:oddVBand="0" w:evenVBand="0" w:oddHBand="0" w:evenHBand="0" w:firstRowFirstColumn="0" w:firstRowLastColumn="0" w:lastRowFirstColumn="0" w:lastRowLastColumn="0"/>
            </w:pPr>
            <w:r>
              <w:t>2 075</w:t>
            </w:r>
          </w:p>
        </w:tc>
        <w:tc>
          <w:tcPr>
            <w:tcW w:w="2268" w:type="dxa"/>
          </w:tcPr>
          <w:p w14:paraId="331E2A11" w14:textId="77777777" w:rsidR="008E5233" w:rsidRDefault="005648A9">
            <w:pPr>
              <w:cnfStyle w:val="000000000000" w:firstRow="0" w:lastRow="0" w:firstColumn="0" w:lastColumn="0" w:oddVBand="0" w:evenVBand="0" w:oddHBand="0" w:evenHBand="0" w:firstRowFirstColumn="0" w:firstRowLastColumn="0" w:lastRowFirstColumn="0" w:lastRowLastColumn="0"/>
            </w:pPr>
            <w:r>
              <w:t>(11 149)</w:t>
            </w:r>
          </w:p>
        </w:tc>
      </w:tr>
      <w:tr w:rsidR="008E5233" w14:paraId="1DB876F8" w14:textId="77777777" w:rsidTr="008E5233">
        <w:tc>
          <w:tcPr>
            <w:cnfStyle w:val="001000000000" w:firstRow="0" w:lastRow="0" w:firstColumn="1" w:lastColumn="0" w:oddVBand="0" w:evenVBand="0" w:oddHBand="0" w:evenHBand="0" w:firstRowFirstColumn="0" w:firstRowLastColumn="0" w:lastRowFirstColumn="0" w:lastRowLastColumn="0"/>
            <w:tcW w:w="5387" w:type="dxa"/>
            <w:tcBorders>
              <w:bottom w:val="single" w:sz="12" w:space="0" w:color="auto"/>
            </w:tcBorders>
          </w:tcPr>
          <w:p w14:paraId="73E550DE" w14:textId="77777777" w:rsidR="008E5233" w:rsidRDefault="005648A9">
            <w:r>
              <w:t>Other liabilities</w:t>
            </w:r>
          </w:p>
        </w:tc>
        <w:tc>
          <w:tcPr>
            <w:tcW w:w="1984" w:type="dxa"/>
            <w:tcBorders>
              <w:bottom w:val="single" w:sz="12" w:space="0" w:color="auto"/>
            </w:tcBorders>
          </w:tcPr>
          <w:p w14:paraId="3F5C492A" w14:textId="77777777" w:rsidR="008E5233" w:rsidRDefault="005648A9">
            <w:pPr>
              <w:cnfStyle w:val="000000000000" w:firstRow="0" w:lastRow="0" w:firstColumn="0" w:lastColumn="0" w:oddVBand="0" w:evenVBand="0" w:oddHBand="0" w:evenHBand="0" w:firstRowFirstColumn="0" w:firstRowLastColumn="0" w:lastRowFirstColumn="0" w:lastRowLastColumn="0"/>
            </w:pPr>
            <w:r>
              <w:t>168</w:t>
            </w:r>
          </w:p>
        </w:tc>
        <w:tc>
          <w:tcPr>
            <w:tcW w:w="2268" w:type="dxa"/>
            <w:tcBorders>
              <w:bottom w:val="single" w:sz="12" w:space="0" w:color="auto"/>
            </w:tcBorders>
          </w:tcPr>
          <w:p w14:paraId="526F951E" w14:textId="77777777" w:rsidR="008E5233" w:rsidRDefault="005648A9">
            <w:pPr>
              <w:cnfStyle w:val="000000000000" w:firstRow="0" w:lastRow="0" w:firstColumn="0" w:lastColumn="0" w:oddVBand="0" w:evenVBand="0" w:oddHBand="0" w:evenHBand="0" w:firstRowFirstColumn="0" w:firstRowLastColumn="0" w:lastRowFirstColumn="0" w:lastRowLastColumn="0"/>
            </w:pPr>
            <w:r>
              <w:t>(400)</w:t>
            </w:r>
          </w:p>
        </w:tc>
      </w:tr>
      <w:tr w:rsidR="00671D55" w14:paraId="39639FAA" w14:textId="77777777" w:rsidTr="008E5233">
        <w:tc>
          <w:tcPr>
            <w:cnfStyle w:val="001000000000" w:firstRow="0" w:lastRow="0" w:firstColumn="1" w:lastColumn="0" w:oddVBand="0" w:evenVBand="0" w:oddHBand="0" w:evenHBand="0" w:firstRowFirstColumn="0" w:firstRowLastColumn="0" w:lastRowFirstColumn="0" w:lastRowLastColumn="0"/>
            <w:tcW w:w="5387" w:type="dxa"/>
          </w:tcPr>
          <w:p w14:paraId="48B8BE1E" w14:textId="77777777" w:rsidR="008E5233" w:rsidRDefault="005648A9">
            <w:r>
              <w:rPr>
                <w:b/>
              </w:rPr>
              <w:t>Net assets recognised/(transferred)</w:t>
            </w:r>
          </w:p>
        </w:tc>
        <w:tc>
          <w:tcPr>
            <w:tcW w:w="1984" w:type="dxa"/>
          </w:tcPr>
          <w:p w14:paraId="72625D5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19 617</w:t>
            </w:r>
          </w:p>
        </w:tc>
        <w:tc>
          <w:tcPr>
            <w:tcW w:w="2268" w:type="dxa"/>
          </w:tcPr>
          <w:p w14:paraId="42A2ACC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(20 097)</w:t>
            </w:r>
          </w:p>
        </w:tc>
      </w:tr>
      <w:tr w:rsidR="00671D55" w14:paraId="641F6736" w14:textId="77777777" w:rsidTr="00182709">
        <w:tc>
          <w:tcPr>
            <w:cnfStyle w:val="001000000000" w:firstRow="0" w:lastRow="0" w:firstColumn="1" w:lastColumn="0" w:oddVBand="0" w:evenVBand="0" w:oddHBand="0" w:evenHBand="0" w:firstRowFirstColumn="0" w:firstRowLastColumn="0" w:lastRowFirstColumn="0" w:lastRowLastColumn="0"/>
            <w:tcW w:w="5387" w:type="dxa"/>
          </w:tcPr>
          <w:p w14:paraId="1F3CA950" w14:textId="77777777" w:rsidR="008E5233" w:rsidRDefault="005648A9">
            <w:r>
              <w:rPr>
                <w:b/>
              </w:rPr>
              <w:t>Net capital contribution from the Crown</w:t>
            </w:r>
          </w:p>
        </w:tc>
        <w:tc>
          <w:tcPr>
            <w:tcW w:w="1984" w:type="dxa"/>
          </w:tcPr>
          <w:p w14:paraId="7538200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2268" w:type="dxa"/>
          </w:tcPr>
          <w:p w14:paraId="05318E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(480)</w:t>
            </w:r>
          </w:p>
        </w:tc>
      </w:tr>
    </w:tbl>
    <w:p w14:paraId="2D2B05DD" w14:textId="77777777" w:rsidR="003719CD" w:rsidRDefault="003719CD" w:rsidP="00DC39DE"/>
    <w:p w14:paraId="7BBBB7F3" w14:textId="77777777" w:rsidR="00D70E94" w:rsidRDefault="00D70E94">
      <w:pPr>
        <w:keepLines w:val="0"/>
        <w:rPr>
          <w:rFonts w:asciiTheme="majorHAnsi" w:eastAsiaTheme="majorEastAsia" w:hAnsiTheme="majorHAnsi" w:cstheme="majorBidi"/>
          <w:b/>
          <w:bCs/>
          <w:iCs/>
          <w:color w:val="FFFFFF" w:themeColor="background1"/>
          <w:sz w:val="20"/>
          <w:szCs w:val="24"/>
        </w:rPr>
      </w:pPr>
      <w:r>
        <w:br w:type="page"/>
      </w:r>
    </w:p>
    <w:p w14:paraId="668CB1F8" w14:textId="59826DD0" w:rsidR="003719CD" w:rsidRDefault="003719CD" w:rsidP="007D536F">
      <w:pPr>
        <w:pStyle w:val="GuidanceBlockHeading"/>
      </w:pPr>
      <w:r>
        <w:lastRenderedPageBreak/>
        <w:t>Guidance – Restructuring of administrative arrangements</w:t>
      </w:r>
    </w:p>
    <w:p w14:paraId="3E946A42" w14:textId="1EF73D22" w:rsidR="003719CD" w:rsidRPr="001E591A" w:rsidRDefault="003719CD" w:rsidP="007D536F">
      <w:pPr>
        <w:rPr>
          <w:rStyle w:val="Guidance"/>
        </w:rPr>
      </w:pPr>
      <w:r w:rsidRPr="001E591A">
        <w:rPr>
          <w:rStyle w:val="Guidance"/>
        </w:rPr>
        <w:t xml:space="preserve">Requirements regarding restructures of administrative arrangements can be found by reference to AASB 1004 </w:t>
      </w:r>
      <w:r w:rsidRPr="001E591A">
        <w:rPr>
          <w:rStyle w:val="Guidance"/>
          <w:i/>
          <w:iCs/>
        </w:rPr>
        <w:t>Contributions</w:t>
      </w:r>
      <w:r w:rsidRPr="001E591A">
        <w:rPr>
          <w:rStyle w:val="Guidance"/>
        </w:rPr>
        <w:t xml:space="preserve"> and AASB Interpretation 1038 </w:t>
      </w:r>
      <w:r w:rsidRPr="001E591A">
        <w:rPr>
          <w:rStyle w:val="Guidance"/>
          <w:i/>
          <w:iCs/>
        </w:rPr>
        <w:t>Contributions by Owners Made to Wholly Owned Public Sector Entities</w:t>
      </w:r>
      <w:r w:rsidRPr="001E591A">
        <w:rPr>
          <w:rStyle w:val="Guidance"/>
        </w:rPr>
        <w:t xml:space="preserve">. In relation to the detailed requirements on the evidence and timing when accounting for restructures of administrative arrangements, please refer to FRD 119 </w:t>
      </w:r>
      <w:r w:rsidR="00372B96" w:rsidRPr="00DE643D">
        <w:rPr>
          <w:rStyle w:val="Guidance"/>
          <w:i/>
          <w:iCs/>
        </w:rPr>
        <w:t>Transfers through contributed capital</w:t>
      </w:r>
      <w:r w:rsidR="00372B96" w:rsidRPr="00372B96">
        <w:rPr>
          <w:rStyle w:val="Guidance"/>
        </w:rPr>
        <w:t xml:space="preserve"> </w:t>
      </w:r>
      <w:r w:rsidRPr="001E591A">
        <w:rPr>
          <w:rStyle w:val="Guidance"/>
        </w:rPr>
        <w:t>as outlined below.</w:t>
      </w:r>
    </w:p>
    <w:p w14:paraId="5EBD46C8" w14:textId="77777777" w:rsidR="003719CD" w:rsidRPr="001E591A" w:rsidRDefault="003719CD" w:rsidP="007D536F">
      <w:pPr>
        <w:pStyle w:val="Heading4"/>
        <w:rPr>
          <w:rStyle w:val="Guidance"/>
        </w:rPr>
      </w:pPr>
      <w:r w:rsidRPr="001E591A">
        <w:rPr>
          <w:rStyle w:val="Guidance"/>
        </w:rPr>
        <w:t>Evidence and timing of Government decisions</w:t>
      </w:r>
    </w:p>
    <w:p w14:paraId="1E515A93" w14:textId="4E630905" w:rsidR="003719CD" w:rsidRPr="001E591A" w:rsidRDefault="003719CD" w:rsidP="007D536F">
      <w:pPr>
        <w:pStyle w:val="Heading5"/>
        <w:rPr>
          <w:rStyle w:val="Guidance"/>
        </w:rPr>
      </w:pPr>
      <w:r w:rsidRPr="001E591A">
        <w:rPr>
          <w:rStyle w:val="Guidance"/>
        </w:rPr>
        <w:t xml:space="preserve">Parliamentary appropriations </w:t>
      </w:r>
      <w:r w:rsidRPr="001E591A">
        <w:rPr>
          <w:rStyle w:val="Reference"/>
        </w:rPr>
        <w:t>[FRD 119. App A]</w:t>
      </w:r>
    </w:p>
    <w:p w14:paraId="320C6CCE" w14:textId="485DD3DE" w:rsidR="003719CD" w:rsidRPr="001E591A" w:rsidRDefault="003719CD" w:rsidP="007D536F">
      <w:pPr>
        <w:rPr>
          <w:rStyle w:val="Guidance"/>
        </w:rPr>
      </w:pPr>
      <w:r w:rsidRPr="001E591A">
        <w:rPr>
          <w:rStyle w:val="Guidance"/>
        </w:rPr>
        <w:t xml:space="preserve">Parliamentary appropriations for additions to net asset base, payments on behalf of the State, and special appropriations for capital expenditure purposes, including those that are directly on passed to another transferee wholly owned and controlled by the State, are deemed by FRD 119 as contributions by owners. </w:t>
      </w:r>
    </w:p>
    <w:p w14:paraId="21B6E58B" w14:textId="281388B8" w:rsidR="003719CD" w:rsidRPr="001E591A" w:rsidRDefault="003719CD" w:rsidP="007D536F">
      <w:pPr>
        <w:rPr>
          <w:rStyle w:val="Guidance"/>
        </w:rPr>
      </w:pPr>
      <w:r w:rsidRPr="001E591A">
        <w:rPr>
          <w:rStyle w:val="Guidance"/>
        </w:rPr>
        <w:t xml:space="preserve">In such cases, the evidence of </w:t>
      </w:r>
      <w:r w:rsidR="00350D85">
        <w:rPr>
          <w:rStyle w:val="Guidance"/>
        </w:rPr>
        <w:t>g</w:t>
      </w:r>
      <w:r w:rsidRPr="001E591A">
        <w:rPr>
          <w:rStyle w:val="Guidance"/>
        </w:rPr>
        <w:t xml:space="preserve">overnment decisions is in the form of an Appropriation Act, or specific sections in other Acts. The timing of </w:t>
      </w:r>
      <w:r w:rsidR="00350D85">
        <w:rPr>
          <w:rStyle w:val="Guidance"/>
        </w:rPr>
        <w:t>the g</w:t>
      </w:r>
      <w:r w:rsidRPr="001E591A">
        <w:rPr>
          <w:rStyle w:val="Guidance"/>
        </w:rPr>
        <w:t xml:space="preserve">overnment decision is when the </w:t>
      </w:r>
      <w:r w:rsidR="00350D85">
        <w:rPr>
          <w:rStyle w:val="Guidance"/>
        </w:rPr>
        <w:t>r</w:t>
      </w:r>
      <w:r w:rsidRPr="001E591A">
        <w:rPr>
          <w:rStyle w:val="Guidance"/>
        </w:rPr>
        <w:t xml:space="preserve">oyal assent or the </w:t>
      </w:r>
      <w:r w:rsidR="00350D85">
        <w:rPr>
          <w:rStyle w:val="Guidance"/>
        </w:rPr>
        <w:t>w</w:t>
      </w:r>
      <w:r w:rsidRPr="001E591A">
        <w:rPr>
          <w:rStyle w:val="Guidance"/>
        </w:rPr>
        <w:t>arrant is signed.</w:t>
      </w:r>
    </w:p>
    <w:p w14:paraId="0090BCA6" w14:textId="77777777" w:rsidR="003719CD" w:rsidRPr="001E591A" w:rsidRDefault="003719CD" w:rsidP="007D536F">
      <w:pPr>
        <w:pStyle w:val="Heading4"/>
        <w:rPr>
          <w:rStyle w:val="Guidance"/>
        </w:rPr>
      </w:pPr>
      <w:r w:rsidRPr="001E591A">
        <w:rPr>
          <w:rStyle w:val="Guidance"/>
        </w:rPr>
        <w:t>Restructures of administrative restructures</w:t>
      </w:r>
    </w:p>
    <w:p w14:paraId="4BA1D3CB" w14:textId="31184932" w:rsidR="003719CD" w:rsidRPr="001E591A" w:rsidRDefault="003719CD" w:rsidP="007D536F">
      <w:pPr>
        <w:rPr>
          <w:rStyle w:val="Guidance"/>
        </w:rPr>
      </w:pPr>
      <w:r w:rsidRPr="001E591A">
        <w:rPr>
          <w:rStyle w:val="Guidance"/>
        </w:rPr>
        <w:t xml:space="preserve">In the case of restructures of administrative restructures, evidence of </w:t>
      </w:r>
      <w:r w:rsidR="00350D85">
        <w:rPr>
          <w:rStyle w:val="Guidance"/>
        </w:rPr>
        <w:t>g</w:t>
      </w:r>
      <w:r w:rsidRPr="001E591A">
        <w:rPr>
          <w:rStyle w:val="Guidance"/>
        </w:rPr>
        <w:t xml:space="preserve">overnment decisions can include an administrative order, a legislative instrument, or any form of evidence documenting a </w:t>
      </w:r>
      <w:r w:rsidR="00350D85">
        <w:rPr>
          <w:rStyle w:val="Guidance"/>
        </w:rPr>
        <w:t>g</w:t>
      </w:r>
      <w:r w:rsidRPr="001E591A">
        <w:rPr>
          <w:rStyle w:val="Guidance"/>
        </w:rPr>
        <w:t xml:space="preserve">overnment decision in relation to the activities transferred. The decision is made when the </w:t>
      </w:r>
      <w:r w:rsidR="00350D85">
        <w:rPr>
          <w:rStyle w:val="Guidance"/>
        </w:rPr>
        <w:t>o</w:t>
      </w:r>
      <w:r w:rsidRPr="001E591A">
        <w:rPr>
          <w:rStyle w:val="Guidance"/>
        </w:rPr>
        <w:t>rder/</w:t>
      </w:r>
      <w:r w:rsidR="00350D85">
        <w:rPr>
          <w:rStyle w:val="Guidance"/>
        </w:rPr>
        <w:t>r</w:t>
      </w:r>
      <w:r w:rsidRPr="001E591A">
        <w:rPr>
          <w:rStyle w:val="Guidance"/>
        </w:rPr>
        <w:t xml:space="preserve">oyal assent/evidence is signed, depending on the form of evidence. </w:t>
      </w:r>
    </w:p>
    <w:p w14:paraId="1A46E206" w14:textId="77777777" w:rsidR="003719CD" w:rsidRPr="001E591A" w:rsidRDefault="003719CD" w:rsidP="007D536F">
      <w:pPr>
        <w:rPr>
          <w:rStyle w:val="Guidance"/>
        </w:rPr>
      </w:pPr>
      <w:r w:rsidRPr="001E591A">
        <w:rPr>
          <w:rStyle w:val="Guidance"/>
        </w:rPr>
        <w:t>Where an administrative order is used to affect the administrative restructure, the transfer is deemed to occur on the date of gazettal or publication unless the order or a subsequent order specifies a separate effective date.</w:t>
      </w:r>
    </w:p>
    <w:p w14:paraId="2C59C5DD" w14:textId="77777777" w:rsidR="003719CD" w:rsidRPr="001E591A" w:rsidRDefault="003719CD" w:rsidP="007D536F">
      <w:pPr>
        <w:rPr>
          <w:rStyle w:val="Guidance"/>
        </w:rPr>
      </w:pPr>
      <w:r w:rsidRPr="001E591A">
        <w:rPr>
          <w:rStyle w:val="Guidance"/>
        </w:rPr>
        <w:t>Administrative orders may be issued with different dates specified for:</w:t>
      </w:r>
    </w:p>
    <w:p w14:paraId="0B088648" w14:textId="0BBCC840" w:rsidR="003719CD" w:rsidRPr="001E591A" w:rsidRDefault="003719CD" w:rsidP="00310F12">
      <w:pPr>
        <w:pStyle w:val="ListBullet"/>
        <w:rPr>
          <w:rStyle w:val="Guidance"/>
        </w:rPr>
      </w:pPr>
      <w:r w:rsidRPr="001E591A">
        <w:rPr>
          <w:rStyle w:val="Guidance"/>
        </w:rPr>
        <w:t>departmental name changes</w:t>
      </w:r>
    </w:p>
    <w:p w14:paraId="61142736" w14:textId="645B04DB" w:rsidR="003719CD" w:rsidRPr="001E591A" w:rsidRDefault="003719CD" w:rsidP="00310F12">
      <w:pPr>
        <w:pStyle w:val="ListBullet"/>
        <w:rPr>
          <w:rStyle w:val="Guidance"/>
        </w:rPr>
      </w:pPr>
      <w:r w:rsidRPr="001E591A">
        <w:rPr>
          <w:rStyle w:val="Guidance"/>
        </w:rPr>
        <w:t>ministerial appointments</w:t>
      </w:r>
    </w:p>
    <w:p w14:paraId="5D311F27" w14:textId="77777777" w:rsidR="003719CD" w:rsidRPr="001E591A" w:rsidRDefault="003719CD" w:rsidP="00310F12">
      <w:pPr>
        <w:pStyle w:val="ListBullet"/>
        <w:rPr>
          <w:rStyle w:val="Guidance"/>
        </w:rPr>
      </w:pPr>
      <w:r w:rsidRPr="001E591A">
        <w:rPr>
          <w:rStyle w:val="Guidance"/>
        </w:rPr>
        <w:t>commencement of keeping accounts and provision of reports for output changes.</w:t>
      </w:r>
    </w:p>
    <w:p w14:paraId="40850185" w14:textId="34E6828F" w:rsidR="003719CD" w:rsidRPr="001E591A" w:rsidRDefault="003719CD" w:rsidP="007D536F">
      <w:pPr>
        <w:rPr>
          <w:rStyle w:val="Guidance"/>
        </w:rPr>
      </w:pPr>
      <w:r w:rsidRPr="001E591A">
        <w:rPr>
          <w:rStyle w:val="Guidance"/>
        </w:rPr>
        <w:t>For example, in the case of the fictitious Department of Technology (DoT), the transfer was announced and approved on 2</w:t>
      </w:r>
      <w:r>
        <w:rPr>
          <w:rStyle w:val="Guidance"/>
        </w:rPr>
        <w:t> </w:t>
      </w:r>
      <w:r w:rsidRPr="001E591A">
        <w:rPr>
          <w:rStyle w:val="Guidance"/>
        </w:rPr>
        <w:t xml:space="preserve">August </w:t>
      </w:r>
      <w:r w:rsidR="001F2260" w:rsidRPr="00A77178">
        <w:rPr>
          <w:rStyle w:val="Guidance"/>
        </w:rPr>
        <w:fldChar w:fldCharType="begin"/>
      </w:r>
      <w:r w:rsidR="001F2260" w:rsidRPr="00A77178">
        <w:rPr>
          <w:rStyle w:val="Guidance"/>
        </w:rPr>
        <w:instrText xml:space="preserve"> DOCPROPERTY  YearPrevious  \* MERGEFORMAT </w:instrText>
      </w:r>
      <w:r w:rsidR="001F2260" w:rsidRPr="00A77178">
        <w:rPr>
          <w:rStyle w:val="Guidance"/>
        </w:rPr>
        <w:fldChar w:fldCharType="separate"/>
      </w:r>
      <w:r w:rsidR="00A545BA">
        <w:rPr>
          <w:rStyle w:val="Guidance"/>
        </w:rPr>
        <w:t>20X1</w:t>
      </w:r>
      <w:r w:rsidR="001F2260" w:rsidRPr="00A77178">
        <w:rPr>
          <w:rStyle w:val="Guidance"/>
        </w:rPr>
        <w:fldChar w:fldCharType="end"/>
      </w:r>
      <w:r w:rsidR="00350D85">
        <w:rPr>
          <w:rStyle w:val="Guidance"/>
        </w:rPr>
        <w:t>. H</w:t>
      </w:r>
      <w:r w:rsidRPr="001E591A">
        <w:rPr>
          <w:rStyle w:val="Guidance"/>
        </w:rPr>
        <w:t xml:space="preserve">owever there is a requirement in the Administrative Arrangements Order (No. xxx) </w:t>
      </w:r>
      <w:r w:rsidR="005D0298" w:rsidRPr="00A77178">
        <w:rPr>
          <w:rStyle w:val="Guidance"/>
        </w:rPr>
        <w:fldChar w:fldCharType="begin"/>
      </w:r>
      <w:r w:rsidR="005D0298" w:rsidRPr="00A77178">
        <w:rPr>
          <w:rStyle w:val="Guidance"/>
        </w:rPr>
        <w:instrText xml:space="preserve"> DOCPROPERTY  YearPrevious  \* MERGEFORMAT </w:instrText>
      </w:r>
      <w:r w:rsidR="005D0298" w:rsidRPr="00A77178">
        <w:rPr>
          <w:rStyle w:val="Guidance"/>
        </w:rPr>
        <w:fldChar w:fldCharType="separate"/>
      </w:r>
      <w:r w:rsidR="005D0298">
        <w:rPr>
          <w:rStyle w:val="Guidance"/>
        </w:rPr>
        <w:t>20X1</w:t>
      </w:r>
      <w:r w:rsidR="005D0298" w:rsidRPr="00A77178">
        <w:rPr>
          <w:rStyle w:val="Guidance"/>
        </w:rPr>
        <w:fldChar w:fldCharType="end"/>
      </w:r>
      <w:r w:rsidRPr="001E591A">
        <w:rPr>
          <w:rStyle w:val="Guidance"/>
        </w:rPr>
        <w:t xml:space="preserve"> for the </w:t>
      </w:r>
      <w:r w:rsidR="00350D85">
        <w:rPr>
          <w:rStyle w:val="Guidance"/>
        </w:rPr>
        <w:t>d</w:t>
      </w:r>
      <w:r w:rsidRPr="001E591A">
        <w:rPr>
          <w:rStyle w:val="Guidance"/>
        </w:rPr>
        <w:t xml:space="preserve">epartment to keep accounts and to provide reports for the relevant outputs for the purposes of the </w:t>
      </w:r>
      <w:r w:rsidRPr="001E591A">
        <w:rPr>
          <w:rStyle w:val="Guidance"/>
          <w:i/>
          <w:iCs/>
        </w:rPr>
        <w:t>Financial Management Act 1994</w:t>
      </w:r>
      <w:r w:rsidRPr="001E591A">
        <w:rPr>
          <w:rStyle w:val="Guidance"/>
        </w:rPr>
        <w:t xml:space="preserve"> until 31 August </w:t>
      </w:r>
      <w:r w:rsidR="001C7A0A" w:rsidRPr="00A77178">
        <w:rPr>
          <w:rStyle w:val="Guidance"/>
        </w:rPr>
        <w:fldChar w:fldCharType="begin"/>
      </w:r>
      <w:r w:rsidR="001C7A0A" w:rsidRPr="00A77178">
        <w:rPr>
          <w:rStyle w:val="Guidance"/>
        </w:rPr>
        <w:instrText xml:space="preserve"> DOCPROPERTY  YearPrevious  \* MERGEFORMAT </w:instrText>
      </w:r>
      <w:r w:rsidR="001C7A0A" w:rsidRPr="00A77178">
        <w:rPr>
          <w:rStyle w:val="Guidance"/>
        </w:rPr>
        <w:fldChar w:fldCharType="separate"/>
      </w:r>
      <w:r w:rsidR="001C7A0A">
        <w:rPr>
          <w:rStyle w:val="Guidance"/>
        </w:rPr>
        <w:t>20X1</w:t>
      </w:r>
      <w:r w:rsidR="001C7A0A" w:rsidRPr="00A77178">
        <w:rPr>
          <w:rStyle w:val="Guidance"/>
        </w:rPr>
        <w:fldChar w:fldCharType="end"/>
      </w:r>
      <w:r w:rsidR="001C7A0A">
        <w:rPr>
          <w:rStyle w:val="Guidance"/>
        </w:rPr>
        <w:t xml:space="preserve"> </w:t>
      </w:r>
      <w:r w:rsidRPr="001E591A">
        <w:rPr>
          <w:rStyle w:val="Guidance"/>
        </w:rPr>
        <w:t xml:space="preserve">(see Note 2 Departmental (controlled) outputs). Entities should review carefully the relevant designation date, or if different, the effective date of the administrative order from the Special Victorian Government Gazette. This publication can be accessed at: </w:t>
      </w:r>
    </w:p>
    <w:p w14:paraId="499829CD" w14:textId="54A4943D" w:rsidR="003719CD" w:rsidRPr="001E591A" w:rsidRDefault="003719CD" w:rsidP="007D536F">
      <w:pPr>
        <w:rPr>
          <w:rStyle w:val="Guidance"/>
        </w:rPr>
      </w:pPr>
      <w:hyperlink r:id="rId73">
        <w:r w:rsidRPr="735EA6A0">
          <w:rPr>
            <w:rStyle w:val="Hyperlink"/>
          </w:rPr>
          <w:t>www.gazette.vic.gov.au</w:t>
        </w:r>
      </w:hyperlink>
    </w:p>
    <w:p w14:paraId="6D88792F" w14:textId="77777777" w:rsidR="003719CD" w:rsidRPr="001E591A" w:rsidRDefault="003719CD" w:rsidP="007D536F">
      <w:pPr>
        <w:rPr>
          <w:rStyle w:val="Guidance"/>
        </w:rPr>
      </w:pPr>
      <w:r w:rsidRPr="001E591A">
        <w:rPr>
          <w:rStyle w:val="Guidance"/>
        </w:rPr>
        <w:t>or can be ordered from:</w:t>
      </w:r>
    </w:p>
    <w:p w14:paraId="279DE681" w14:textId="77777777" w:rsidR="003719CD" w:rsidRPr="001E591A" w:rsidRDefault="003719CD" w:rsidP="007D536F">
      <w:pPr>
        <w:pStyle w:val="ListContinue"/>
        <w:rPr>
          <w:rStyle w:val="Guidance"/>
        </w:rPr>
      </w:pPr>
      <w:r w:rsidRPr="001E591A">
        <w:rPr>
          <w:rStyle w:val="Guidance"/>
        </w:rPr>
        <w:t>BlueStar Print</w:t>
      </w:r>
    </w:p>
    <w:p w14:paraId="6FA0A206" w14:textId="77777777" w:rsidR="003719CD" w:rsidRPr="001E591A" w:rsidRDefault="003719CD" w:rsidP="007D536F">
      <w:pPr>
        <w:pStyle w:val="ListContinue"/>
        <w:rPr>
          <w:rStyle w:val="Guidance"/>
        </w:rPr>
      </w:pPr>
      <w:r w:rsidRPr="001E591A">
        <w:rPr>
          <w:rStyle w:val="Guidance"/>
        </w:rPr>
        <w:t>Phone</w:t>
      </w:r>
      <w:r>
        <w:tab/>
      </w:r>
      <w:r w:rsidRPr="001E591A">
        <w:rPr>
          <w:rStyle w:val="Guidance"/>
        </w:rPr>
        <w:t>(03) 8523 4601</w:t>
      </w:r>
    </w:p>
    <w:p w14:paraId="0074C51B" w14:textId="77777777" w:rsidR="003719CD" w:rsidRPr="001E591A" w:rsidRDefault="003719CD" w:rsidP="007D536F">
      <w:pPr>
        <w:pStyle w:val="ListContinue"/>
        <w:rPr>
          <w:rStyle w:val="Guidance"/>
        </w:rPr>
      </w:pPr>
      <w:r w:rsidRPr="001E591A">
        <w:rPr>
          <w:rStyle w:val="Guidance"/>
        </w:rPr>
        <w:t xml:space="preserve">Fax </w:t>
      </w:r>
      <w:r>
        <w:tab/>
      </w:r>
      <w:r w:rsidRPr="001E591A">
        <w:rPr>
          <w:rStyle w:val="Guidance"/>
        </w:rPr>
        <w:t>(03) 9600 0478</w:t>
      </w:r>
    </w:p>
    <w:p w14:paraId="1ABA5947" w14:textId="0B388716" w:rsidR="003719CD" w:rsidRPr="001E591A" w:rsidRDefault="003719CD" w:rsidP="007D536F">
      <w:pPr>
        <w:pStyle w:val="ListContinue"/>
        <w:rPr>
          <w:rStyle w:val="Guidance"/>
        </w:rPr>
      </w:pPr>
      <w:r w:rsidRPr="001E591A">
        <w:rPr>
          <w:rStyle w:val="Guidance"/>
        </w:rPr>
        <w:t>Email</w:t>
      </w:r>
      <w:r w:rsidRPr="001E591A">
        <w:rPr>
          <w:rStyle w:val="Guidance"/>
        </w:rPr>
        <w:tab/>
      </w:r>
      <w:hyperlink r:id="rId74" w:history="1">
        <w:r w:rsidRPr="001E591A">
          <w:rPr>
            <w:rStyle w:val="Hyperlink"/>
          </w:rPr>
          <w:t>gazette@bluestargroup.com.au</w:t>
        </w:r>
      </w:hyperlink>
    </w:p>
    <w:p w14:paraId="79FFC2AC" w14:textId="77777777" w:rsidR="003719CD" w:rsidRPr="001E591A" w:rsidRDefault="003719CD" w:rsidP="007D536F">
      <w:pPr>
        <w:pStyle w:val="Heading4"/>
        <w:rPr>
          <w:rStyle w:val="Guidance"/>
        </w:rPr>
      </w:pPr>
      <w:r w:rsidRPr="001E591A">
        <w:rPr>
          <w:rStyle w:val="Guidance"/>
        </w:rPr>
        <w:t>Formal designation for ‘other transfers’</w:t>
      </w:r>
    </w:p>
    <w:p w14:paraId="63DC2992" w14:textId="0A2B81CB" w:rsidR="003719CD" w:rsidRPr="001E591A" w:rsidRDefault="003719CD" w:rsidP="007D536F">
      <w:pPr>
        <w:rPr>
          <w:rStyle w:val="Guidance"/>
        </w:rPr>
      </w:pPr>
      <w:r w:rsidRPr="001E591A">
        <w:rPr>
          <w:rStyle w:val="Guidance"/>
        </w:rPr>
        <w:t xml:space="preserve">In cases other than administrative restructures covered by administrative orders or legislative instruments, the relevant portfolio minister must formally designate transfers as contributions by or distributions to owners at or before the time of the transfer. Entities should follow paragraph 6.2 of FRD 119 for the minimum details to be included to meet the designation requirements. </w:t>
      </w:r>
    </w:p>
    <w:p w14:paraId="746257F3" w14:textId="77777777" w:rsidR="00D70E94" w:rsidRDefault="00D70E94">
      <w:pPr>
        <w:keepLines w:val="0"/>
        <w:rPr>
          <w:rStyle w:val="Guidance"/>
          <w:rFonts w:asciiTheme="majorHAnsi" w:eastAsiaTheme="majorEastAsia" w:hAnsiTheme="majorHAnsi" w:cstheme="majorBidi"/>
          <w:b/>
          <w:iCs/>
          <w:szCs w:val="24"/>
        </w:rPr>
      </w:pPr>
      <w:r>
        <w:rPr>
          <w:rStyle w:val="Guidance"/>
        </w:rPr>
        <w:br w:type="page"/>
      </w:r>
    </w:p>
    <w:p w14:paraId="1033A99F" w14:textId="44D9D8E3" w:rsidR="003719CD" w:rsidRPr="001E591A" w:rsidRDefault="003719CD" w:rsidP="007D536F">
      <w:pPr>
        <w:pStyle w:val="Heading4"/>
        <w:rPr>
          <w:rStyle w:val="Guidance"/>
        </w:rPr>
      </w:pPr>
      <w:r w:rsidRPr="001E591A">
        <w:rPr>
          <w:rStyle w:val="Guidance"/>
        </w:rPr>
        <w:lastRenderedPageBreak/>
        <w:t>Insufficient contributed capital for distributions to owners (reclassification of equity)</w:t>
      </w:r>
    </w:p>
    <w:p w14:paraId="28FEFB99" w14:textId="421EF40E" w:rsidR="003719CD" w:rsidRPr="001E591A" w:rsidRDefault="003719CD" w:rsidP="007D536F">
      <w:pPr>
        <w:rPr>
          <w:rStyle w:val="Guidance"/>
        </w:rPr>
      </w:pPr>
      <w:r w:rsidRPr="001E591A">
        <w:rPr>
          <w:rStyle w:val="Guidance"/>
        </w:rPr>
        <w:t>Under FRD 119, the Chief Finance and Accountable Officers can reclassify equity without further ministerial approval to the extent required to affect the following distributions to owners:</w:t>
      </w:r>
    </w:p>
    <w:p w14:paraId="5906F752" w14:textId="3885967A" w:rsidR="003719CD" w:rsidRPr="001E591A" w:rsidRDefault="003719CD" w:rsidP="00310F12">
      <w:pPr>
        <w:pStyle w:val="ListBullet"/>
        <w:rPr>
          <w:rStyle w:val="Guidance"/>
        </w:rPr>
      </w:pPr>
      <w:r w:rsidRPr="001E591A">
        <w:rPr>
          <w:rStyle w:val="Guidance"/>
        </w:rPr>
        <w:t xml:space="preserve">where the transferor has insufficient contributed capital to transfer an asset or net assets </w:t>
      </w:r>
    </w:p>
    <w:p w14:paraId="7B4ADD5A" w14:textId="77777777" w:rsidR="003719CD" w:rsidRPr="001E591A" w:rsidRDefault="003719CD" w:rsidP="00310F12">
      <w:pPr>
        <w:pStyle w:val="ListBullet"/>
        <w:rPr>
          <w:rStyle w:val="Guidance"/>
        </w:rPr>
      </w:pPr>
      <w:r w:rsidRPr="001E591A">
        <w:rPr>
          <w:rStyle w:val="Guidance"/>
        </w:rPr>
        <w:t>where a transferee has insufficient contributed capital to cover the receipt of a liability or net liabilities.</w:t>
      </w:r>
    </w:p>
    <w:p w14:paraId="021ABA5D" w14:textId="738D3818" w:rsidR="003719CD" w:rsidRPr="001E591A" w:rsidRDefault="003719CD" w:rsidP="007D536F">
      <w:pPr>
        <w:rPr>
          <w:rStyle w:val="Guidance"/>
        </w:rPr>
      </w:pPr>
      <w:r w:rsidRPr="001E591A">
        <w:rPr>
          <w:rStyle w:val="Guidance"/>
        </w:rPr>
        <w:t xml:space="preserve">In accordance with the </w:t>
      </w:r>
      <w:r w:rsidR="008E77B9" w:rsidRPr="00432865">
        <w:rPr>
          <w:rStyle w:val="Guidance"/>
          <w:i/>
          <w:iCs/>
        </w:rPr>
        <w:t>Guidance on the application of</w:t>
      </w:r>
      <w:r w:rsidRPr="00432865">
        <w:rPr>
          <w:rStyle w:val="Guidance"/>
          <w:i/>
          <w:iCs/>
        </w:rPr>
        <w:t xml:space="preserve"> FRD 103</w:t>
      </w:r>
      <w:r w:rsidRPr="001E591A">
        <w:rPr>
          <w:rStyle w:val="Guidance"/>
        </w:rPr>
        <w:t xml:space="preserve"> </w:t>
      </w:r>
      <w:bookmarkStart w:id="52" w:name="_Hlk150402050"/>
      <w:r w:rsidRPr="001E591A">
        <w:rPr>
          <w:rStyle w:val="Guidance"/>
          <w:i/>
          <w:iCs/>
        </w:rPr>
        <w:t>Non-financial physical assets</w:t>
      </w:r>
      <w:r w:rsidRPr="001E591A">
        <w:rPr>
          <w:rStyle w:val="Guidance"/>
        </w:rPr>
        <w:t>,</w:t>
      </w:r>
      <w:bookmarkEnd w:id="52"/>
      <w:r w:rsidRPr="001E591A">
        <w:rPr>
          <w:rStyle w:val="Guidance"/>
        </w:rPr>
        <w:t xml:space="preserve"> for distributions of non</w:t>
      </w:r>
      <w:r>
        <w:rPr>
          <w:rStyle w:val="Guidance"/>
        </w:rPr>
        <w:noBreakHyphen/>
      </w:r>
      <w:r w:rsidRPr="001E591A">
        <w:rPr>
          <w:rStyle w:val="Guidance"/>
        </w:rPr>
        <w:t>financial physical assets, entities must first reclassify any related revaluation surplus to the accumulated surplus, irrespective of the sufficiency of contributed capital balance. If the asset revaluation surplus included in equity is unknown, management will need to apply judgement and document the methodology used to determine an appropriate estimation of the related amount.</w:t>
      </w:r>
    </w:p>
    <w:p w14:paraId="566C2E37" w14:textId="77777777" w:rsidR="003719CD" w:rsidRPr="001E591A" w:rsidRDefault="003719CD" w:rsidP="007D536F">
      <w:pPr>
        <w:rPr>
          <w:rStyle w:val="Guidance"/>
        </w:rPr>
      </w:pPr>
      <w:r w:rsidRPr="001E591A">
        <w:rPr>
          <w:rStyle w:val="Guidance"/>
        </w:rPr>
        <w:t>Subsequent to the reclassification above, where there is insufficient contributed capital for distributions to owners, the entity must reclassify its accumulated surplus to contributed capital to the extent required to affect the distribution.</w:t>
      </w:r>
    </w:p>
    <w:p w14:paraId="0F35E92D" w14:textId="77777777" w:rsidR="003719CD" w:rsidRPr="001E591A" w:rsidRDefault="003719CD" w:rsidP="007D536F">
      <w:pPr>
        <w:rPr>
          <w:rStyle w:val="Guidance"/>
        </w:rPr>
      </w:pPr>
      <w:r w:rsidRPr="001E591A">
        <w:rPr>
          <w:rStyle w:val="Guidance"/>
        </w:rPr>
        <w:t>If there is still insufficient contributed capital after such reclassifications, the balance must be recognised as an expense.</w:t>
      </w:r>
    </w:p>
    <w:p w14:paraId="223F0AC3" w14:textId="77777777" w:rsidR="003719CD" w:rsidRPr="001E591A" w:rsidRDefault="003719CD" w:rsidP="007D536F">
      <w:pPr>
        <w:pStyle w:val="Heading4"/>
        <w:rPr>
          <w:rStyle w:val="Guidance"/>
        </w:rPr>
      </w:pPr>
      <w:r w:rsidRPr="001E591A">
        <w:rPr>
          <w:rStyle w:val="Guidance"/>
        </w:rPr>
        <w:t>Disclosure requirements in the notes</w:t>
      </w:r>
    </w:p>
    <w:p w14:paraId="678CA325" w14:textId="77777777" w:rsidR="003719CD" w:rsidRPr="001E591A" w:rsidRDefault="003719CD" w:rsidP="007D536F">
      <w:pPr>
        <w:pStyle w:val="Heading5"/>
        <w:rPr>
          <w:rStyle w:val="Guidance"/>
        </w:rPr>
      </w:pPr>
      <w:r w:rsidRPr="001E591A">
        <w:rPr>
          <w:rStyle w:val="Guidance"/>
        </w:rPr>
        <w:t xml:space="preserve">Income and expenses </w:t>
      </w:r>
      <w:r w:rsidRPr="001E591A">
        <w:rPr>
          <w:rStyle w:val="Reference"/>
        </w:rPr>
        <w:t>[AASB 1004.57]</w:t>
      </w:r>
    </w:p>
    <w:p w14:paraId="195BA726" w14:textId="77777777" w:rsidR="003719CD" w:rsidRPr="001E591A" w:rsidRDefault="003719CD" w:rsidP="007D536F">
      <w:pPr>
        <w:rPr>
          <w:rStyle w:val="Guidance"/>
        </w:rPr>
      </w:pPr>
      <w:r w:rsidRPr="001E591A">
        <w:rPr>
          <w:rStyle w:val="Guidance"/>
        </w:rPr>
        <w:t>In relation to a transferred output (activity), income and expenses attributable to that output shall be disclosed by the transferee, including the income and expenses recognised by the transferor.</w:t>
      </w:r>
    </w:p>
    <w:p w14:paraId="6C281513" w14:textId="77777777" w:rsidR="003719CD" w:rsidRPr="001E591A" w:rsidRDefault="003719CD" w:rsidP="007D536F">
      <w:pPr>
        <w:pStyle w:val="Heading5"/>
        <w:rPr>
          <w:rStyle w:val="Guidance"/>
        </w:rPr>
      </w:pPr>
      <w:r w:rsidRPr="001E591A">
        <w:rPr>
          <w:rStyle w:val="Guidance"/>
        </w:rPr>
        <w:t xml:space="preserve">Assets and liabilities </w:t>
      </w:r>
      <w:r w:rsidRPr="001E591A">
        <w:rPr>
          <w:rStyle w:val="Reference"/>
        </w:rPr>
        <w:t>[AASB 1004.58]</w:t>
      </w:r>
    </w:p>
    <w:p w14:paraId="58BD638D" w14:textId="77777777" w:rsidR="003719CD" w:rsidRPr="001E591A" w:rsidRDefault="003719CD" w:rsidP="007D536F">
      <w:pPr>
        <w:rPr>
          <w:rStyle w:val="Guidance"/>
        </w:rPr>
      </w:pPr>
      <w:r w:rsidRPr="001E591A">
        <w:rPr>
          <w:rStyle w:val="Guidance"/>
        </w:rPr>
        <w:t>For immaterial transfers, the assets and liabilities transferred shall be disclosed on an aggregate basis.</w:t>
      </w:r>
    </w:p>
    <w:p w14:paraId="74A0F68E" w14:textId="77777777" w:rsidR="003719CD" w:rsidRPr="001E591A" w:rsidRDefault="003719CD" w:rsidP="007D536F">
      <w:pPr>
        <w:rPr>
          <w:rStyle w:val="Guidance"/>
        </w:rPr>
      </w:pPr>
      <w:r w:rsidRPr="001E591A">
        <w:rPr>
          <w:rStyle w:val="Guidance"/>
        </w:rPr>
        <w:t>For each material transfer, the assets and liabilities transferred shall be disclosed by class, and the counterparty transferor/transferee shall be identified. In addition, both the transferor and transferee shall disclose the following:</w:t>
      </w:r>
    </w:p>
    <w:p w14:paraId="5E1F99B9" w14:textId="0BADE263" w:rsidR="003719CD" w:rsidRPr="001E591A" w:rsidRDefault="00AB2494" w:rsidP="00310F12">
      <w:pPr>
        <w:pStyle w:val="ListBullet"/>
        <w:rPr>
          <w:rStyle w:val="Guidance"/>
        </w:rPr>
      </w:pPr>
      <w:r>
        <w:rPr>
          <w:rStyle w:val="Guidance"/>
        </w:rPr>
        <w:t>A</w:t>
      </w:r>
      <w:r w:rsidR="003719CD" w:rsidRPr="001E591A">
        <w:rPr>
          <w:rStyle w:val="Guidance"/>
        </w:rPr>
        <w:t xml:space="preserve"> brief description of the nature of the output transferred</w:t>
      </w:r>
    </w:p>
    <w:p w14:paraId="7D593D06" w14:textId="28D2B892" w:rsidR="003719CD" w:rsidRPr="001E591A" w:rsidRDefault="00AB2494" w:rsidP="00310F12">
      <w:pPr>
        <w:pStyle w:val="ListBullet"/>
        <w:rPr>
          <w:rStyle w:val="Guidance"/>
        </w:rPr>
      </w:pPr>
      <w:r>
        <w:rPr>
          <w:rStyle w:val="Guidance"/>
        </w:rPr>
        <w:t>T</w:t>
      </w:r>
      <w:r w:rsidR="003719CD" w:rsidRPr="001E591A">
        <w:rPr>
          <w:rStyle w:val="Guidance"/>
        </w:rPr>
        <w:t>he date of transfer of the output</w:t>
      </w:r>
    </w:p>
    <w:p w14:paraId="638701D1" w14:textId="36FF9341" w:rsidR="003719CD" w:rsidRPr="001E591A" w:rsidRDefault="00AB2494" w:rsidP="00310F12">
      <w:pPr>
        <w:pStyle w:val="ListBullet"/>
        <w:rPr>
          <w:rStyle w:val="Guidance"/>
        </w:rPr>
      </w:pPr>
      <w:r>
        <w:rPr>
          <w:rStyle w:val="Guidance"/>
        </w:rPr>
        <w:t>T</w:t>
      </w:r>
      <w:r w:rsidR="003719CD" w:rsidRPr="001E591A">
        <w:rPr>
          <w:rStyle w:val="Guidance"/>
        </w:rPr>
        <w:t xml:space="preserve">he identity of the department(s) to whom the output has been transferred/received </w:t>
      </w:r>
    </w:p>
    <w:p w14:paraId="4D5DABD5" w14:textId="05C0F2C4" w:rsidR="003719CD" w:rsidRPr="001E591A" w:rsidRDefault="00AB2494" w:rsidP="00310F12">
      <w:pPr>
        <w:pStyle w:val="ListBullet"/>
        <w:rPr>
          <w:rStyle w:val="Guidance"/>
        </w:rPr>
      </w:pPr>
      <w:r>
        <w:rPr>
          <w:rStyle w:val="Guidance"/>
        </w:rPr>
        <w:t>T</w:t>
      </w:r>
      <w:r w:rsidR="003719CD" w:rsidRPr="001E591A">
        <w:rPr>
          <w:rStyle w:val="Guidance"/>
        </w:rPr>
        <w:t>he details about any related legislation that was enacted to affect the transfer.</w:t>
      </w:r>
    </w:p>
    <w:p w14:paraId="1D95DC5A" w14:textId="77777777" w:rsidR="003719CD" w:rsidRPr="001E591A" w:rsidRDefault="003719CD" w:rsidP="007D536F">
      <w:pPr>
        <w:pStyle w:val="Heading4"/>
        <w:rPr>
          <w:rStyle w:val="Guidance"/>
        </w:rPr>
      </w:pPr>
      <w:r w:rsidRPr="001E591A">
        <w:rPr>
          <w:rStyle w:val="Guidance"/>
        </w:rPr>
        <w:lastRenderedPageBreak/>
        <w:t>Extract of an administrative order</w:t>
      </w:r>
    </w:p>
    <w:p w14:paraId="19333799" w14:textId="77777777" w:rsidR="003719CD" w:rsidRPr="001E591A" w:rsidRDefault="003719CD" w:rsidP="007D536F">
      <w:pPr>
        <w:keepNext/>
        <w:rPr>
          <w:rStyle w:val="Guidance"/>
        </w:rPr>
      </w:pPr>
      <w:r w:rsidRPr="001E591A">
        <w:rPr>
          <w:rStyle w:val="Guidance"/>
        </w:rPr>
        <w:t>The following is an administrative order effecting a machinery of government change that has resulted in the establishment of a new department through a machinery of government restructure. The administrative order took effect as noted in the Gazette.</w:t>
      </w:r>
    </w:p>
    <w:p w14:paraId="5CE8A652" w14:textId="77777777" w:rsidR="003719CD" w:rsidRDefault="003719CD" w:rsidP="007D536F">
      <w:pPr>
        <w:jc w:val="center"/>
      </w:pPr>
      <w:r w:rsidRPr="00940E38">
        <w:rPr>
          <w:noProof/>
          <w:lang w:eastAsia="en-AU"/>
        </w:rPr>
        <w:drawing>
          <wp:inline distT="0" distB="0" distL="0" distR="0" wp14:anchorId="76D03CD2" wp14:editId="2DBA31B0">
            <wp:extent cx="4896000" cy="6566869"/>
            <wp:effectExtent l="19050" t="19050" r="19050" b="2476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st\Desktop\Gazette 460_Page_0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r="-452"/>
                    <a:stretch/>
                  </pic:blipFill>
                  <pic:spPr bwMode="auto">
                    <a:xfrm>
                      <a:off x="0" y="0"/>
                      <a:ext cx="4896000" cy="6566869"/>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418B67" w14:textId="77777777" w:rsidR="003719CD" w:rsidRDefault="003719CD" w:rsidP="007D536F">
      <w:pPr>
        <w:pStyle w:val="GuidanceEnd"/>
      </w:pPr>
    </w:p>
    <w:bookmarkEnd w:id="44"/>
    <w:p w14:paraId="5288746E" w14:textId="77777777" w:rsidR="00E43051" w:rsidRDefault="003719CD" w:rsidP="00DC39DE">
      <w:pPr>
        <w:sectPr w:rsidR="00E43051" w:rsidSect="006E0E99">
          <w:headerReference w:type="even" r:id="rId76"/>
          <w:headerReference w:type="default" r:id="rId77"/>
          <w:footerReference w:type="even" r:id="rId78"/>
          <w:footerReference w:type="default" r:id="rId79"/>
          <w:headerReference w:type="first" r:id="rId80"/>
          <w:footerReference w:type="first" r:id="rId81"/>
          <w:pgSz w:w="11906" w:h="16838" w:code="9"/>
          <w:pgMar w:top="1134" w:right="1134" w:bottom="1134" w:left="1134" w:header="624" w:footer="567" w:gutter="0"/>
          <w:cols w:space="708"/>
          <w:docGrid w:linePitch="360"/>
        </w:sectPr>
      </w:pPr>
      <w:r>
        <w:t xml:space="preserve"> </w:t>
      </w:r>
    </w:p>
    <w:p w14:paraId="0E790180" w14:textId="77F2B253" w:rsidR="003719CD" w:rsidRPr="00E05BE1" w:rsidRDefault="003719CD" w:rsidP="001B5265">
      <w:pPr>
        <w:pStyle w:val="Heading1numbered"/>
        <w:sectPr w:rsidR="003719CD" w:rsidRPr="00E05BE1" w:rsidSect="006E0E99">
          <w:headerReference w:type="first" r:id="rId82"/>
          <w:footerReference w:type="first" r:id="rId83"/>
          <w:pgSz w:w="11906" w:h="16838" w:code="9"/>
          <w:pgMar w:top="1134" w:right="1134" w:bottom="1134" w:left="1134" w:header="624" w:footer="567" w:gutter="0"/>
          <w:cols w:space="708"/>
          <w:titlePg/>
          <w:docGrid w:linePitch="360"/>
        </w:sectPr>
      </w:pPr>
      <w:r w:rsidRPr="00E05BE1">
        <w:lastRenderedPageBreak/>
        <w:t>KEY ASSETS AVAILABLE TO SUPPORT OUTPUT DELIVERY</w:t>
      </w:r>
    </w:p>
    <w:p w14:paraId="533B4113" w14:textId="77777777" w:rsidR="003719CD" w:rsidRDefault="003719CD" w:rsidP="007D536F">
      <w:pPr>
        <w:pStyle w:val="Heading3"/>
      </w:pPr>
      <w:r>
        <w:t>Introduction</w:t>
      </w:r>
    </w:p>
    <w:p w14:paraId="233C4AE0" w14:textId="77777777" w:rsidR="003719CD" w:rsidRDefault="003719CD" w:rsidP="00BE6941">
      <w:r>
        <w:t>The Department of Technology (the Department) controls infrastructure and other investments that are utilised in fulfilling its objectives and conducting its activities. They represent the resources that have been entrusted to the Department to be utilised for delivery of those outputs.</w:t>
      </w:r>
    </w:p>
    <w:p w14:paraId="5B11261A" w14:textId="77777777" w:rsidR="003719CD" w:rsidRPr="001E591A" w:rsidRDefault="003719CD" w:rsidP="007D536F">
      <w:pPr>
        <w:pStyle w:val="GuidanceEnd"/>
        <w:rPr>
          <w:b/>
          <w:bCs/>
        </w:rPr>
      </w:pPr>
      <w:r w:rsidRPr="001E591A">
        <w:rPr>
          <w:b/>
          <w:bCs/>
        </w:rPr>
        <w:t>Significant judgement: Classification of investments as ‘key assets’</w:t>
      </w:r>
    </w:p>
    <w:p w14:paraId="3BEF8C29" w14:textId="77777777" w:rsidR="003719CD" w:rsidRDefault="003719CD" w:rsidP="00DC39DE">
      <w:r>
        <w:t xml:space="preserve">The Department has made the judgement that investments (including investments in associates and joint ventures) are key assets utilised to support the Department’s objectives and outputs. </w:t>
      </w:r>
    </w:p>
    <w:p w14:paraId="6FE0DD21" w14:textId="77777777" w:rsidR="003719CD" w:rsidRDefault="003719CD" w:rsidP="007D536F">
      <w:pPr>
        <w:pStyle w:val="Heading5"/>
      </w:pPr>
      <w:r>
        <w:t>Fair value measurement</w:t>
      </w:r>
    </w:p>
    <w:p w14:paraId="20902BD5" w14:textId="77777777" w:rsidR="003719CD" w:rsidRDefault="003719CD" w:rsidP="00DC39DE">
      <w:r>
        <w:t>Where the assets included in this section are carried at fair value, additional information is disclosed in Note 8.3 in connection with how those fair values were determined.</w:t>
      </w:r>
    </w:p>
    <w:p w14:paraId="55EE5322" w14:textId="77777777" w:rsidR="003719CD" w:rsidRDefault="003719CD" w:rsidP="007D536F">
      <w:pPr>
        <w:pStyle w:val="GuidanceEnd"/>
      </w:pPr>
    </w:p>
    <w:p w14:paraId="32F82781" w14:textId="77777777" w:rsidR="003719CD" w:rsidRDefault="003719CD" w:rsidP="007D536F">
      <w:pPr>
        <w:pStyle w:val="Heading3"/>
      </w:pPr>
      <w:r>
        <w:br w:type="column"/>
      </w:r>
      <w:r>
        <w:t>Structure</w:t>
      </w:r>
    </w:p>
    <w:p w14:paraId="63108469" w14:textId="66E01190" w:rsidR="004B496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_5</w:instrText>
      </w:r>
      <w:r w:rsidRPr="00940E38">
        <w:instrText xml:space="preserve"> \* MERGEFORMAT </w:instrText>
      </w:r>
      <w:r w:rsidRPr="00940E38">
        <w:fldChar w:fldCharType="separate"/>
      </w:r>
      <w:hyperlink w:anchor="_Toc96704903" w:history="1">
        <w:r w:rsidR="004B4963" w:rsidRPr="00A76890">
          <w:rPr>
            <w:rStyle w:val="Hyperlink"/>
            <w:noProof/>
          </w:rPr>
          <w:t>5.1</w:t>
        </w:r>
        <w:r w:rsidR="004B4963">
          <w:rPr>
            <w:noProof/>
            <w:sz w:val="22"/>
          </w:rPr>
          <w:tab/>
        </w:r>
        <w:r w:rsidR="004B4963" w:rsidRPr="00A76890">
          <w:rPr>
            <w:rStyle w:val="Hyperlink"/>
            <w:noProof/>
          </w:rPr>
          <w:t>Total property, plant and equipment</w:t>
        </w:r>
        <w:r w:rsidR="004B4963">
          <w:rPr>
            <w:noProof/>
            <w:webHidden/>
          </w:rPr>
          <w:tab/>
        </w:r>
        <w:r w:rsidR="004B4963">
          <w:rPr>
            <w:noProof/>
            <w:webHidden/>
          </w:rPr>
          <w:fldChar w:fldCharType="begin"/>
        </w:r>
        <w:r w:rsidR="004B4963">
          <w:rPr>
            <w:noProof/>
            <w:webHidden/>
          </w:rPr>
          <w:instrText xml:space="preserve"> PAGEREF _Toc96704903 \h </w:instrText>
        </w:r>
        <w:r w:rsidR="004B4963">
          <w:rPr>
            <w:noProof/>
            <w:webHidden/>
          </w:rPr>
        </w:r>
        <w:r w:rsidR="004B4963">
          <w:rPr>
            <w:noProof/>
            <w:webHidden/>
          </w:rPr>
          <w:fldChar w:fldCharType="separate"/>
        </w:r>
        <w:r w:rsidR="00D26320">
          <w:rPr>
            <w:noProof/>
            <w:webHidden/>
          </w:rPr>
          <w:t>54</w:t>
        </w:r>
        <w:r w:rsidR="004B4963">
          <w:rPr>
            <w:noProof/>
            <w:webHidden/>
          </w:rPr>
          <w:fldChar w:fldCharType="end"/>
        </w:r>
      </w:hyperlink>
    </w:p>
    <w:p w14:paraId="0BB48AE3" w14:textId="78E0C51B" w:rsidR="004B4963" w:rsidRDefault="004B4963" w:rsidP="00C70938">
      <w:pPr>
        <w:pStyle w:val="TOC9"/>
        <w:rPr>
          <w:noProof/>
          <w:sz w:val="22"/>
        </w:rPr>
      </w:pPr>
      <w:hyperlink w:anchor="_Toc96704904" w:history="1">
        <w:r w:rsidRPr="00A76890">
          <w:rPr>
            <w:rStyle w:val="Hyperlink"/>
            <w:noProof/>
          </w:rPr>
          <w:t>5.2</w:t>
        </w:r>
        <w:r>
          <w:rPr>
            <w:noProof/>
            <w:sz w:val="22"/>
          </w:rPr>
          <w:tab/>
        </w:r>
        <w:r w:rsidRPr="00A76890">
          <w:rPr>
            <w:rStyle w:val="Hyperlink"/>
            <w:noProof/>
          </w:rPr>
          <w:t>Investment properties</w:t>
        </w:r>
        <w:r>
          <w:rPr>
            <w:noProof/>
            <w:webHidden/>
          </w:rPr>
          <w:tab/>
        </w:r>
        <w:r>
          <w:rPr>
            <w:noProof/>
            <w:webHidden/>
          </w:rPr>
          <w:fldChar w:fldCharType="begin"/>
        </w:r>
        <w:r>
          <w:rPr>
            <w:noProof/>
            <w:webHidden/>
          </w:rPr>
          <w:instrText xml:space="preserve"> PAGEREF _Toc96704904 \h </w:instrText>
        </w:r>
        <w:r>
          <w:rPr>
            <w:noProof/>
            <w:webHidden/>
          </w:rPr>
        </w:r>
        <w:r>
          <w:rPr>
            <w:noProof/>
            <w:webHidden/>
          </w:rPr>
          <w:fldChar w:fldCharType="separate"/>
        </w:r>
        <w:r w:rsidR="00D26320">
          <w:rPr>
            <w:noProof/>
            <w:webHidden/>
          </w:rPr>
          <w:t>61</w:t>
        </w:r>
        <w:r>
          <w:rPr>
            <w:noProof/>
            <w:webHidden/>
          </w:rPr>
          <w:fldChar w:fldCharType="end"/>
        </w:r>
      </w:hyperlink>
    </w:p>
    <w:p w14:paraId="2840D8AB" w14:textId="4D0F0C8B" w:rsidR="004B4963" w:rsidRDefault="004B4963" w:rsidP="00C70938">
      <w:pPr>
        <w:pStyle w:val="TOC9"/>
        <w:rPr>
          <w:noProof/>
          <w:sz w:val="22"/>
        </w:rPr>
      </w:pPr>
      <w:hyperlink w:anchor="_Toc96704905" w:history="1">
        <w:r w:rsidRPr="00A76890">
          <w:rPr>
            <w:rStyle w:val="Hyperlink"/>
            <w:noProof/>
          </w:rPr>
          <w:t>5.3</w:t>
        </w:r>
        <w:r>
          <w:rPr>
            <w:noProof/>
            <w:sz w:val="22"/>
          </w:rPr>
          <w:tab/>
        </w:r>
        <w:r w:rsidRPr="00A76890">
          <w:rPr>
            <w:rStyle w:val="Hyperlink"/>
            <w:noProof/>
          </w:rPr>
          <w:t>Biological assets</w:t>
        </w:r>
        <w:r>
          <w:rPr>
            <w:noProof/>
            <w:webHidden/>
          </w:rPr>
          <w:tab/>
        </w:r>
        <w:r>
          <w:rPr>
            <w:noProof/>
            <w:webHidden/>
          </w:rPr>
          <w:fldChar w:fldCharType="begin"/>
        </w:r>
        <w:r>
          <w:rPr>
            <w:noProof/>
            <w:webHidden/>
          </w:rPr>
          <w:instrText xml:space="preserve"> PAGEREF _Toc96704905 \h </w:instrText>
        </w:r>
        <w:r>
          <w:rPr>
            <w:noProof/>
            <w:webHidden/>
          </w:rPr>
        </w:r>
        <w:r>
          <w:rPr>
            <w:noProof/>
            <w:webHidden/>
          </w:rPr>
          <w:fldChar w:fldCharType="separate"/>
        </w:r>
        <w:r w:rsidR="00D26320">
          <w:rPr>
            <w:noProof/>
            <w:webHidden/>
          </w:rPr>
          <w:t>63</w:t>
        </w:r>
        <w:r>
          <w:rPr>
            <w:noProof/>
            <w:webHidden/>
          </w:rPr>
          <w:fldChar w:fldCharType="end"/>
        </w:r>
      </w:hyperlink>
    </w:p>
    <w:p w14:paraId="5AC4E66B" w14:textId="07633095" w:rsidR="004B4963" w:rsidRDefault="004B4963" w:rsidP="00C70938">
      <w:pPr>
        <w:pStyle w:val="TOC9"/>
        <w:rPr>
          <w:noProof/>
          <w:sz w:val="22"/>
        </w:rPr>
      </w:pPr>
      <w:hyperlink w:anchor="_Toc96704906" w:history="1">
        <w:r w:rsidRPr="00A76890">
          <w:rPr>
            <w:rStyle w:val="Hyperlink"/>
            <w:noProof/>
          </w:rPr>
          <w:t>5.4</w:t>
        </w:r>
        <w:r>
          <w:rPr>
            <w:noProof/>
            <w:sz w:val="22"/>
          </w:rPr>
          <w:tab/>
        </w:r>
        <w:r w:rsidRPr="00A76890">
          <w:rPr>
            <w:rStyle w:val="Hyperlink"/>
            <w:noProof/>
          </w:rPr>
          <w:t>Intangible assets</w:t>
        </w:r>
        <w:r>
          <w:rPr>
            <w:noProof/>
            <w:webHidden/>
          </w:rPr>
          <w:tab/>
        </w:r>
        <w:r>
          <w:rPr>
            <w:noProof/>
            <w:webHidden/>
          </w:rPr>
          <w:fldChar w:fldCharType="begin"/>
        </w:r>
        <w:r>
          <w:rPr>
            <w:noProof/>
            <w:webHidden/>
          </w:rPr>
          <w:instrText xml:space="preserve"> PAGEREF _Toc96704906 \h </w:instrText>
        </w:r>
        <w:r>
          <w:rPr>
            <w:noProof/>
            <w:webHidden/>
          </w:rPr>
        </w:r>
        <w:r>
          <w:rPr>
            <w:noProof/>
            <w:webHidden/>
          </w:rPr>
          <w:fldChar w:fldCharType="separate"/>
        </w:r>
        <w:r w:rsidR="00D26320">
          <w:rPr>
            <w:noProof/>
            <w:webHidden/>
          </w:rPr>
          <w:t>65</w:t>
        </w:r>
        <w:r>
          <w:rPr>
            <w:noProof/>
            <w:webHidden/>
          </w:rPr>
          <w:fldChar w:fldCharType="end"/>
        </w:r>
      </w:hyperlink>
    </w:p>
    <w:p w14:paraId="4EC88FF4" w14:textId="7FA2F936" w:rsidR="004B4963" w:rsidRDefault="004B4963" w:rsidP="00C70938">
      <w:pPr>
        <w:pStyle w:val="TOC9"/>
        <w:rPr>
          <w:noProof/>
          <w:sz w:val="22"/>
        </w:rPr>
      </w:pPr>
      <w:hyperlink w:anchor="_Toc96704907" w:history="1">
        <w:r w:rsidRPr="00A76890">
          <w:rPr>
            <w:rStyle w:val="Hyperlink"/>
            <w:noProof/>
          </w:rPr>
          <w:t>5.5</w:t>
        </w:r>
        <w:r>
          <w:rPr>
            <w:noProof/>
            <w:sz w:val="22"/>
          </w:rPr>
          <w:tab/>
        </w:r>
        <w:r w:rsidRPr="00A76890">
          <w:rPr>
            <w:rStyle w:val="Hyperlink"/>
            <w:noProof/>
          </w:rPr>
          <w:t xml:space="preserve">Investments accounted for using the </w:t>
        </w:r>
        <w:r>
          <w:rPr>
            <w:rStyle w:val="Hyperlink"/>
            <w:noProof/>
          </w:rPr>
          <w:br/>
        </w:r>
        <w:r w:rsidRPr="00A76890">
          <w:rPr>
            <w:rStyle w:val="Hyperlink"/>
            <w:noProof/>
          </w:rPr>
          <w:t>equity method</w:t>
        </w:r>
        <w:r>
          <w:rPr>
            <w:noProof/>
            <w:webHidden/>
          </w:rPr>
          <w:tab/>
        </w:r>
        <w:r>
          <w:rPr>
            <w:noProof/>
            <w:webHidden/>
          </w:rPr>
          <w:fldChar w:fldCharType="begin"/>
        </w:r>
        <w:r>
          <w:rPr>
            <w:noProof/>
            <w:webHidden/>
          </w:rPr>
          <w:instrText xml:space="preserve"> PAGEREF _Toc96704907 \h </w:instrText>
        </w:r>
        <w:r>
          <w:rPr>
            <w:noProof/>
            <w:webHidden/>
          </w:rPr>
        </w:r>
        <w:r>
          <w:rPr>
            <w:noProof/>
            <w:webHidden/>
          </w:rPr>
          <w:fldChar w:fldCharType="separate"/>
        </w:r>
        <w:r w:rsidR="00D26320">
          <w:rPr>
            <w:noProof/>
            <w:webHidden/>
          </w:rPr>
          <w:t>69</w:t>
        </w:r>
        <w:r>
          <w:rPr>
            <w:noProof/>
            <w:webHidden/>
          </w:rPr>
          <w:fldChar w:fldCharType="end"/>
        </w:r>
      </w:hyperlink>
    </w:p>
    <w:p w14:paraId="7F4771DB" w14:textId="63D0941D" w:rsidR="004B4963" w:rsidRDefault="004B4963" w:rsidP="00C70938">
      <w:pPr>
        <w:pStyle w:val="TOC9"/>
        <w:rPr>
          <w:noProof/>
          <w:sz w:val="22"/>
        </w:rPr>
      </w:pPr>
      <w:hyperlink w:anchor="_Toc96704908" w:history="1">
        <w:r w:rsidRPr="00A76890">
          <w:rPr>
            <w:rStyle w:val="Hyperlink"/>
            <w:noProof/>
          </w:rPr>
          <w:t>5.6</w:t>
        </w:r>
        <w:r>
          <w:rPr>
            <w:noProof/>
            <w:sz w:val="22"/>
          </w:rPr>
          <w:tab/>
        </w:r>
        <w:r w:rsidRPr="00A76890">
          <w:rPr>
            <w:rStyle w:val="Hyperlink"/>
            <w:noProof/>
          </w:rPr>
          <w:t>Investments and other financial assets</w:t>
        </w:r>
        <w:r>
          <w:rPr>
            <w:noProof/>
            <w:webHidden/>
          </w:rPr>
          <w:tab/>
        </w:r>
        <w:r>
          <w:rPr>
            <w:noProof/>
            <w:webHidden/>
          </w:rPr>
          <w:fldChar w:fldCharType="begin"/>
        </w:r>
        <w:r>
          <w:rPr>
            <w:noProof/>
            <w:webHidden/>
          </w:rPr>
          <w:instrText xml:space="preserve"> PAGEREF _Toc96704908 \h </w:instrText>
        </w:r>
        <w:r>
          <w:rPr>
            <w:noProof/>
            <w:webHidden/>
          </w:rPr>
        </w:r>
        <w:r>
          <w:rPr>
            <w:noProof/>
            <w:webHidden/>
          </w:rPr>
          <w:fldChar w:fldCharType="separate"/>
        </w:r>
        <w:r w:rsidR="00D26320">
          <w:rPr>
            <w:noProof/>
            <w:webHidden/>
          </w:rPr>
          <w:t>74</w:t>
        </w:r>
        <w:r>
          <w:rPr>
            <w:noProof/>
            <w:webHidden/>
          </w:rPr>
          <w:fldChar w:fldCharType="end"/>
        </w:r>
      </w:hyperlink>
    </w:p>
    <w:p w14:paraId="72E7E62D" w14:textId="48CE1004" w:rsidR="004B4963" w:rsidRDefault="004B4963" w:rsidP="00C70938">
      <w:pPr>
        <w:pStyle w:val="TOC9"/>
        <w:rPr>
          <w:noProof/>
          <w:sz w:val="22"/>
        </w:rPr>
      </w:pPr>
      <w:hyperlink w:anchor="_Toc96704909" w:history="1">
        <w:r w:rsidRPr="00A76890">
          <w:rPr>
            <w:rStyle w:val="Hyperlink"/>
            <w:noProof/>
          </w:rPr>
          <w:t>5.7</w:t>
        </w:r>
        <w:r>
          <w:rPr>
            <w:noProof/>
            <w:sz w:val="22"/>
          </w:rPr>
          <w:tab/>
        </w:r>
        <w:r w:rsidRPr="00A76890">
          <w:rPr>
            <w:rStyle w:val="Hyperlink"/>
            <w:noProof/>
          </w:rPr>
          <w:t>Acquisition and disposal of entities</w:t>
        </w:r>
        <w:r>
          <w:rPr>
            <w:noProof/>
            <w:webHidden/>
          </w:rPr>
          <w:tab/>
        </w:r>
        <w:r>
          <w:rPr>
            <w:noProof/>
            <w:webHidden/>
          </w:rPr>
          <w:fldChar w:fldCharType="begin"/>
        </w:r>
        <w:r>
          <w:rPr>
            <w:noProof/>
            <w:webHidden/>
          </w:rPr>
          <w:instrText xml:space="preserve"> PAGEREF _Toc96704909 \h </w:instrText>
        </w:r>
        <w:r>
          <w:rPr>
            <w:noProof/>
            <w:webHidden/>
          </w:rPr>
        </w:r>
        <w:r>
          <w:rPr>
            <w:noProof/>
            <w:webHidden/>
          </w:rPr>
          <w:fldChar w:fldCharType="separate"/>
        </w:r>
        <w:r w:rsidR="00D26320">
          <w:rPr>
            <w:noProof/>
            <w:webHidden/>
          </w:rPr>
          <w:t>75</w:t>
        </w:r>
        <w:r>
          <w:rPr>
            <w:noProof/>
            <w:webHidden/>
          </w:rPr>
          <w:fldChar w:fldCharType="end"/>
        </w:r>
      </w:hyperlink>
    </w:p>
    <w:p w14:paraId="2FAC67A1" w14:textId="457643DC" w:rsidR="003719CD" w:rsidRDefault="003719CD" w:rsidP="00DC39DE">
      <w:r w:rsidRPr="00940E38">
        <w:fldChar w:fldCharType="end"/>
      </w:r>
    </w:p>
    <w:p w14:paraId="04104869"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7FB68B1B" w14:textId="2C445E15" w:rsidR="003719CD" w:rsidRDefault="003719CD" w:rsidP="001B5265">
      <w:pPr>
        <w:pStyle w:val="Heading2numbered"/>
      </w:pPr>
      <w:bookmarkStart w:id="53" w:name="_Toc96704903"/>
      <w:bookmarkStart w:id="54" w:name="_Toc130225964"/>
      <w:bookmarkStart w:id="55" w:name="_Toc64983155"/>
      <w:bookmarkStart w:id="56" w:name="Section_5"/>
      <w:r>
        <w:t>Total property, plant and equipment</w:t>
      </w:r>
      <w:bookmarkEnd w:id="53"/>
      <w:bookmarkEnd w:id="54"/>
      <w:bookmarkEnd w:id="55"/>
      <w:r>
        <w:t xml:space="preserve"> </w:t>
      </w:r>
    </w:p>
    <w:p w14:paraId="1903760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22B9D773" w14:textId="77777777" w:rsidTr="00633C06">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1AC53FB1" w14:textId="77777777" w:rsidR="00182709" w:rsidRDefault="0044097C">
            <w:pPr>
              <w:keepNext/>
              <w:jc w:val="left"/>
            </w:pPr>
            <w:r>
              <w:rPr>
                <w:color w:val="4472C4"/>
                <w:sz w:val="13"/>
              </w:rPr>
              <w:t>Source reference</w:t>
            </w:r>
          </w:p>
        </w:tc>
        <w:tc>
          <w:tcPr>
            <w:tcW w:w="3111" w:type="dxa"/>
          </w:tcPr>
          <w:p w14:paraId="1C29308F" w14:textId="77777777" w:rsidR="00182709" w:rsidRDefault="00182709">
            <w:pPr>
              <w:keepNext/>
              <w:jc w:val="left"/>
            </w:pPr>
          </w:p>
        </w:tc>
        <w:tc>
          <w:tcPr>
            <w:tcW w:w="1728" w:type="dxa"/>
            <w:gridSpan w:val="2"/>
          </w:tcPr>
          <w:p w14:paraId="7338ADD2" w14:textId="77777777" w:rsidR="00182709" w:rsidRDefault="0044097C">
            <w:pPr>
              <w:keepNext/>
              <w:jc w:val="center"/>
            </w:pPr>
            <w:r>
              <w:t>Gross carrying amount</w:t>
            </w:r>
          </w:p>
        </w:tc>
        <w:tc>
          <w:tcPr>
            <w:tcW w:w="1728" w:type="dxa"/>
            <w:gridSpan w:val="2"/>
          </w:tcPr>
          <w:p w14:paraId="60714341" w14:textId="77777777" w:rsidR="00182709" w:rsidRDefault="0044097C">
            <w:pPr>
              <w:keepNext/>
              <w:jc w:val="center"/>
            </w:pPr>
            <w:r>
              <w:t>Accumulated depreciation</w:t>
            </w:r>
          </w:p>
        </w:tc>
        <w:tc>
          <w:tcPr>
            <w:tcW w:w="1728" w:type="dxa"/>
            <w:gridSpan w:val="2"/>
          </w:tcPr>
          <w:p w14:paraId="742DF917" w14:textId="77777777" w:rsidR="00182709" w:rsidRDefault="0044097C">
            <w:pPr>
              <w:keepNext/>
              <w:jc w:val="center"/>
            </w:pPr>
            <w:r>
              <w:t>Net carrying amount</w:t>
            </w:r>
          </w:p>
        </w:tc>
      </w:tr>
      <w:tr w:rsidR="00633C06" w14:paraId="38BD46F1" w14:textId="77777777" w:rsidTr="00633C06">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4E8B266D" w14:textId="77777777" w:rsidR="00633C06" w:rsidRDefault="00633C06" w:rsidP="00633C06">
            <w:pPr>
              <w:keepNext/>
              <w:jc w:val="left"/>
            </w:pPr>
          </w:p>
        </w:tc>
        <w:tc>
          <w:tcPr>
            <w:tcW w:w="3111" w:type="dxa"/>
          </w:tcPr>
          <w:p w14:paraId="4B4E00A9" w14:textId="77777777" w:rsidR="00633C06" w:rsidRDefault="00633C06" w:rsidP="00633C06">
            <w:pPr>
              <w:keepNext/>
              <w:jc w:val="left"/>
            </w:pPr>
          </w:p>
        </w:tc>
        <w:tc>
          <w:tcPr>
            <w:tcW w:w="864" w:type="dxa"/>
          </w:tcPr>
          <w:p w14:paraId="0A7C1DCD" w14:textId="42398DA5" w:rsidR="00633C06" w:rsidRPr="00633C06" w:rsidRDefault="00633C06" w:rsidP="00633C06">
            <w:pPr>
              <w:keepNext/>
              <w:rPr>
                <w:iCs/>
              </w:rPr>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5690031C" w14:textId="38DAFE20" w:rsidR="00633C06" w:rsidRPr="00633C06" w:rsidRDefault="00633C06" w:rsidP="00633C06">
            <w:pPr>
              <w:keepNext/>
              <w:rPr>
                <w:iCs/>
              </w:rPr>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c>
          <w:tcPr>
            <w:tcW w:w="864" w:type="dxa"/>
          </w:tcPr>
          <w:p w14:paraId="6DD42781" w14:textId="6112D632" w:rsidR="00633C06" w:rsidRPr="00633C06" w:rsidRDefault="00633C06" w:rsidP="00633C06">
            <w:pPr>
              <w:keepNext/>
              <w:rPr>
                <w:iCs/>
              </w:rPr>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7EFC7400" w14:textId="434B5360" w:rsidR="00633C06" w:rsidRPr="00633C06" w:rsidRDefault="00633C06" w:rsidP="00633C06">
            <w:pPr>
              <w:keepNext/>
              <w:rPr>
                <w:iCs/>
              </w:rPr>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c>
          <w:tcPr>
            <w:tcW w:w="864" w:type="dxa"/>
          </w:tcPr>
          <w:p w14:paraId="35FB12D2" w14:textId="5F8567F6" w:rsidR="00633C06" w:rsidRPr="00633C06" w:rsidRDefault="00633C06" w:rsidP="00633C06">
            <w:pPr>
              <w:keepNext/>
              <w:rPr>
                <w:iCs/>
              </w:rPr>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7C0DCEA3" w14:textId="33451ADC" w:rsidR="00633C06" w:rsidRPr="00633C06" w:rsidRDefault="00633C06" w:rsidP="00633C06">
            <w:pPr>
              <w:keepNext/>
              <w:rPr>
                <w:iCs/>
              </w:rPr>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r>
      <w:tr w:rsidR="00182709" w14:paraId="0FEE1A60" w14:textId="77777777" w:rsidTr="00633C06">
        <w:tc>
          <w:tcPr>
            <w:tcW w:w="1344" w:type="dxa"/>
          </w:tcPr>
          <w:p w14:paraId="50574B9D" w14:textId="77777777" w:rsidR="00182709" w:rsidRDefault="0044097C">
            <w:pPr>
              <w:jc w:val="left"/>
            </w:pPr>
            <w:r>
              <w:rPr>
                <w:color w:val="4472C4"/>
                <w:sz w:val="13"/>
              </w:rPr>
              <w:t>AASB 116.73 (d)</w:t>
            </w:r>
          </w:p>
        </w:tc>
        <w:tc>
          <w:tcPr>
            <w:tcW w:w="3111" w:type="dxa"/>
          </w:tcPr>
          <w:p w14:paraId="3FFCAB7D" w14:textId="71BD78EA" w:rsidR="00182709" w:rsidRDefault="0044097C">
            <w:pPr>
              <w:jc w:val="left"/>
            </w:pPr>
            <w:r>
              <w:t xml:space="preserve">Land at fair value </w:t>
            </w:r>
            <w:r>
              <w:rPr>
                <w:vertAlign w:val="superscript"/>
              </w:rPr>
              <w:t>(</w:t>
            </w:r>
            <w:r w:rsidR="009835CA">
              <w:rPr>
                <w:vertAlign w:val="superscript"/>
              </w:rPr>
              <w:t>a</w:t>
            </w:r>
            <w:r>
              <w:rPr>
                <w:vertAlign w:val="superscript"/>
              </w:rPr>
              <w:t>)</w:t>
            </w:r>
          </w:p>
        </w:tc>
        <w:tc>
          <w:tcPr>
            <w:tcW w:w="864" w:type="dxa"/>
          </w:tcPr>
          <w:p w14:paraId="5B4BB200" w14:textId="77777777" w:rsidR="00182709" w:rsidRDefault="0044097C">
            <w:r>
              <w:t>4 562</w:t>
            </w:r>
          </w:p>
        </w:tc>
        <w:tc>
          <w:tcPr>
            <w:tcW w:w="864" w:type="dxa"/>
          </w:tcPr>
          <w:p w14:paraId="01F890CE" w14:textId="77777777" w:rsidR="00182709" w:rsidRDefault="0044097C">
            <w:r>
              <w:t>3 521</w:t>
            </w:r>
          </w:p>
        </w:tc>
        <w:tc>
          <w:tcPr>
            <w:tcW w:w="864" w:type="dxa"/>
          </w:tcPr>
          <w:p w14:paraId="37D7EA68" w14:textId="77777777" w:rsidR="00182709" w:rsidRDefault="0044097C">
            <w:r>
              <w:t>..</w:t>
            </w:r>
          </w:p>
        </w:tc>
        <w:tc>
          <w:tcPr>
            <w:tcW w:w="864" w:type="dxa"/>
          </w:tcPr>
          <w:p w14:paraId="71485AC4" w14:textId="77777777" w:rsidR="00182709" w:rsidRDefault="0044097C">
            <w:r>
              <w:t>..</w:t>
            </w:r>
          </w:p>
        </w:tc>
        <w:tc>
          <w:tcPr>
            <w:tcW w:w="864" w:type="dxa"/>
          </w:tcPr>
          <w:p w14:paraId="7FCF10E1" w14:textId="77777777" w:rsidR="00182709" w:rsidRDefault="0044097C">
            <w:r>
              <w:t>4 562</w:t>
            </w:r>
          </w:p>
        </w:tc>
        <w:tc>
          <w:tcPr>
            <w:tcW w:w="864" w:type="dxa"/>
          </w:tcPr>
          <w:p w14:paraId="45C7755C" w14:textId="77777777" w:rsidR="00182709" w:rsidRDefault="0044097C">
            <w:r>
              <w:t>3 521</w:t>
            </w:r>
          </w:p>
        </w:tc>
      </w:tr>
      <w:tr w:rsidR="00182709" w14:paraId="1057C2C9" w14:textId="77777777" w:rsidTr="00633C06">
        <w:tc>
          <w:tcPr>
            <w:tcW w:w="1344" w:type="dxa"/>
          </w:tcPr>
          <w:p w14:paraId="3C768115" w14:textId="0CD4A2EB" w:rsidR="00182709" w:rsidRDefault="0044097C">
            <w:pPr>
              <w:jc w:val="left"/>
            </w:pPr>
            <w:r>
              <w:rPr>
                <w:color w:val="4472C4"/>
                <w:sz w:val="13"/>
              </w:rPr>
              <w:t>AASB 116.73 (d)</w:t>
            </w:r>
          </w:p>
        </w:tc>
        <w:tc>
          <w:tcPr>
            <w:tcW w:w="3111" w:type="dxa"/>
          </w:tcPr>
          <w:p w14:paraId="2942E2EA" w14:textId="77777777" w:rsidR="00182709" w:rsidRDefault="0044097C">
            <w:pPr>
              <w:jc w:val="left"/>
            </w:pPr>
            <w:r>
              <w:t>Buildings at fair value</w:t>
            </w:r>
          </w:p>
        </w:tc>
        <w:tc>
          <w:tcPr>
            <w:tcW w:w="864" w:type="dxa"/>
          </w:tcPr>
          <w:p w14:paraId="0607EE26" w14:textId="77777777" w:rsidR="00182709" w:rsidRDefault="0044097C">
            <w:r>
              <w:t>84 698</w:t>
            </w:r>
          </w:p>
        </w:tc>
        <w:tc>
          <w:tcPr>
            <w:tcW w:w="864" w:type="dxa"/>
          </w:tcPr>
          <w:p w14:paraId="7947D1B0" w14:textId="77777777" w:rsidR="00182709" w:rsidRDefault="0044097C">
            <w:r>
              <w:t>79 447</w:t>
            </w:r>
          </w:p>
        </w:tc>
        <w:tc>
          <w:tcPr>
            <w:tcW w:w="864" w:type="dxa"/>
          </w:tcPr>
          <w:p w14:paraId="53443B62" w14:textId="77777777" w:rsidR="00182709" w:rsidRDefault="0044097C">
            <w:r>
              <w:t>(3 902)</w:t>
            </w:r>
          </w:p>
        </w:tc>
        <w:tc>
          <w:tcPr>
            <w:tcW w:w="864" w:type="dxa"/>
          </w:tcPr>
          <w:p w14:paraId="7BA6EE8C" w14:textId="77777777" w:rsidR="00182709" w:rsidRDefault="0044097C">
            <w:r>
              <w:t>(1 417)</w:t>
            </w:r>
          </w:p>
        </w:tc>
        <w:tc>
          <w:tcPr>
            <w:tcW w:w="864" w:type="dxa"/>
          </w:tcPr>
          <w:p w14:paraId="4E1A69CB" w14:textId="77777777" w:rsidR="00182709" w:rsidRDefault="0044097C">
            <w:r>
              <w:t>80 796</w:t>
            </w:r>
          </w:p>
        </w:tc>
        <w:tc>
          <w:tcPr>
            <w:tcW w:w="864" w:type="dxa"/>
          </w:tcPr>
          <w:p w14:paraId="6659712D" w14:textId="77777777" w:rsidR="00182709" w:rsidRDefault="0044097C">
            <w:r>
              <w:t>78 030</w:t>
            </w:r>
          </w:p>
        </w:tc>
      </w:tr>
      <w:tr w:rsidR="00182709" w14:paraId="3435DCC6" w14:textId="77777777" w:rsidTr="00633C06">
        <w:tc>
          <w:tcPr>
            <w:tcW w:w="1344" w:type="dxa"/>
          </w:tcPr>
          <w:p w14:paraId="11D86107" w14:textId="77777777" w:rsidR="00182709" w:rsidRDefault="0044097C">
            <w:pPr>
              <w:jc w:val="left"/>
            </w:pPr>
            <w:r>
              <w:rPr>
                <w:color w:val="4472C4"/>
                <w:sz w:val="13"/>
              </w:rPr>
              <w:t>AASB 116.73 (d)</w:t>
            </w:r>
          </w:p>
        </w:tc>
        <w:tc>
          <w:tcPr>
            <w:tcW w:w="3111" w:type="dxa"/>
          </w:tcPr>
          <w:p w14:paraId="350F1260" w14:textId="77777777" w:rsidR="00182709" w:rsidRDefault="0044097C">
            <w:pPr>
              <w:jc w:val="left"/>
            </w:pPr>
            <w:r>
              <w:t>Plant, equipment and vehicles at fair value</w:t>
            </w:r>
          </w:p>
        </w:tc>
        <w:tc>
          <w:tcPr>
            <w:tcW w:w="864" w:type="dxa"/>
          </w:tcPr>
          <w:p w14:paraId="1E40B5A2" w14:textId="77777777" w:rsidR="00182709" w:rsidRDefault="0044097C">
            <w:r>
              <w:t>52 455</w:t>
            </w:r>
          </w:p>
        </w:tc>
        <w:tc>
          <w:tcPr>
            <w:tcW w:w="864" w:type="dxa"/>
          </w:tcPr>
          <w:p w14:paraId="3384C9A4" w14:textId="77777777" w:rsidR="00182709" w:rsidRDefault="0044097C">
            <w:r>
              <w:t>59 793</w:t>
            </w:r>
          </w:p>
        </w:tc>
        <w:tc>
          <w:tcPr>
            <w:tcW w:w="864" w:type="dxa"/>
          </w:tcPr>
          <w:p w14:paraId="08385E7D" w14:textId="77777777" w:rsidR="00182709" w:rsidRDefault="0044097C">
            <w:r>
              <w:t>(916)</w:t>
            </w:r>
          </w:p>
        </w:tc>
        <w:tc>
          <w:tcPr>
            <w:tcW w:w="864" w:type="dxa"/>
          </w:tcPr>
          <w:p w14:paraId="758DA6F1" w14:textId="77777777" w:rsidR="00182709" w:rsidRDefault="0044097C">
            <w:r>
              <w:t>(16 684)</w:t>
            </w:r>
          </w:p>
        </w:tc>
        <w:tc>
          <w:tcPr>
            <w:tcW w:w="864" w:type="dxa"/>
          </w:tcPr>
          <w:p w14:paraId="564A5AF8" w14:textId="77777777" w:rsidR="00182709" w:rsidRDefault="0044097C">
            <w:r>
              <w:t>51 539</w:t>
            </w:r>
          </w:p>
        </w:tc>
        <w:tc>
          <w:tcPr>
            <w:tcW w:w="864" w:type="dxa"/>
          </w:tcPr>
          <w:p w14:paraId="7D90B9D3" w14:textId="77777777" w:rsidR="00182709" w:rsidRDefault="0044097C">
            <w:r>
              <w:t>43 109</w:t>
            </w:r>
          </w:p>
        </w:tc>
      </w:tr>
      <w:tr w:rsidR="00182709" w14:paraId="430BF6FB" w14:textId="77777777" w:rsidTr="00633C06">
        <w:tc>
          <w:tcPr>
            <w:tcW w:w="1344" w:type="dxa"/>
          </w:tcPr>
          <w:p w14:paraId="11635AFE" w14:textId="77777777" w:rsidR="00182709" w:rsidRDefault="0044097C">
            <w:pPr>
              <w:jc w:val="left"/>
            </w:pPr>
            <w:r>
              <w:rPr>
                <w:color w:val="4472C4"/>
                <w:sz w:val="13"/>
              </w:rPr>
              <w:t>AASB 116.73 (d)</w:t>
            </w:r>
          </w:p>
        </w:tc>
        <w:tc>
          <w:tcPr>
            <w:tcW w:w="3111" w:type="dxa"/>
          </w:tcPr>
          <w:p w14:paraId="2BA68B8E" w14:textId="77777777" w:rsidR="00182709" w:rsidRDefault="0044097C">
            <w:pPr>
              <w:jc w:val="left"/>
            </w:pPr>
            <w:r>
              <w:t>Assets under construction at cost</w:t>
            </w:r>
          </w:p>
        </w:tc>
        <w:tc>
          <w:tcPr>
            <w:tcW w:w="864" w:type="dxa"/>
          </w:tcPr>
          <w:p w14:paraId="2F4492CA" w14:textId="77777777" w:rsidR="00182709" w:rsidRDefault="0044097C">
            <w:r>
              <w:t>713</w:t>
            </w:r>
          </w:p>
        </w:tc>
        <w:tc>
          <w:tcPr>
            <w:tcW w:w="864" w:type="dxa"/>
          </w:tcPr>
          <w:p w14:paraId="74C01ECE" w14:textId="77777777" w:rsidR="00182709" w:rsidRDefault="0044097C">
            <w:r>
              <w:t>1 023</w:t>
            </w:r>
          </w:p>
        </w:tc>
        <w:tc>
          <w:tcPr>
            <w:tcW w:w="864" w:type="dxa"/>
          </w:tcPr>
          <w:p w14:paraId="096AB35C" w14:textId="77777777" w:rsidR="00182709" w:rsidRDefault="0044097C">
            <w:r>
              <w:t>..</w:t>
            </w:r>
          </w:p>
        </w:tc>
        <w:tc>
          <w:tcPr>
            <w:tcW w:w="864" w:type="dxa"/>
          </w:tcPr>
          <w:p w14:paraId="5D6F80E6" w14:textId="77777777" w:rsidR="00182709" w:rsidRDefault="0044097C">
            <w:r>
              <w:t>..</w:t>
            </w:r>
          </w:p>
        </w:tc>
        <w:tc>
          <w:tcPr>
            <w:tcW w:w="864" w:type="dxa"/>
          </w:tcPr>
          <w:p w14:paraId="19B0E567" w14:textId="77777777" w:rsidR="00182709" w:rsidRDefault="0044097C">
            <w:r>
              <w:t>713</w:t>
            </w:r>
          </w:p>
        </w:tc>
        <w:tc>
          <w:tcPr>
            <w:tcW w:w="864" w:type="dxa"/>
          </w:tcPr>
          <w:p w14:paraId="325D5ED6" w14:textId="77777777" w:rsidR="00182709" w:rsidRDefault="0044097C">
            <w:r>
              <w:t>1 023</w:t>
            </w:r>
          </w:p>
        </w:tc>
      </w:tr>
      <w:tr w:rsidR="00182709" w14:paraId="4C214023" w14:textId="77777777" w:rsidTr="00633C06">
        <w:tc>
          <w:tcPr>
            <w:tcW w:w="1344" w:type="dxa"/>
          </w:tcPr>
          <w:p w14:paraId="3D0EE0B6" w14:textId="77777777" w:rsidR="00182709" w:rsidRDefault="0044097C">
            <w:pPr>
              <w:jc w:val="left"/>
            </w:pPr>
            <w:r>
              <w:rPr>
                <w:color w:val="4472C4"/>
                <w:sz w:val="13"/>
              </w:rPr>
              <w:t>AASB 116.73 (d)</w:t>
            </w:r>
          </w:p>
        </w:tc>
        <w:tc>
          <w:tcPr>
            <w:tcW w:w="3111" w:type="dxa"/>
          </w:tcPr>
          <w:p w14:paraId="7ECF84AC" w14:textId="77777777" w:rsidR="00182709" w:rsidRDefault="0044097C">
            <w:pPr>
              <w:jc w:val="left"/>
            </w:pPr>
            <w:r>
              <w:t>Infrastructure at fair value</w:t>
            </w:r>
          </w:p>
        </w:tc>
        <w:tc>
          <w:tcPr>
            <w:tcW w:w="864" w:type="dxa"/>
          </w:tcPr>
          <w:p w14:paraId="7A21C386" w14:textId="77777777" w:rsidR="00182709" w:rsidRDefault="0044097C">
            <w:r>
              <w:t>6 563</w:t>
            </w:r>
          </w:p>
        </w:tc>
        <w:tc>
          <w:tcPr>
            <w:tcW w:w="864" w:type="dxa"/>
          </w:tcPr>
          <w:p w14:paraId="7C56F46C" w14:textId="77777777" w:rsidR="00182709" w:rsidRDefault="0044097C">
            <w:r>
              <w:t>5 099</w:t>
            </w:r>
          </w:p>
        </w:tc>
        <w:tc>
          <w:tcPr>
            <w:tcW w:w="864" w:type="dxa"/>
          </w:tcPr>
          <w:p w14:paraId="2EEBC01B" w14:textId="77777777" w:rsidR="00182709" w:rsidRDefault="0044097C">
            <w:r>
              <w:t>(4 879)</w:t>
            </w:r>
          </w:p>
        </w:tc>
        <w:tc>
          <w:tcPr>
            <w:tcW w:w="864" w:type="dxa"/>
          </w:tcPr>
          <w:p w14:paraId="2535A2CD" w14:textId="77777777" w:rsidR="00182709" w:rsidRDefault="0044097C">
            <w:r>
              <w:t>(168)</w:t>
            </w:r>
          </w:p>
        </w:tc>
        <w:tc>
          <w:tcPr>
            <w:tcW w:w="864" w:type="dxa"/>
          </w:tcPr>
          <w:p w14:paraId="15B367E5" w14:textId="77777777" w:rsidR="00182709" w:rsidRDefault="0044097C">
            <w:r>
              <w:t>1 684</w:t>
            </w:r>
          </w:p>
        </w:tc>
        <w:tc>
          <w:tcPr>
            <w:tcW w:w="864" w:type="dxa"/>
          </w:tcPr>
          <w:p w14:paraId="1EA5725E" w14:textId="77777777" w:rsidR="00182709" w:rsidRDefault="0044097C">
            <w:r>
              <w:t>4 931</w:t>
            </w:r>
          </w:p>
        </w:tc>
      </w:tr>
      <w:tr w:rsidR="00182709" w14:paraId="127F9BEF" w14:textId="77777777" w:rsidTr="00633C06">
        <w:tc>
          <w:tcPr>
            <w:tcW w:w="1344" w:type="dxa"/>
          </w:tcPr>
          <w:p w14:paraId="32A65D33" w14:textId="77777777" w:rsidR="00182709" w:rsidRDefault="0044097C">
            <w:pPr>
              <w:jc w:val="left"/>
            </w:pPr>
            <w:r>
              <w:rPr>
                <w:color w:val="4472C4"/>
                <w:sz w:val="13"/>
              </w:rPr>
              <w:t>AASB 116.73 (d)</w:t>
            </w:r>
          </w:p>
        </w:tc>
        <w:tc>
          <w:tcPr>
            <w:tcW w:w="3111" w:type="dxa"/>
          </w:tcPr>
          <w:p w14:paraId="3352493E" w14:textId="77777777" w:rsidR="00182709" w:rsidRDefault="0044097C">
            <w:pPr>
              <w:jc w:val="left"/>
            </w:pPr>
            <w:r>
              <w:t>Road, infrastructure and earthworks at fair value</w:t>
            </w:r>
          </w:p>
        </w:tc>
        <w:tc>
          <w:tcPr>
            <w:tcW w:w="864" w:type="dxa"/>
          </w:tcPr>
          <w:p w14:paraId="76D08F96" w14:textId="77777777" w:rsidR="00182709" w:rsidRDefault="0044097C">
            <w:r>
              <w:t>2 896</w:t>
            </w:r>
          </w:p>
        </w:tc>
        <w:tc>
          <w:tcPr>
            <w:tcW w:w="864" w:type="dxa"/>
          </w:tcPr>
          <w:p w14:paraId="3A2152F2" w14:textId="77777777" w:rsidR="00182709" w:rsidRDefault="0044097C">
            <w:r>
              <w:t>5 005</w:t>
            </w:r>
          </w:p>
        </w:tc>
        <w:tc>
          <w:tcPr>
            <w:tcW w:w="864" w:type="dxa"/>
          </w:tcPr>
          <w:p w14:paraId="2B77E5A8" w14:textId="77777777" w:rsidR="00182709" w:rsidRDefault="0044097C">
            <w:r>
              <w:t>(640)</w:t>
            </w:r>
          </w:p>
        </w:tc>
        <w:tc>
          <w:tcPr>
            <w:tcW w:w="864" w:type="dxa"/>
          </w:tcPr>
          <w:p w14:paraId="31B22C68" w14:textId="77777777" w:rsidR="00182709" w:rsidRDefault="0044097C">
            <w:r>
              <w:t>(12)</w:t>
            </w:r>
          </w:p>
        </w:tc>
        <w:tc>
          <w:tcPr>
            <w:tcW w:w="864" w:type="dxa"/>
          </w:tcPr>
          <w:p w14:paraId="1B5E6B79" w14:textId="77777777" w:rsidR="00182709" w:rsidRDefault="0044097C">
            <w:r>
              <w:t>2 256</w:t>
            </w:r>
          </w:p>
        </w:tc>
        <w:tc>
          <w:tcPr>
            <w:tcW w:w="864" w:type="dxa"/>
          </w:tcPr>
          <w:p w14:paraId="104DC4B2" w14:textId="77777777" w:rsidR="00182709" w:rsidRDefault="0044097C">
            <w:r>
              <w:t>4 993</w:t>
            </w:r>
          </w:p>
        </w:tc>
      </w:tr>
      <w:tr w:rsidR="00182709" w14:paraId="6763C6FF" w14:textId="77777777" w:rsidTr="00633C06">
        <w:tc>
          <w:tcPr>
            <w:tcW w:w="1344" w:type="dxa"/>
          </w:tcPr>
          <w:p w14:paraId="448DED4D" w14:textId="77777777" w:rsidR="00182709" w:rsidRDefault="00182709">
            <w:pPr>
              <w:jc w:val="left"/>
            </w:pPr>
          </w:p>
        </w:tc>
        <w:tc>
          <w:tcPr>
            <w:tcW w:w="3111" w:type="dxa"/>
            <w:tcBorders>
              <w:bottom w:val="single" w:sz="12" w:space="0" w:color="auto"/>
            </w:tcBorders>
          </w:tcPr>
          <w:p w14:paraId="13D575C5" w14:textId="77777777" w:rsidR="00182709" w:rsidRDefault="0044097C">
            <w:pPr>
              <w:jc w:val="left"/>
            </w:pPr>
            <w:r>
              <w:t>Cultural assets at fair value</w:t>
            </w:r>
          </w:p>
        </w:tc>
        <w:tc>
          <w:tcPr>
            <w:tcW w:w="864" w:type="dxa"/>
            <w:tcBorders>
              <w:bottom w:val="single" w:sz="12" w:space="0" w:color="auto"/>
            </w:tcBorders>
          </w:tcPr>
          <w:p w14:paraId="7F13D563" w14:textId="77777777" w:rsidR="00182709" w:rsidRDefault="0044097C">
            <w:r>
              <w:t>2 764</w:t>
            </w:r>
          </w:p>
        </w:tc>
        <w:tc>
          <w:tcPr>
            <w:tcW w:w="864" w:type="dxa"/>
            <w:tcBorders>
              <w:bottom w:val="single" w:sz="12" w:space="0" w:color="auto"/>
            </w:tcBorders>
          </w:tcPr>
          <w:p w14:paraId="36EE3A77" w14:textId="77777777" w:rsidR="00182709" w:rsidRDefault="0044097C">
            <w:r>
              <w:t>..</w:t>
            </w:r>
          </w:p>
        </w:tc>
        <w:tc>
          <w:tcPr>
            <w:tcW w:w="864" w:type="dxa"/>
            <w:tcBorders>
              <w:bottom w:val="single" w:sz="12" w:space="0" w:color="auto"/>
            </w:tcBorders>
          </w:tcPr>
          <w:p w14:paraId="6C45B8AD" w14:textId="77777777" w:rsidR="00182709" w:rsidRDefault="0044097C">
            <w:r>
              <w:t>..</w:t>
            </w:r>
          </w:p>
        </w:tc>
        <w:tc>
          <w:tcPr>
            <w:tcW w:w="864" w:type="dxa"/>
            <w:tcBorders>
              <w:bottom w:val="single" w:sz="12" w:space="0" w:color="auto"/>
            </w:tcBorders>
          </w:tcPr>
          <w:p w14:paraId="49CAAFB2" w14:textId="77777777" w:rsidR="00182709" w:rsidRDefault="0044097C">
            <w:r>
              <w:t>..</w:t>
            </w:r>
          </w:p>
        </w:tc>
        <w:tc>
          <w:tcPr>
            <w:tcW w:w="864" w:type="dxa"/>
            <w:tcBorders>
              <w:bottom w:val="single" w:sz="12" w:space="0" w:color="auto"/>
            </w:tcBorders>
          </w:tcPr>
          <w:p w14:paraId="7FC31A66" w14:textId="77777777" w:rsidR="00182709" w:rsidRDefault="0044097C">
            <w:r>
              <w:t>2 764</w:t>
            </w:r>
          </w:p>
        </w:tc>
        <w:tc>
          <w:tcPr>
            <w:tcW w:w="864" w:type="dxa"/>
            <w:tcBorders>
              <w:bottom w:val="single" w:sz="12" w:space="0" w:color="auto"/>
            </w:tcBorders>
          </w:tcPr>
          <w:p w14:paraId="7AD8B9FB" w14:textId="77777777" w:rsidR="00182709" w:rsidRDefault="0044097C">
            <w:r>
              <w:t>..</w:t>
            </w:r>
          </w:p>
        </w:tc>
      </w:tr>
      <w:tr w:rsidR="00182709" w14:paraId="124CD4DD" w14:textId="77777777" w:rsidTr="00633C06">
        <w:tc>
          <w:tcPr>
            <w:tcW w:w="1344" w:type="dxa"/>
            <w:tcBorders>
              <w:bottom w:val="nil"/>
            </w:tcBorders>
          </w:tcPr>
          <w:p w14:paraId="79D6055E" w14:textId="77777777" w:rsidR="00182709" w:rsidRDefault="00182709">
            <w:pPr>
              <w:jc w:val="left"/>
            </w:pPr>
          </w:p>
        </w:tc>
        <w:tc>
          <w:tcPr>
            <w:tcW w:w="3111" w:type="dxa"/>
            <w:tcBorders>
              <w:top w:val="single" w:sz="6" w:space="0" w:color="auto"/>
            </w:tcBorders>
          </w:tcPr>
          <w:p w14:paraId="2298D419" w14:textId="77777777" w:rsidR="00182709" w:rsidRDefault="0044097C">
            <w:pPr>
              <w:jc w:val="left"/>
            </w:pPr>
            <w:r>
              <w:rPr>
                <w:b/>
              </w:rPr>
              <w:t>Net carrying amount</w:t>
            </w:r>
          </w:p>
        </w:tc>
        <w:tc>
          <w:tcPr>
            <w:tcW w:w="864" w:type="dxa"/>
            <w:tcBorders>
              <w:top w:val="single" w:sz="6" w:space="0" w:color="auto"/>
            </w:tcBorders>
          </w:tcPr>
          <w:p w14:paraId="5C0D7AC1" w14:textId="77777777" w:rsidR="00182709" w:rsidRDefault="0044097C">
            <w:r>
              <w:rPr>
                <w:b/>
              </w:rPr>
              <w:t>154 651</w:t>
            </w:r>
          </w:p>
        </w:tc>
        <w:tc>
          <w:tcPr>
            <w:tcW w:w="864" w:type="dxa"/>
            <w:tcBorders>
              <w:top w:val="single" w:sz="6" w:space="0" w:color="auto"/>
            </w:tcBorders>
          </w:tcPr>
          <w:p w14:paraId="0C2B1662" w14:textId="77777777" w:rsidR="00182709" w:rsidRDefault="0044097C">
            <w:r>
              <w:rPr>
                <w:b/>
              </w:rPr>
              <w:t>153 888</w:t>
            </w:r>
          </w:p>
        </w:tc>
        <w:tc>
          <w:tcPr>
            <w:tcW w:w="864" w:type="dxa"/>
            <w:tcBorders>
              <w:top w:val="single" w:sz="6" w:space="0" w:color="auto"/>
            </w:tcBorders>
          </w:tcPr>
          <w:p w14:paraId="6C066007" w14:textId="77777777" w:rsidR="00182709" w:rsidRDefault="0044097C">
            <w:r>
              <w:rPr>
                <w:b/>
              </w:rPr>
              <w:t>(10 337)</w:t>
            </w:r>
          </w:p>
        </w:tc>
        <w:tc>
          <w:tcPr>
            <w:tcW w:w="864" w:type="dxa"/>
            <w:tcBorders>
              <w:top w:val="single" w:sz="6" w:space="0" w:color="auto"/>
            </w:tcBorders>
          </w:tcPr>
          <w:p w14:paraId="4B9ECFBF" w14:textId="77777777" w:rsidR="00182709" w:rsidRDefault="0044097C">
            <w:r>
              <w:rPr>
                <w:b/>
              </w:rPr>
              <w:t>(18 281)</w:t>
            </w:r>
          </w:p>
        </w:tc>
        <w:tc>
          <w:tcPr>
            <w:tcW w:w="864" w:type="dxa"/>
            <w:tcBorders>
              <w:top w:val="single" w:sz="6" w:space="0" w:color="auto"/>
            </w:tcBorders>
          </w:tcPr>
          <w:p w14:paraId="2694BF1C" w14:textId="77777777" w:rsidR="00182709" w:rsidRDefault="0044097C">
            <w:r>
              <w:rPr>
                <w:b/>
              </w:rPr>
              <w:t>144 314</w:t>
            </w:r>
          </w:p>
        </w:tc>
        <w:tc>
          <w:tcPr>
            <w:tcW w:w="864" w:type="dxa"/>
            <w:tcBorders>
              <w:top w:val="single" w:sz="6" w:space="0" w:color="auto"/>
            </w:tcBorders>
          </w:tcPr>
          <w:p w14:paraId="33745E27" w14:textId="77777777" w:rsidR="00182709" w:rsidRDefault="0044097C">
            <w:r>
              <w:rPr>
                <w:b/>
              </w:rPr>
              <w:t>135 607</w:t>
            </w:r>
          </w:p>
        </w:tc>
      </w:tr>
    </w:tbl>
    <w:p w14:paraId="1C7CD6D6" w14:textId="2B834DC9" w:rsidR="003719CD" w:rsidRDefault="003719CD" w:rsidP="007D536F">
      <w:pPr>
        <w:pStyle w:val="Note"/>
      </w:pPr>
      <w:r>
        <w:t>Note:</w:t>
      </w:r>
    </w:p>
    <w:p w14:paraId="51EC2944" w14:textId="1F05DD28" w:rsidR="003719CD" w:rsidRDefault="003719CD" w:rsidP="007D536F">
      <w:pPr>
        <w:pStyle w:val="Note"/>
      </w:pPr>
      <w:r>
        <w:t>(</w:t>
      </w:r>
      <w:r w:rsidR="00D27630">
        <w:t>a</w:t>
      </w:r>
      <w:r>
        <w:t>)</w:t>
      </w:r>
      <w:r>
        <w:tab/>
        <w:t>If any entity has significant land under roads, i.e. significant in value and/or difference in methodology, it should be disclosed separately from land.</w:t>
      </w:r>
    </w:p>
    <w:p w14:paraId="5AE6600B" w14:textId="77777777" w:rsidR="001F2260" w:rsidRDefault="001F2260" w:rsidP="00994C66">
      <w:r>
        <w:br w:type="page"/>
      </w:r>
    </w:p>
    <w:p w14:paraId="0573C729" w14:textId="4EE535A4" w:rsidR="003719CD" w:rsidRDefault="003719CD" w:rsidP="007D536F">
      <w:pPr>
        <w:keepNext/>
      </w:pPr>
      <w:r>
        <w:lastRenderedPageBreak/>
        <w:t>The following tables are subsets of buildings, and plant and equipment by right-of-use assets and service concession assets.</w:t>
      </w:r>
    </w:p>
    <w:p w14:paraId="45AC3414" w14:textId="5A69DBAF" w:rsidR="003719CD" w:rsidRDefault="003719CD" w:rsidP="001B5265">
      <w:pPr>
        <w:pStyle w:val="Heading3numbered"/>
      </w:pPr>
      <w:r>
        <w:t xml:space="preserve">Total right-of-use assets: buildings, plant, equipment and vehicles. </w:t>
      </w:r>
      <w:r>
        <w:br/>
      </w:r>
      <w:r w:rsidRPr="00467442">
        <w:rPr>
          <w:rStyle w:val="Reference"/>
        </w:rPr>
        <w:t>[AASB 16.47(a)(ii)]</w:t>
      </w:r>
    </w:p>
    <w:p w14:paraId="7A56C85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2767"/>
        <w:gridCol w:w="851"/>
        <w:gridCol w:w="1134"/>
        <w:gridCol w:w="850"/>
        <w:gridCol w:w="709"/>
        <w:gridCol w:w="1120"/>
        <w:gridCol w:w="864"/>
      </w:tblGrid>
      <w:tr w:rsidR="00182709" w14:paraId="176B71B0" w14:textId="77777777" w:rsidTr="00A8451A">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288EDBD5" w14:textId="77777777" w:rsidR="00182709" w:rsidRDefault="0044097C">
            <w:pPr>
              <w:keepNext/>
              <w:jc w:val="left"/>
            </w:pPr>
            <w:r>
              <w:rPr>
                <w:color w:val="4472C4"/>
                <w:sz w:val="13"/>
              </w:rPr>
              <w:t>Source reference</w:t>
            </w:r>
          </w:p>
        </w:tc>
        <w:tc>
          <w:tcPr>
            <w:tcW w:w="2767" w:type="dxa"/>
          </w:tcPr>
          <w:p w14:paraId="0B94410A" w14:textId="77777777" w:rsidR="00182709" w:rsidRDefault="00182709">
            <w:pPr>
              <w:keepNext/>
              <w:jc w:val="left"/>
            </w:pPr>
          </w:p>
        </w:tc>
        <w:tc>
          <w:tcPr>
            <w:tcW w:w="851" w:type="dxa"/>
          </w:tcPr>
          <w:p w14:paraId="518FDB1F" w14:textId="77777777" w:rsidR="00182709" w:rsidRDefault="0044097C">
            <w:pPr>
              <w:keepNext/>
            </w:pPr>
            <w:r>
              <w:t>Gross carrying amount</w:t>
            </w:r>
          </w:p>
        </w:tc>
        <w:tc>
          <w:tcPr>
            <w:tcW w:w="1134" w:type="dxa"/>
          </w:tcPr>
          <w:p w14:paraId="16D620D6" w14:textId="77777777" w:rsidR="00182709" w:rsidRDefault="0044097C">
            <w:pPr>
              <w:keepNext/>
            </w:pPr>
            <w:r>
              <w:t>Accumulated depreciation</w:t>
            </w:r>
          </w:p>
        </w:tc>
        <w:tc>
          <w:tcPr>
            <w:tcW w:w="850" w:type="dxa"/>
          </w:tcPr>
          <w:p w14:paraId="2FB66CC9" w14:textId="77777777" w:rsidR="00182709" w:rsidRDefault="0044097C">
            <w:pPr>
              <w:keepNext/>
            </w:pPr>
            <w:r>
              <w:t>Net carrying amount</w:t>
            </w:r>
          </w:p>
        </w:tc>
        <w:tc>
          <w:tcPr>
            <w:tcW w:w="709" w:type="dxa"/>
          </w:tcPr>
          <w:p w14:paraId="047839F5" w14:textId="77777777" w:rsidR="00182709" w:rsidRDefault="0044097C">
            <w:pPr>
              <w:keepNext/>
            </w:pPr>
            <w:r>
              <w:t>Gross carrying amount</w:t>
            </w:r>
          </w:p>
        </w:tc>
        <w:tc>
          <w:tcPr>
            <w:tcW w:w="1120" w:type="dxa"/>
          </w:tcPr>
          <w:p w14:paraId="135424CD" w14:textId="77777777" w:rsidR="00182709" w:rsidRDefault="0044097C">
            <w:pPr>
              <w:keepNext/>
            </w:pPr>
            <w:r>
              <w:t>Accumulated depreciation</w:t>
            </w:r>
          </w:p>
        </w:tc>
        <w:tc>
          <w:tcPr>
            <w:tcW w:w="864" w:type="dxa"/>
          </w:tcPr>
          <w:p w14:paraId="1E149A2D" w14:textId="77777777" w:rsidR="00182709" w:rsidRDefault="0044097C">
            <w:pPr>
              <w:keepNext/>
            </w:pPr>
            <w:r>
              <w:t>Net carrying amount</w:t>
            </w:r>
          </w:p>
        </w:tc>
      </w:tr>
      <w:tr w:rsidR="00633C06" w14:paraId="6DFB1EA7" w14:textId="77777777" w:rsidTr="00A8451A">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0FF52F67" w14:textId="77777777" w:rsidR="00633C06" w:rsidRDefault="00633C06" w:rsidP="00633C06">
            <w:pPr>
              <w:keepNext/>
              <w:jc w:val="left"/>
            </w:pPr>
          </w:p>
        </w:tc>
        <w:tc>
          <w:tcPr>
            <w:tcW w:w="2767" w:type="dxa"/>
          </w:tcPr>
          <w:p w14:paraId="4C283A50" w14:textId="77777777" w:rsidR="00633C06" w:rsidRDefault="00633C06" w:rsidP="00633C06">
            <w:pPr>
              <w:keepNext/>
              <w:jc w:val="left"/>
            </w:pPr>
          </w:p>
        </w:tc>
        <w:tc>
          <w:tcPr>
            <w:tcW w:w="851" w:type="dxa"/>
          </w:tcPr>
          <w:p w14:paraId="3E51FC3C" w14:textId="216C2C56" w:rsidR="00633C06" w:rsidRDefault="00633C06" w:rsidP="00633C06">
            <w:pPr>
              <w:keepNext/>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1134" w:type="dxa"/>
          </w:tcPr>
          <w:p w14:paraId="6A465639" w14:textId="31AEC5A6" w:rsidR="00633C06" w:rsidRDefault="00633C06" w:rsidP="00633C06">
            <w:pPr>
              <w:keepNext/>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c>
          <w:tcPr>
            <w:tcW w:w="850" w:type="dxa"/>
          </w:tcPr>
          <w:p w14:paraId="2766AD0A" w14:textId="164BD945" w:rsidR="00633C06" w:rsidRDefault="00633C06" w:rsidP="00633C06">
            <w:pPr>
              <w:keepNext/>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709" w:type="dxa"/>
          </w:tcPr>
          <w:p w14:paraId="2909146D" w14:textId="49567FC9" w:rsidR="00633C06" w:rsidRDefault="00633C06" w:rsidP="00633C06">
            <w:pPr>
              <w:keepNext/>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c>
          <w:tcPr>
            <w:tcW w:w="1120" w:type="dxa"/>
          </w:tcPr>
          <w:p w14:paraId="5C61717D" w14:textId="0A1331F2" w:rsidR="00633C06" w:rsidRDefault="00633C06" w:rsidP="00633C06">
            <w:pPr>
              <w:keepNext/>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214BA4B9" w14:textId="640D3F27" w:rsidR="00633C06" w:rsidRDefault="00633C06" w:rsidP="00633C06">
            <w:pPr>
              <w:keepNext/>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r>
      <w:tr w:rsidR="00182709" w14:paraId="02A59112" w14:textId="77777777" w:rsidTr="00A8451A">
        <w:tc>
          <w:tcPr>
            <w:tcW w:w="1344" w:type="dxa"/>
          </w:tcPr>
          <w:p w14:paraId="55D3D784" w14:textId="77777777" w:rsidR="00182709" w:rsidRDefault="0044097C">
            <w:pPr>
              <w:jc w:val="left"/>
            </w:pPr>
            <w:r>
              <w:rPr>
                <w:color w:val="4472C4"/>
                <w:sz w:val="13"/>
              </w:rPr>
              <w:t>AASB 116.73 (d)</w:t>
            </w:r>
          </w:p>
        </w:tc>
        <w:tc>
          <w:tcPr>
            <w:tcW w:w="2767" w:type="dxa"/>
          </w:tcPr>
          <w:p w14:paraId="3AFFBDB1" w14:textId="77777777" w:rsidR="00182709" w:rsidRDefault="0044097C">
            <w:pPr>
              <w:jc w:val="left"/>
            </w:pPr>
            <w:r>
              <w:t>Buildings at fair value</w:t>
            </w:r>
          </w:p>
        </w:tc>
        <w:tc>
          <w:tcPr>
            <w:tcW w:w="851" w:type="dxa"/>
          </w:tcPr>
          <w:p w14:paraId="001D07DF" w14:textId="77777777" w:rsidR="00182709" w:rsidRDefault="0044097C">
            <w:r>
              <w:t>10 774</w:t>
            </w:r>
          </w:p>
        </w:tc>
        <w:tc>
          <w:tcPr>
            <w:tcW w:w="1134" w:type="dxa"/>
          </w:tcPr>
          <w:p w14:paraId="74C39DF2" w14:textId="77777777" w:rsidR="00182709" w:rsidRDefault="0044097C">
            <w:r>
              <w:t>910</w:t>
            </w:r>
          </w:p>
        </w:tc>
        <w:tc>
          <w:tcPr>
            <w:tcW w:w="850" w:type="dxa"/>
          </w:tcPr>
          <w:p w14:paraId="0F8F4601" w14:textId="77777777" w:rsidR="00182709" w:rsidRDefault="0044097C">
            <w:r>
              <w:t>9 864</w:t>
            </w:r>
          </w:p>
        </w:tc>
        <w:tc>
          <w:tcPr>
            <w:tcW w:w="709" w:type="dxa"/>
          </w:tcPr>
          <w:p w14:paraId="067D443F" w14:textId="77777777" w:rsidR="00182709" w:rsidRDefault="0044097C">
            <w:r>
              <w:rPr>
                <w:b/>
              </w:rPr>
              <w:t>10 774</w:t>
            </w:r>
          </w:p>
        </w:tc>
        <w:tc>
          <w:tcPr>
            <w:tcW w:w="1120" w:type="dxa"/>
          </w:tcPr>
          <w:p w14:paraId="0EAFDAFD" w14:textId="77777777" w:rsidR="00182709" w:rsidRDefault="0044097C">
            <w:r>
              <w:rPr>
                <w:b/>
              </w:rPr>
              <w:t>759</w:t>
            </w:r>
          </w:p>
        </w:tc>
        <w:tc>
          <w:tcPr>
            <w:tcW w:w="864" w:type="dxa"/>
          </w:tcPr>
          <w:p w14:paraId="0B70D4EF" w14:textId="77777777" w:rsidR="00182709" w:rsidRDefault="0044097C">
            <w:r>
              <w:rPr>
                <w:b/>
              </w:rPr>
              <w:t>10 015</w:t>
            </w:r>
          </w:p>
        </w:tc>
      </w:tr>
      <w:tr w:rsidR="00182709" w14:paraId="79457D50" w14:textId="77777777" w:rsidTr="00A8451A">
        <w:tc>
          <w:tcPr>
            <w:tcW w:w="1344" w:type="dxa"/>
          </w:tcPr>
          <w:p w14:paraId="24BB1484" w14:textId="77777777" w:rsidR="00182709" w:rsidRDefault="00182709">
            <w:pPr>
              <w:jc w:val="left"/>
            </w:pPr>
          </w:p>
        </w:tc>
        <w:tc>
          <w:tcPr>
            <w:tcW w:w="2767" w:type="dxa"/>
          </w:tcPr>
          <w:p w14:paraId="380ECF8B" w14:textId="77777777" w:rsidR="00182709" w:rsidRDefault="0044097C">
            <w:pPr>
              <w:jc w:val="left"/>
            </w:pPr>
            <w:r>
              <w:t>Plant, equipment and vehicles</w:t>
            </w:r>
          </w:p>
        </w:tc>
        <w:tc>
          <w:tcPr>
            <w:tcW w:w="851" w:type="dxa"/>
          </w:tcPr>
          <w:p w14:paraId="2B3CCBD5" w14:textId="77777777" w:rsidR="00182709" w:rsidRDefault="0044097C">
            <w:r>
              <w:t>4 579</w:t>
            </w:r>
          </w:p>
        </w:tc>
        <w:tc>
          <w:tcPr>
            <w:tcW w:w="1134" w:type="dxa"/>
          </w:tcPr>
          <w:p w14:paraId="56647708" w14:textId="77777777" w:rsidR="00182709" w:rsidRDefault="0044097C">
            <w:r>
              <w:t>916</w:t>
            </w:r>
          </w:p>
        </w:tc>
        <w:tc>
          <w:tcPr>
            <w:tcW w:w="850" w:type="dxa"/>
          </w:tcPr>
          <w:p w14:paraId="673740C6" w14:textId="77777777" w:rsidR="00182709" w:rsidRDefault="0044097C">
            <w:r>
              <w:t>3 663</w:t>
            </w:r>
          </w:p>
        </w:tc>
        <w:tc>
          <w:tcPr>
            <w:tcW w:w="709" w:type="dxa"/>
          </w:tcPr>
          <w:p w14:paraId="4DBCE816" w14:textId="77777777" w:rsidR="00182709" w:rsidRDefault="0044097C">
            <w:r>
              <w:rPr>
                <w:b/>
              </w:rPr>
              <w:t>4 579</w:t>
            </w:r>
          </w:p>
        </w:tc>
        <w:tc>
          <w:tcPr>
            <w:tcW w:w="1120" w:type="dxa"/>
          </w:tcPr>
          <w:p w14:paraId="63206D01" w14:textId="77777777" w:rsidR="00182709" w:rsidRDefault="0044097C">
            <w:r>
              <w:rPr>
                <w:b/>
              </w:rPr>
              <w:t>458</w:t>
            </w:r>
          </w:p>
        </w:tc>
        <w:tc>
          <w:tcPr>
            <w:tcW w:w="864" w:type="dxa"/>
          </w:tcPr>
          <w:p w14:paraId="6E02B779" w14:textId="77777777" w:rsidR="00182709" w:rsidRDefault="0044097C">
            <w:r>
              <w:rPr>
                <w:b/>
              </w:rPr>
              <w:t>4 121</w:t>
            </w:r>
          </w:p>
        </w:tc>
      </w:tr>
      <w:tr w:rsidR="00182709" w14:paraId="38EE4698" w14:textId="77777777" w:rsidTr="00A8451A">
        <w:tc>
          <w:tcPr>
            <w:tcW w:w="1344" w:type="dxa"/>
          </w:tcPr>
          <w:p w14:paraId="79E556AD" w14:textId="77777777" w:rsidR="00182709" w:rsidRDefault="00182709">
            <w:pPr>
              <w:jc w:val="left"/>
            </w:pPr>
          </w:p>
        </w:tc>
        <w:tc>
          <w:tcPr>
            <w:tcW w:w="2767" w:type="dxa"/>
            <w:tcBorders>
              <w:bottom w:val="single" w:sz="12" w:space="0" w:color="auto"/>
            </w:tcBorders>
          </w:tcPr>
          <w:p w14:paraId="6E3B2B59" w14:textId="77777777" w:rsidR="00182709" w:rsidRDefault="0044097C">
            <w:pPr>
              <w:jc w:val="left"/>
            </w:pPr>
            <w:r>
              <w:t>Infrastructure at fair value</w:t>
            </w:r>
          </w:p>
        </w:tc>
        <w:tc>
          <w:tcPr>
            <w:tcW w:w="851" w:type="dxa"/>
            <w:tcBorders>
              <w:bottom w:val="single" w:sz="12" w:space="0" w:color="auto"/>
            </w:tcBorders>
          </w:tcPr>
          <w:p w14:paraId="6EFAE2F3" w14:textId="77777777" w:rsidR="00182709" w:rsidRDefault="0044097C">
            <w:r>
              <w:t>4 744</w:t>
            </w:r>
          </w:p>
        </w:tc>
        <w:tc>
          <w:tcPr>
            <w:tcW w:w="1134" w:type="dxa"/>
            <w:tcBorders>
              <w:bottom w:val="single" w:sz="12" w:space="0" w:color="auto"/>
            </w:tcBorders>
          </w:tcPr>
          <w:p w14:paraId="29E17A97" w14:textId="77777777" w:rsidR="00182709" w:rsidRDefault="0044097C">
            <w:r>
              <w:t>552</w:t>
            </w:r>
          </w:p>
        </w:tc>
        <w:tc>
          <w:tcPr>
            <w:tcW w:w="850" w:type="dxa"/>
            <w:tcBorders>
              <w:bottom w:val="single" w:sz="12" w:space="0" w:color="auto"/>
            </w:tcBorders>
          </w:tcPr>
          <w:p w14:paraId="4A28C580" w14:textId="77777777" w:rsidR="00182709" w:rsidRDefault="0044097C">
            <w:r>
              <w:t>4 192</w:t>
            </w:r>
          </w:p>
        </w:tc>
        <w:tc>
          <w:tcPr>
            <w:tcW w:w="709" w:type="dxa"/>
            <w:tcBorders>
              <w:bottom w:val="single" w:sz="12" w:space="0" w:color="auto"/>
            </w:tcBorders>
          </w:tcPr>
          <w:p w14:paraId="192DA6C1" w14:textId="77777777" w:rsidR="00182709" w:rsidRDefault="0044097C">
            <w:r>
              <w:t>4 744</w:t>
            </w:r>
          </w:p>
        </w:tc>
        <w:tc>
          <w:tcPr>
            <w:tcW w:w="1120" w:type="dxa"/>
            <w:tcBorders>
              <w:bottom w:val="single" w:sz="12" w:space="0" w:color="auto"/>
            </w:tcBorders>
          </w:tcPr>
          <w:p w14:paraId="0762F922" w14:textId="77777777" w:rsidR="00182709" w:rsidRDefault="0044097C">
            <w:r>
              <w:t>276</w:t>
            </w:r>
          </w:p>
        </w:tc>
        <w:tc>
          <w:tcPr>
            <w:tcW w:w="864" w:type="dxa"/>
            <w:tcBorders>
              <w:bottom w:val="single" w:sz="12" w:space="0" w:color="auto"/>
            </w:tcBorders>
          </w:tcPr>
          <w:p w14:paraId="7AFC379C" w14:textId="77777777" w:rsidR="00182709" w:rsidRDefault="0044097C">
            <w:r>
              <w:t>4 468</w:t>
            </w:r>
          </w:p>
        </w:tc>
      </w:tr>
      <w:tr w:rsidR="00671D55" w14:paraId="33B114FA" w14:textId="77777777" w:rsidTr="00A8451A">
        <w:tc>
          <w:tcPr>
            <w:tcW w:w="1344" w:type="dxa"/>
            <w:tcBorders>
              <w:bottom w:val="nil"/>
            </w:tcBorders>
          </w:tcPr>
          <w:p w14:paraId="281716DA" w14:textId="77777777" w:rsidR="00182709" w:rsidRDefault="00182709">
            <w:pPr>
              <w:jc w:val="left"/>
            </w:pPr>
          </w:p>
        </w:tc>
        <w:tc>
          <w:tcPr>
            <w:tcW w:w="2767" w:type="dxa"/>
          </w:tcPr>
          <w:p w14:paraId="18D476AD" w14:textId="77777777" w:rsidR="00182709" w:rsidRDefault="0044097C">
            <w:pPr>
              <w:jc w:val="left"/>
            </w:pPr>
            <w:r>
              <w:rPr>
                <w:b/>
              </w:rPr>
              <w:t>Net carrying amount</w:t>
            </w:r>
          </w:p>
        </w:tc>
        <w:tc>
          <w:tcPr>
            <w:tcW w:w="851" w:type="dxa"/>
          </w:tcPr>
          <w:p w14:paraId="29D97748" w14:textId="77777777" w:rsidR="00182709" w:rsidRDefault="0044097C">
            <w:r>
              <w:rPr>
                <w:b/>
              </w:rPr>
              <w:t>20 097</w:t>
            </w:r>
          </w:p>
        </w:tc>
        <w:tc>
          <w:tcPr>
            <w:tcW w:w="1134" w:type="dxa"/>
          </w:tcPr>
          <w:p w14:paraId="16C1D3FC" w14:textId="77777777" w:rsidR="00182709" w:rsidRDefault="0044097C">
            <w:r>
              <w:rPr>
                <w:b/>
              </w:rPr>
              <w:t>2 378</w:t>
            </w:r>
          </w:p>
        </w:tc>
        <w:tc>
          <w:tcPr>
            <w:tcW w:w="850" w:type="dxa"/>
          </w:tcPr>
          <w:p w14:paraId="24EE2152" w14:textId="77777777" w:rsidR="00182709" w:rsidRDefault="0044097C">
            <w:r>
              <w:rPr>
                <w:b/>
              </w:rPr>
              <w:t>17 719</w:t>
            </w:r>
          </w:p>
        </w:tc>
        <w:tc>
          <w:tcPr>
            <w:tcW w:w="709" w:type="dxa"/>
          </w:tcPr>
          <w:p w14:paraId="5E811829" w14:textId="77777777" w:rsidR="00182709" w:rsidRDefault="0044097C">
            <w:r>
              <w:rPr>
                <w:b/>
              </w:rPr>
              <w:t>20 097</w:t>
            </w:r>
          </w:p>
        </w:tc>
        <w:tc>
          <w:tcPr>
            <w:tcW w:w="1120" w:type="dxa"/>
          </w:tcPr>
          <w:p w14:paraId="1988C0C7" w14:textId="77777777" w:rsidR="00182709" w:rsidRDefault="0044097C">
            <w:r>
              <w:rPr>
                <w:b/>
              </w:rPr>
              <w:t>1 493</w:t>
            </w:r>
          </w:p>
        </w:tc>
        <w:tc>
          <w:tcPr>
            <w:tcW w:w="864" w:type="dxa"/>
          </w:tcPr>
          <w:p w14:paraId="2E584AA4" w14:textId="77777777" w:rsidR="00182709" w:rsidRDefault="0044097C">
            <w:r>
              <w:rPr>
                <w:b/>
              </w:rPr>
              <w:t>18 604</w:t>
            </w:r>
          </w:p>
        </w:tc>
      </w:tr>
    </w:tbl>
    <w:p w14:paraId="7613001A" w14:textId="77777777" w:rsidR="003719CD" w:rsidRDefault="003719CD" w:rsidP="007D536F">
      <w:pPr>
        <w:pStyle w:val="TableUnits"/>
      </w:pPr>
    </w:p>
    <w:p w14:paraId="51F7D2E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3613"/>
        <w:gridCol w:w="1134"/>
        <w:gridCol w:w="2126"/>
        <w:gridCol w:w="1417"/>
      </w:tblGrid>
      <w:tr w:rsidR="00182709" w14:paraId="633099B7" w14:textId="77777777" w:rsidTr="00D81C2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4B81A871" w14:textId="77777777" w:rsidR="00182709" w:rsidRDefault="0044097C">
            <w:pPr>
              <w:keepNext/>
              <w:jc w:val="left"/>
            </w:pPr>
            <w:r>
              <w:rPr>
                <w:color w:val="4472C4"/>
                <w:sz w:val="13"/>
              </w:rPr>
              <w:t>Source reference</w:t>
            </w:r>
          </w:p>
        </w:tc>
        <w:tc>
          <w:tcPr>
            <w:tcW w:w="3613" w:type="dxa"/>
          </w:tcPr>
          <w:p w14:paraId="4827DDA1" w14:textId="77777777" w:rsidR="00182709" w:rsidRDefault="00182709">
            <w:pPr>
              <w:keepNext/>
              <w:jc w:val="left"/>
            </w:pPr>
          </w:p>
        </w:tc>
        <w:tc>
          <w:tcPr>
            <w:tcW w:w="1134" w:type="dxa"/>
          </w:tcPr>
          <w:p w14:paraId="3C6E3684" w14:textId="77777777" w:rsidR="00182709" w:rsidRDefault="0044097C">
            <w:pPr>
              <w:keepNext/>
            </w:pPr>
            <w:r>
              <w:t>Buildings</w:t>
            </w:r>
          </w:p>
        </w:tc>
        <w:tc>
          <w:tcPr>
            <w:tcW w:w="2126" w:type="dxa"/>
          </w:tcPr>
          <w:p w14:paraId="6B2E354D" w14:textId="77777777" w:rsidR="00182709" w:rsidRDefault="0044097C">
            <w:pPr>
              <w:keepNext/>
            </w:pPr>
            <w:r>
              <w:t>Plant, equipment and vehicles at fair value</w:t>
            </w:r>
          </w:p>
        </w:tc>
        <w:tc>
          <w:tcPr>
            <w:tcW w:w="1417" w:type="dxa"/>
          </w:tcPr>
          <w:p w14:paraId="66BFB286" w14:textId="77777777" w:rsidR="00182709" w:rsidRDefault="0044097C">
            <w:pPr>
              <w:keepNext/>
            </w:pPr>
            <w:r>
              <w:t>Infrastructure at fair value</w:t>
            </w:r>
          </w:p>
        </w:tc>
      </w:tr>
      <w:tr w:rsidR="00182709" w14:paraId="41E2FFB5" w14:textId="77777777" w:rsidTr="00D81C2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5A85F5EB" w14:textId="490CF31E" w:rsidR="00182709" w:rsidRPr="00BA18BB" w:rsidRDefault="00182709" w:rsidP="00BA18BB">
            <w:pPr>
              <w:spacing w:before="20" w:after="20"/>
              <w:jc w:val="left"/>
              <w:rPr>
                <w:i w:val="0"/>
                <w:iCs/>
              </w:rPr>
            </w:pPr>
          </w:p>
        </w:tc>
        <w:tc>
          <w:tcPr>
            <w:tcW w:w="3613" w:type="dxa"/>
          </w:tcPr>
          <w:p w14:paraId="60381C8C" w14:textId="77777777" w:rsidR="00182709" w:rsidRDefault="00182709">
            <w:pPr>
              <w:keepNext/>
              <w:jc w:val="left"/>
            </w:pPr>
          </w:p>
        </w:tc>
        <w:tc>
          <w:tcPr>
            <w:tcW w:w="1134" w:type="dxa"/>
          </w:tcPr>
          <w:p w14:paraId="63AC2171" w14:textId="77777777" w:rsidR="00182709" w:rsidRDefault="00182709">
            <w:pPr>
              <w:keepNext/>
            </w:pPr>
          </w:p>
        </w:tc>
        <w:tc>
          <w:tcPr>
            <w:tcW w:w="2126" w:type="dxa"/>
          </w:tcPr>
          <w:p w14:paraId="5D8BCC2F" w14:textId="77777777" w:rsidR="00182709" w:rsidRDefault="00182709">
            <w:pPr>
              <w:keepNext/>
            </w:pPr>
          </w:p>
        </w:tc>
        <w:tc>
          <w:tcPr>
            <w:tcW w:w="1417" w:type="dxa"/>
          </w:tcPr>
          <w:p w14:paraId="572502A3" w14:textId="77777777" w:rsidR="00182709" w:rsidRDefault="00182709">
            <w:pPr>
              <w:keepNext/>
            </w:pPr>
          </w:p>
        </w:tc>
      </w:tr>
      <w:tr w:rsidR="00182709" w14:paraId="7536D39C" w14:textId="77777777" w:rsidTr="00D81C2A">
        <w:tc>
          <w:tcPr>
            <w:tcW w:w="1349" w:type="dxa"/>
          </w:tcPr>
          <w:p w14:paraId="3C788A16" w14:textId="6B3F6E90" w:rsidR="00182709" w:rsidRDefault="00CA3743">
            <w:pPr>
              <w:jc w:val="left"/>
            </w:pPr>
            <w:r>
              <w:rPr>
                <w:color w:val="4472C4"/>
                <w:sz w:val="13"/>
              </w:rPr>
              <w:t>AASB 16.54</w:t>
            </w:r>
          </w:p>
        </w:tc>
        <w:tc>
          <w:tcPr>
            <w:tcW w:w="3613" w:type="dxa"/>
          </w:tcPr>
          <w:p w14:paraId="775644D5" w14:textId="51991526" w:rsidR="00182709" w:rsidRPr="00633C06" w:rsidRDefault="0044097C">
            <w:pPr>
              <w:jc w:val="left"/>
              <w:rPr>
                <w:b/>
              </w:rPr>
            </w:pPr>
            <w:r w:rsidRPr="00633C06">
              <w:rPr>
                <w:b/>
              </w:rPr>
              <w:t xml:space="preserve">Opening balance – 1 July </w:t>
            </w:r>
            <w:r w:rsidR="00633C06" w:rsidRPr="00633C06">
              <w:rPr>
                <w:b/>
              </w:rPr>
              <w:fldChar w:fldCharType="begin"/>
            </w:r>
            <w:r w:rsidR="00633C06" w:rsidRPr="00633C06">
              <w:rPr>
                <w:b/>
              </w:rPr>
              <w:instrText>DOCPROPERTY  YearPrevious  \* MERGEFORMAT</w:instrText>
            </w:r>
            <w:r w:rsidR="00633C06" w:rsidRPr="00633C06">
              <w:rPr>
                <w:b/>
              </w:rPr>
              <w:fldChar w:fldCharType="separate"/>
            </w:r>
            <w:r w:rsidR="00633C06" w:rsidRPr="00633C06">
              <w:rPr>
                <w:b/>
              </w:rPr>
              <w:t>20X1</w:t>
            </w:r>
            <w:r w:rsidR="00633C06" w:rsidRPr="00633C06">
              <w:rPr>
                <w:b/>
              </w:rPr>
              <w:fldChar w:fldCharType="end"/>
            </w:r>
          </w:p>
        </w:tc>
        <w:tc>
          <w:tcPr>
            <w:tcW w:w="1134" w:type="dxa"/>
          </w:tcPr>
          <w:p w14:paraId="439B8D39" w14:textId="77777777" w:rsidR="00182709" w:rsidRDefault="0044097C">
            <w:r>
              <w:rPr>
                <w:b/>
              </w:rPr>
              <w:t>10 774</w:t>
            </w:r>
          </w:p>
        </w:tc>
        <w:tc>
          <w:tcPr>
            <w:tcW w:w="2126" w:type="dxa"/>
          </w:tcPr>
          <w:p w14:paraId="4185A8A3" w14:textId="77777777" w:rsidR="00182709" w:rsidRDefault="0044097C">
            <w:r>
              <w:rPr>
                <w:b/>
              </w:rPr>
              <w:t>4 121</w:t>
            </w:r>
          </w:p>
        </w:tc>
        <w:tc>
          <w:tcPr>
            <w:tcW w:w="1417" w:type="dxa"/>
          </w:tcPr>
          <w:p w14:paraId="3FA34264" w14:textId="77777777" w:rsidR="00182709" w:rsidRDefault="0044097C">
            <w:r>
              <w:rPr>
                <w:b/>
              </w:rPr>
              <w:t>4 468</w:t>
            </w:r>
          </w:p>
        </w:tc>
      </w:tr>
      <w:tr w:rsidR="00182709" w14:paraId="2F61D38D" w14:textId="77777777" w:rsidTr="00D81C2A">
        <w:tc>
          <w:tcPr>
            <w:tcW w:w="1349" w:type="dxa"/>
          </w:tcPr>
          <w:p w14:paraId="53610D58" w14:textId="77777777" w:rsidR="00182709" w:rsidRDefault="0044097C">
            <w:pPr>
              <w:jc w:val="left"/>
            </w:pPr>
            <w:r>
              <w:rPr>
                <w:color w:val="4472C4"/>
                <w:sz w:val="13"/>
              </w:rPr>
              <w:t>AASB 16.53 (h)</w:t>
            </w:r>
          </w:p>
        </w:tc>
        <w:tc>
          <w:tcPr>
            <w:tcW w:w="3613" w:type="dxa"/>
          </w:tcPr>
          <w:p w14:paraId="4D49C49B" w14:textId="77777777" w:rsidR="00182709" w:rsidRDefault="0044097C">
            <w:pPr>
              <w:jc w:val="left"/>
            </w:pPr>
            <w:r>
              <w:t>Additions</w:t>
            </w:r>
          </w:p>
        </w:tc>
        <w:tc>
          <w:tcPr>
            <w:tcW w:w="1134" w:type="dxa"/>
          </w:tcPr>
          <w:p w14:paraId="22084DC5" w14:textId="77777777" w:rsidR="00182709" w:rsidRDefault="0044097C">
            <w:r>
              <w:t>..</w:t>
            </w:r>
          </w:p>
        </w:tc>
        <w:tc>
          <w:tcPr>
            <w:tcW w:w="2126" w:type="dxa"/>
          </w:tcPr>
          <w:p w14:paraId="339C41C7" w14:textId="77777777" w:rsidR="00182709" w:rsidRDefault="0044097C">
            <w:r>
              <w:t>..</w:t>
            </w:r>
          </w:p>
        </w:tc>
        <w:tc>
          <w:tcPr>
            <w:tcW w:w="1417" w:type="dxa"/>
          </w:tcPr>
          <w:p w14:paraId="0C944683" w14:textId="77777777" w:rsidR="00182709" w:rsidRDefault="0044097C">
            <w:r>
              <w:rPr>
                <w:b/>
              </w:rPr>
              <w:t>..</w:t>
            </w:r>
          </w:p>
        </w:tc>
      </w:tr>
      <w:tr w:rsidR="00182709" w14:paraId="648706E2" w14:textId="77777777" w:rsidTr="00D81C2A">
        <w:tc>
          <w:tcPr>
            <w:tcW w:w="1349" w:type="dxa"/>
          </w:tcPr>
          <w:p w14:paraId="56FD9865" w14:textId="77777777" w:rsidR="00182709" w:rsidRDefault="00182709">
            <w:pPr>
              <w:jc w:val="left"/>
            </w:pPr>
          </w:p>
        </w:tc>
        <w:tc>
          <w:tcPr>
            <w:tcW w:w="3613" w:type="dxa"/>
          </w:tcPr>
          <w:p w14:paraId="59CC422B" w14:textId="77777777" w:rsidR="00182709" w:rsidRDefault="0044097C">
            <w:pPr>
              <w:jc w:val="left"/>
            </w:pPr>
            <w:r>
              <w:t>Disposals</w:t>
            </w:r>
          </w:p>
        </w:tc>
        <w:tc>
          <w:tcPr>
            <w:tcW w:w="1134" w:type="dxa"/>
          </w:tcPr>
          <w:p w14:paraId="0C133F8B" w14:textId="77777777" w:rsidR="00182709" w:rsidRDefault="0044097C">
            <w:r>
              <w:t>..</w:t>
            </w:r>
          </w:p>
        </w:tc>
        <w:tc>
          <w:tcPr>
            <w:tcW w:w="2126" w:type="dxa"/>
          </w:tcPr>
          <w:p w14:paraId="59797BC1" w14:textId="77777777" w:rsidR="00182709" w:rsidRDefault="0044097C">
            <w:r>
              <w:t>..</w:t>
            </w:r>
          </w:p>
        </w:tc>
        <w:tc>
          <w:tcPr>
            <w:tcW w:w="1417" w:type="dxa"/>
          </w:tcPr>
          <w:p w14:paraId="248D8729" w14:textId="77777777" w:rsidR="00182709" w:rsidRDefault="0044097C">
            <w:r>
              <w:rPr>
                <w:b/>
              </w:rPr>
              <w:t>..</w:t>
            </w:r>
          </w:p>
        </w:tc>
      </w:tr>
      <w:tr w:rsidR="00182709" w14:paraId="4E8335BC" w14:textId="77777777" w:rsidTr="00D81C2A">
        <w:tc>
          <w:tcPr>
            <w:tcW w:w="1349" w:type="dxa"/>
          </w:tcPr>
          <w:p w14:paraId="2B2007E2" w14:textId="77777777" w:rsidR="00182709" w:rsidRDefault="0044097C">
            <w:pPr>
              <w:jc w:val="left"/>
            </w:pPr>
            <w:r>
              <w:rPr>
                <w:color w:val="4472C4"/>
                <w:sz w:val="13"/>
              </w:rPr>
              <w:t>AASB 16.53 (a)</w:t>
            </w:r>
          </w:p>
        </w:tc>
        <w:tc>
          <w:tcPr>
            <w:tcW w:w="3613" w:type="dxa"/>
            <w:tcBorders>
              <w:bottom w:val="single" w:sz="12" w:space="0" w:color="auto"/>
            </w:tcBorders>
          </w:tcPr>
          <w:p w14:paraId="06DB45A4" w14:textId="77777777" w:rsidR="00182709" w:rsidRDefault="0044097C">
            <w:pPr>
              <w:jc w:val="left"/>
            </w:pPr>
            <w:r>
              <w:t>Depreciation</w:t>
            </w:r>
          </w:p>
        </w:tc>
        <w:tc>
          <w:tcPr>
            <w:tcW w:w="1134" w:type="dxa"/>
            <w:tcBorders>
              <w:bottom w:val="single" w:sz="12" w:space="0" w:color="auto"/>
            </w:tcBorders>
          </w:tcPr>
          <w:p w14:paraId="250B6492" w14:textId="77777777" w:rsidR="00182709" w:rsidRDefault="0044097C">
            <w:r>
              <w:t>(302)</w:t>
            </w:r>
          </w:p>
        </w:tc>
        <w:tc>
          <w:tcPr>
            <w:tcW w:w="2126" w:type="dxa"/>
            <w:tcBorders>
              <w:bottom w:val="single" w:sz="12" w:space="0" w:color="auto"/>
            </w:tcBorders>
          </w:tcPr>
          <w:p w14:paraId="411DED29" w14:textId="77777777" w:rsidR="00182709" w:rsidRDefault="0044097C">
            <w:r>
              <w:t>(458)</w:t>
            </w:r>
          </w:p>
        </w:tc>
        <w:tc>
          <w:tcPr>
            <w:tcW w:w="1417" w:type="dxa"/>
            <w:tcBorders>
              <w:bottom w:val="single" w:sz="12" w:space="0" w:color="auto"/>
            </w:tcBorders>
          </w:tcPr>
          <w:p w14:paraId="3420199C" w14:textId="77777777" w:rsidR="00182709" w:rsidRDefault="0044097C">
            <w:r>
              <w:rPr>
                <w:b/>
              </w:rPr>
              <w:t>(276)</w:t>
            </w:r>
          </w:p>
        </w:tc>
      </w:tr>
      <w:tr w:rsidR="00671D55" w14:paraId="30621CDB" w14:textId="77777777" w:rsidTr="00D81C2A">
        <w:tc>
          <w:tcPr>
            <w:tcW w:w="1349" w:type="dxa"/>
          </w:tcPr>
          <w:p w14:paraId="1AB152C1" w14:textId="77777777" w:rsidR="00182709" w:rsidRDefault="0044097C">
            <w:pPr>
              <w:jc w:val="left"/>
            </w:pPr>
            <w:r>
              <w:rPr>
                <w:color w:val="4472C4"/>
                <w:sz w:val="13"/>
              </w:rPr>
              <w:t>AASB 16.53 (j)</w:t>
            </w:r>
          </w:p>
        </w:tc>
        <w:tc>
          <w:tcPr>
            <w:tcW w:w="3613" w:type="dxa"/>
          </w:tcPr>
          <w:p w14:paraId="1FC06758" w14:textId="46B84C07" w:rsidR="00182709" w:rsidRPr="00633C06" w:rsidRDefault="0044097C">
            <w:pPr>
              <w:jc w:val="left"/>
              <w:rPr>
                <w:b/>
              </w:rPr>
            </w:pPr>
            <w:r w:rsidRPr="00633C06">
              <w:rPr>
                <w:b/>
              </w:rPr>
              <w:t xml:space="preserve">Closing balance – 30 June </w:t>
            </w:r>
            <w:r w:rsidR="00633C06" w:rsidRPr="00633C06">
              <w:rPr>
                <w:b/>
              </w:rPr>
              <w:fldChar w:fldCharType="begin"/>
            </w:r>
            <w:r w:rsidR="00633C06" w:rsidRPr="00633C06">
              <w:rPr>
                <w:b/>
              </w:rPr>
              <w:instrText>DOCPROPERTY  YearCurrent \* MERGEFORMAT</w:instrText>
            </w:r>
            <w:r w:rsidR="00633C06" w:rsidRPr="00633C06">
              <w:rPr>
                <w:b/>
              </w:rPr>
              <w:fldChar w:fldCharType="separate"/>
            </w:r>
            <w:r w:rsidR="00633C06" w:rsidRPr="00633C06">
              <w:rPr>
                <w:b/>
              </w:rPr>
              <w:t>20X2</w:t>
            </w:r>
            <w:r w:rsidR="00633C06" w:rsidRPr="00633C06">
              <w:rPr>
                <w:b/>
              </w:rPr>
              <w:fldChar w:fldCharType="end"/>
            </w:r>
          </w:p>
        </w:tc>
        <w:tc>
          <w:tcPr>
            <w:tcW w:w="1134" w:type="dxa"/>
          </w:tcPr>
          <w:p w14:paraId="33495B68" w14:textId="77777777" w:rsidR="00182709" w:rsidRDefault="0044097C">
            <w:r>
              <w:rPr>
                <w:b/>
              </w:rPr>
              <w:t>10 472</w:t>
            </w:r>
          </w:p>
        </w:tc>
        <w:tc>
          <w:tcPr>
            <w:tcW w:w="2126" w:type="dxa"/>
          </w:tcPr>
          <w:p w14:paraId="204486B7" w14:textId="77777777" w:rsidR="00182709" w:rsidRDefault="0044097C">
            <w:r>
              <w:rPr>
                <w:b/>
              </w:rPr>
              <w:t>3 663</w:t>
            </w:r>
          </w:p>
        </w:tc>
        <w:tc>
          <w:tcPr>
            <w:tcW w:w="1417" w:type="dxa"/>
          </w:tcPr>
          <w:p w14:paraId="7FF0DD76" w14:textId="77777777" w:rsidR="00182709" w:rsidRDefault="0044097C">
            <w:r>
              <w:rPr>
                <w:b/>
              </w:rPr>
              <w:t>4 192</w:t>
            </w:r>
          </w:p>
        </w:tc>
      </w:tr>
      <w:tr w:rsidR="00671D55" w14:paraId="0E793BE2" w14:textId="77777777" w:rsidTr="00D81C2A">
        <w:tc>
          <w:tcPr>
            <w:tcW w:w="1349" w:type="dxa"/>
          </w:tcPr>
          <w:p w14:paraId="2FAEC2AE" w14:textId="77777777" w:rsidR="00182709" w:rsidRDefault="00182709">
            <w:pPr>
              <w:jc w:val="left"/>
            </w:pPr>
          </w:p>
        </w:tc>
        <w:tc>
          <w:tcPr>
            <w:tcW w:w="3613" w:type="dxa"/>
          </w:tcPr>
          <w:p w14:paraId="5E6F633A" w14:textId="77777777" w:rsidR="00182709" w:rsidRDefault="0044097C">
            <w:pPr>
              <w:jc w:val="left"/>
            </w:pPr>
            <w:r>
              <w:rPr>
                <w:b/>
              </w:rPr>
              <w:t>Opening balance – 1 July 20X0</w:t>
            </w:r>
            <w:r>
              <w:rPr>
                <w:b/>
                <w:vertAlign w:val="superscript"/>
              </w:rPr>
              <w:t xml:space="preserve"> (a)</w:t>
            </w:r>
          </w:p>
        </w:tc>
        <w:tc>
          <w:tcPr>
            <w:tcW w:w="1134" w:type="dxa"/>
          </w:tcPr>
          <w:p w14:paraId="723E95FD" w14:textId="77777777" w:rsidR="00182709" w:rsidRDefault="0044097C">
            <w:r>
              <w:rPr>
                <w:b/>
              </w:rPr>
              <w:t>10 925</w:t>
            </w:r>
          </w:p>
        </w:tc>
        <w:tc>
          <w:tcPr>
            <w:tcW w:w="2126" w:type="dxa"/>
          </w:tcPr>
          <w:p w14:paraId="660CF6A8" w14:textId="77777777" w:rsidR="00182709" w:rsidRDefault="0044097C">
            <w:r>
              <w:rPr>
                <w:b/>
              </w:rPr>
              <w:t>4 579</w:t>
            </w:r>
          </w:p>
        </w:tc>
        <w:tc>
          <w:tcPr>
            <w:tcW w:w="1417" w:type="dxa"/>
          </w:tcPr>
          <w:p w14:paraId="1A5F6CAA" w14:textId="77777777" w:rsidR="00182709" w:rsidRDefault="0044097C">
            <w:r>
              <w:rPr>
                <w:b/>
              </w:rPr>
              <w:t>4 744</w:t>
            </w:r>
          </w:p>
        </w:tc>
      </w:tr>
      <w:tr w:rsidR="00182709" w14:paraId="18C284C7" w14:textId="77777777" w:rsidTr="00D81C2A">
        <w:tc>
          <w:tcPr>
            <w:tcW w:w="1349" w:type="dxa"/>
          </w:tcPr>
          <w:p w14:paraId="622F6797" w14:textId="77777777" w:rsidR="00182709" w:rsidRDefault="00182709">
            <w:pPr>
              <w:jc w:val="left"/>
            </w:pPr>
          </w:p>
        </w:tc>
        <w:tc>
          <w:tcPr>
            <w:tcW w:w="3613" w:type="dxa"/>
          </w:tcPr>
          <w:p w14:paraId="4FA6010B" w14:textId="77777777" w:rsidR="00182709" w:rsidRDefault="0044097C">
            <w:pPr>
              <w:jc w:val="left"/>
            </w:pPr>
            <w:r>
              <w:t>Additions</w:t>
            </w:r>
          </w:p>
        </w:tc>
        <w:tc>
          <w:tcPr>
            <w:tcW w:w="1134" w:type="dxa"/>
          </w:tcPr>
          <w:p w14:paraId="2E82E022" w14:textId="77777777" w:rsidR="00182709" w:rsidRDefault="0044097C">
            <w:r>
              <w:t>..</w:t>
            </w:r>
          </w:p>
        </w:tc>
        <w:tc>
          <w:tcPr>
            <w:tcW w:w="2126" w:type="dxa"/>
          </w:tcPr>
          <w:p w14:paraId="6DDD49B9" w14:textId="77777777" w:rsidR="00182709" w:rsidRDefault="0044097C">
            <w:r>
              <w:t>..</w:t>
            </w:r>
          </w:p>
        </w:tc>
        <w:tc>
          <w:tcPr>
            <w:tcW w:w="1417" w:type="dxa"/>
          </w:tcPr>
          <w:p w14:paraId="5D622216" w14:textId="77777777" w:rsidR="00182709" w:rsidRDefault="0044097C">
            <w:r>
              <w:rPr>
                <w:b/>
              </w:rPr>
              <w:t>..</w:t>
            </w:r>
          </w:p>
        </w:tc>
      </w:tr>
      <w:tr w:rsidR="00182709" w14:paraId="03032E30" w14:textId="77777777" w:rsidTr="00D81C2A">
        <w:tc>
          <w:tcPr>
            <w:tcW w:w="1349" w:type="dxa"/>
          </w:tcPr>
          <w:p w14:paraId="796C9783" w14:textId="77777777" w:rsidR="00182709" w:rsidRDefault="00182709">
            <w:pPr>
              <w:jc w:val="left"/>
            </w:pPr>
          </w:p>
        </w:tc>
        <w:tc>
          <w:tcPr>
            <w:tcW w:w="3613" w:type="dxa"/>
          </w:tcPr>
          <w:p w14:paraId="55FD78E5" w14:textId="77777777" w:rsidR="00182709" w:rsidRDefault="0044097C">
            <w:pPr>
              <w:jc w:val="left"/>
            </w:pPr>
            <w:r>
              <w:t>Disposals</w:t>
            </w:r>
          </w:p>
        </w:tc>
        <w:tc>
          <w:tcPr>
            <w:tcW w:w="1134" w:type="dxa"/>
          </w:tcPr>
          <w:p w14:paraId="7813D037" w14:textId="77777777" w:rsidR="00182709" w:rsidRDefault="0044097C">
            <w:r>
              <w:t>..</w:t>
            </w:r>
          </w:p>
        </w:tc>
        <w:tc>
          <w:tcPr>
            <w:tcW w:w="2126" w:type="dxa"/>
          </w:tcPr>
          <w:p w14:paraId="2B27C4D1" w14:textId="77777777" w:rsidR="00182709" w:rsidRDefault="0044097C">
            <w:r>
              <w:t>..</w:t>
            </w:r>
          </w:p>
        </w:tc>
        <w:tc>
          <w:tcPr>
            <w:tcW w:w="1417" w:type="dxa"/>
          </w:tcPr>
          <w:p w14:paraId="2FB66310" w14:textId="77777777" w:rsidR="00182709" w:rsidRDefault="0044097C">
            <w:r>
              <w:rPr>
                <w:b/>
              </w:rPr>
              <w:t>..</w:t>
            </w:r>
          </w:p>
        </w:tc>
      </w:tr>
      <w:tr w:rsidR="00182709" w14:paraId="09363F23" w14:textId="77777777" w:rsidTr="00D81C2A">
        <w:tc>
          <w:tcPr>
            <w:tcW w:w="1349" w:type="dxa"/>
          </w:tcPr>
          <w:p w14:paraId="2C0FA4F5" w14:textId="77777777" w:rsidR="00182709" w:rsidRDefault="00182709">
            <w:pPr>
              <w:jc w:val="left"/>
            </w:pPr>
          </w:p>
        </w:tc>
        <w:tc>
          <w:tcPr>
            <w:tcW w:w="3613" w:type="dxa"/>
            <w:tcBorders>
              <w:bottom w:val="single" w:sz="12" w:space="0" w:color="auto"/>
            </w:tcBorders>
          </w:tcPr>
          <w:p w14:paraId="6F38035A" w14:textId="77777777" w:rsidR="00182709" w:rsidRDefault="0044097C">
            <w:pPr>
              <w:jc w:val="left"/>
            </w:pPr>
            <w:r>
              <w:t>Depreciation</w:t>
            </w:r>
          </w:p>
        </w:tc>
        <w:tc>
          <w:tcPr>
            <w:tcW w:w="1134" w:type="dxa"/>
            <w:tcBorders>
              <w:bottom w:val="single" w:sz="12" w:space="0" w:color="auto"/>
            </w:tcBorders>
          </w:tcPr>
          <w:p w14:paraId="52E574F4" w14:textId="77777777" w:rsidR="00182709" w:rsidRDefault="0044097C">
            <w:r>
              <w:t>(759)</w:t>
            </w:r>
          </w:p>
        </w:tc>
        <w:tc>
          <w:tcPr>
            <w:tcW w:w="2126" w:type="dxa"/>
            <w:tcBorders>
              <w:bottom w:val="single" w:sz="12" w:space="0" w:color="auto"/>
            </w:tcBorders>
          </w:tcPr>
          <w:p w14:paraId="47C485CA" w14:textId="77777777" w:rsidR="00182709" w:rsidRDefault="0044097C">
            <w:r>
              <w:t>(458)</w:t>
            </w:r>
          </w:p>
        </w:tc>
        <w:tc>
          <w:tcPr>
            <w:tcW w:w="1417" w:type="dxa"/>
            <w:tcBorders>
              <w:bottom w:val="single" w:sz="12" w:space="0" w:color="auto"/>
            </w:tcBorders>
          </w:tcPr>
          <w:p w14:paraId="594D655B" w14:textId="77777777" w:rsidR="00182709" w:rsidRDefault="0044097C">
            <w:r>
              <w:rPr>
                <w:b/>
              </w:rPr>
              <w:t>(276)</w:t>
            </w:r>
          </w:p>
        </w:tc>
      </w:tr>
      <w:tr w:rsidR="00671D55" w14:paraId="4577B4C7" w14:textId="77777777" w:rsidTr="00D81C2A">
        <w:tc>
          <w:tcPr>
            <w:tcW w:w="1349" w:type="dxa"/>
            <w:tcBorders>
              <w:bottom w:val="nil"/>
            </w:tcBorders>
          </w:tcPr>
          <w:p w14:paraId="0120C47C" w14:textId="77777777" w:rsidR="00182709" w:rsidRDefault="00182709">
            <w:pPr>
              <w:jc w:val="left"/>
            </w:pPr>
          </w:p>
        </w:tc>
        <w:tc>
          <w:tcPr>
            <w:tcW w:w="3613" w:type="dxa"/>
          </w:tcPr>
          <w:p w14:paraId="611E8750" w14:textId="638964B4" w:rsidR="00182709" w:rsidRDefault="0044097C">
            <w:pPr>
              <w:jc w:val="left"/>
            </w:pPr>
            <w:r>
              <w:rPr>
                <w:b/>
              </w:rPr>
              <w:t xml:space="preserve">Closing balance – 30 June </w:t>
            </w:r>
            <w:r w:rsidR="00633C06" w:rsidRPr="00633C06">
              <w:rPr>
                <w:b/>
              </w:rPr>
              <w:fldChar w:fldCharType="begin"/>
            </w:r>
            <w:r w:rsidR="00633C06" w:rsidRPr="00633C06">
              <w:rPr>
                <w:b/>
              </w:rPr>
              <w:instrText>DOCPROPERTY  YearPrevious  \* MERGEFORMAT</w:instrText>
            </w:r>
            <w:r w:rsidR="00633C06" w:rsidRPr="00633C06">
              <w:rPr>
                <w:b/>
              </w:rPr>
              <w:fldChar w:fldCharType="separate"/>
            </w:r>
            <w:r w:rsidR="00633C06" w:rsidRPr="00633C06">
              <w:rPr>
                <w:b/>
              </w:rPr>
              <w:t>20X1</w:t>
            </w:r>
            <w:r w:rsidR="00633C06" w:rsidRPr="00633C06">
              <w:rPr>
                <w:b/>
              </w:rPr>
              <w:fldChar w:fldCharType="end"/>
            </w:r>
          </w:p>
        </w:tc>
        <w:tc>
          <w:tcPr>
            <w:tcW w:w="1134" w:type="dxa"/>
          </w:tcPr>
          <w:p w14:paraId="6B39DFBA" w14:textId="77777777" w:rsidR="00182709" w:rsidRDefault="0044097C">
            <w:r>
              <w:rPr>
                <w:b/>
              </w:rPr>
              <w:t>10 166</w:t>
            </w:r>
          </w:p>
        </w:tc>
        <w:tc>
          <w:tcPr>
            <w:tcW w:w="2126" w:type="dxa"/>
          </w:tcPr>
          <w:p w14:paraId="2648DBCE" w14:textId="77777777" w:rsidR="00182709" w:rsidRDefault="0044097C">
            <w:r>
              <w:rPr>
                <w:b/>
              </w:rPr>
              <w:t>4 121</w:t>
            </w:r>
          </w:p>
        </w:tc>
        <w:tc>
          <w:tcPr>
            <w:tcW w:w="1417" w:type="dxa"/>
          </w:tcPr>
          <w:p w14:paraId="542543C7" w14:textId="77777777" w:rsidR="00182709" w:rsidRDefault="0044097C">
            <w:r>
              <w:rPr>
                <w:b/>
              </w:rPr>
              <w:t>4 468</w:t>
            </w:r>
          </w:p>
        </w:tc>
      </w:tr>
    </w:tbl>
    <w:p w14:paraId="1CCA19BC" w14:textId="77777777" w:rsidR="003719CD" w:rsidRDefault="003719CD" w:rsidP="00DC39DE"/>
    <w:p w14:paraId="104A0EB3" w14:textId="46802D84" w:rsidR="003719CD" w:rsidRDefault="003719CD" w:rsidP="001B5265">
      <w:pPr>
        <w:pStyle w:val="Heading3numbered"/>
      </w:pPr>
      <w:r>
        <w:t>Total service concession assets</w:t>
      </w:r>
    </w:p>
    <w:p w14:paraId="0422B4DC"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0E741157" w14:textId="77777777" w:rsidTr="00633C06">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61CA0A64" w14:textId="77777777" w:rsidR="00182709" w:rsidRDefault="0044097C">
            <w:pPr>
              <w:keepNext/>
              <w:jc w:val="left"/>
            </w:pPr>
            <w:r>
              <w:rPr>
                <w:color w:val="4472C4"/>
                <w:sz w:val="13"/>
              </w:rPr>
              <w:t>Source reference</w:t>
            </w:r>
          </w:p>
        </w:tc>
        <w:tc>
          <w:tcPr>
            <w:tcW w:w="3111" w:type="dxa"/>
          </w:tcPr>
          <w:p w14:paraId="1EFD7F70" w14:textId="77777777" w:rsidR="00182709" w:rsidRDefault="00182709">
            <w:pPr>
              <w:keepNext/>
              <w:jc w:val="left"/>
            </w:pPr>
          </w:p>
        </w:tc>
        <w:tc>
          <w:tcPr>
            <w:tcW w:w="1728" w:type="dxa"/>
            <w:gridSpan w:val="2"/>
          </w:tcPr>
          <w:p w14:paraId="7E0EAEBF" w14:textId="77777777" w:rsidR="00182709" w:rsidRDefault="0044097C">
            <w:pPr>
              <w:keepNext/>
              <w:jc w:val="center"/>
            </w:pPr>
            <w:r>
              <w:t>Gross carrying amount</w:t>
            </w:r>
          </w:p>
        </w:tc>
        <w:tc>
          <w:tcPr>
            <w:tcW w:w="1728" w:type="dxa"/>
            <w:gridSpan w:val="2"/>
          </w:tcPr>
          <w:p w14:paraId="1452C508" w14:textId="77777777" w:rsidR="00182709" w:rsidRDefault="0044097C">
            <w:pPr>
              <w:keepNext/>
              <w:jc w:val="center"/>
            </w:pPr>
            <w:r>
              <w:t>Accumulated depreciation</w:t>
            </w:r>
          </w:p>
        </w:tc>
        <w:tc>
          <w:tcPr>
            <w:tcW w:w="1728" w:type="dxa"/>
            <w:gridSpan w:val="2"/>
          </w:tcPr>
          <w:p w14:paraId="465D9042" w14:textId="77777777" w:rsidR="00182709" w:rsidRDefault="0044097C">
            <w:pPr>
              <w:keepNext/>
              <w:jc w:val="center"/>
            </w:pPr>
            <w:r>
              <w:t>Net carrying amount</w:t>
            </w:r>
          </w:p>
        </w:tc>
      </w:tr>
      <w:tr w:rsidR="00633C06" w14:paraId="362122AC" w14:textId="77777777" w:rsidTr="00633C06">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15C9F686" w14:textId="77777777" w:rsidR="00633C06" w:rsidRDefault="00633C06" w:rsidP="00633C06">
            <w:pPr>
              <w:keepNext/>
              <w:jc w:val="left"/>
            </w:pPr>
          </w:p>
        </w:tc>
        <w:tc>
          <w:tcPr>
            <w:tcW w:w="3111" w:type="dxa"/>
          </w:tcPr>
          <w:p w14:paraId="000323D6" w14:textId="77777777" w:rsidR="00633C06" w:rsidRDefault="00633C06" w:rsidP="00633C06">
            <w:pPr>
              <w:keepNext/>
              <w:jc w:val="left"/>
            </w:pPr>
          </w:p>
        </w:tc>
        <w:tc>
          <w:tcPr>
            <w:tcW w:w="864" w:type="dxa"/>
          </w:tcPr>
          <w:p w14:paraId="13828237" w14:textId="488774CC" w:rsidR="00633C06" w:rsidRDefault="00633C06" w:rsidP="00633C06">
            <w:pPr>
              <w:keepNext/>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10CA37AD" w14:textId="6DEDAB62" w:rsidR="00633C06" w:rsidRDefault="00633C06" w:rsidP="00633C06">
            <w:pPr>
              <w:keepNext/>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c>
          <w:tcPr>
            <w:tcW w:w="864" w:type="dxa"/>
          </w:tcPr>
          <w:p w14:paraId="38C691EC" w14:textId="68E10B1B" w:rsidR="00633C06" w:rsidRDefault="00633C06" w:rsidP="00633C06">
            <w:pPr>
              <w:keepNext/>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34D8D10E" w14:textId="27538C3E" w:rsidR="00633C06" w:rsidRDefault="00633C06" w:rsidP="00633C06">
            <w:pPr>
              <w:keepNext/>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c>
          <w:tcPr>
            <w:tcW w:w="864" w:type="dxa"/>
          </w:tcPr>
          <w:p w14:paraId="7CD8DECC" w14:textId="3C36BB32" w:rsidR="00633C06" w:rsidRDefault="00633C06" w:rsidP="00633C06">
            <w:pPr>
              <w:keepNext/>
            </w:pPr>
            <w:r w:rsidRPr="00633C06">
              <w:rPr>
                <w:iCs/>
              </w:rPr>
              <w:fldChar w:fldCharType="begin"/>
            </w:r>
            <w:r w:rsidRPr="00633C06">
              <w:rPr>
                <w:bCs w:val="0"/>
                <w:iCs/>
              </w:rPr>
              <w:instrText>DOCPROPERTY  YearCurrent \* MERGEFORMAT</w:instrText>
            </w:r>
            <w:r w:rsidRPr="00633C06">
              <w:rPr>
                <w:iCs/>
              </w:rPr>
              <w:fldChar w:fldCharType="separate"/>
            </w:r>
            <w:r w:rsidRPr="00633C06">
              <w:rPr>
                <w:bCs w:val="0"/>
                <w:iCs/>
              </w:rPr>
              <w:t>20X2</w:t>
            </w:r>
            <w:r w:rsidRPr="00633C06">
              <w:rPr>
                <w:iCs/>
              </w:rPr>
              <w:fldChar w:fldCharType="end"/>
            </w:r>
          </w:p>
        </w:tc>
        <w:tc>
          <w:tcPr>
            <w:tcW w:w="864" w:type="dxa"/>
          </w:tcPr>
          <w:p w14:paraId="26E83AB6" w14:textId="26E28D11" w:rsidR="00633C06" w:rsidRDefault="00633C06" w:rsidP="00633C06">
            <w:pPr>
              <w:keepNext/>
            </w:pPr>
            <w:r w:rsidRPr="00633C06">
              <w:rPr>
                <w:iCs/>
              </w:rPr>
              <w:fldChar w:fldCharType="begin"/>
            </w:r>
            <w:r w:rsidRPr="00633C06">
              <w:rPr>
                <w:bCs w:val="0"/>
                <w:iCs/>
              </w:rPr>
              <w:instrText>DOCPROPERTY  YearPrevious  \* MERGEFORMAT</w:instrText>
            </w:r>
            <w:r w:rsidRPr="00633C06">
              <w:rPr>
                <w:iCs/>
              </w:rPr>
              <w:fldChar w:fldCharType="separate"/>
            </w:r>
            <w:r w:rsidRPr="00633C06">
              <w:rPr>
                <w:bCs w:val="0"/>
                <w:iCs/>
              </w:rPr>
              <w:t>20X1</w:t>
            </w:r>
            <w:r w:rsidRPr="00633C06">
              <w:rPr>
                <w:iCs/>
              </w:rPr>
              <w:fldChar w:fldCharType="end"/>
            </w:r>
          </w:p>
        </w:tc>
      </w:tr>
      <w:tr w:rsidR="00182709" w14:paraId="691D4065" w14:textId="77777777" w:rsidTr="00633C06">
        <w:tc>
          <w:tcPr>
            <w:tcW w:w="1344" w:type="dxa"/>
            <w:tcBorders>
              <w:bottom w:val="nil"/>
            </w:tcBorders>
          </w:tcPr>
          <w:p w14:paraId="303BF00F" w14:textId="77777777" w:rsidR="00182709" w:rsidRDefault="0044097C">
            <w:pPr>
              <w:jc w:val="left"/>
            </w:pPr>
            <w:r>
              <w:rPr>
                <w:color w:val="4472C4"/>
                <w:sz w:val="13"/>
              </w:rPr>
              <w:t>AASB 116.73 (d)</w:t>
            </w:r>
          </w:p>
        </w:tc>
        <w:tc>
          <w:tcPr>
            <w:tcW w:w="3111" w:type="dxa"/>
            <w:tcBorders>
              <w:bottom w:val="single" w:sz="12" w:space="0" w:color="auto"/>
            </w:tcBorders>
          </w:tcPr>
          <w:p w14:paraId="0675458C" w14:textId="77777777" w:rsidR="00182709" w:rsidRDefault="0044097C">
            <w:pPr>
              <w:jc w:val="left"/>
            </w:pPr>
            <w:r>
              <w:t>Buildings at fair value</w:t>
            </w:r>
          </w:p>
        </w:tc>
        <w:tc>
          <w:tcPr>
            <w:tcW w:w="864" w:type="dxa"/>
            <w:tcBorders>
              <w:bottom w:val="single" w:sz="12" w:space="0" w:color="auto"/>
            </w:tcBorders>
          </w:tcPr>
          <w:p w14:paraId="5BF9B405" w14:textId="77777777" w:rsidR="00182709" w:rsidRDefault="0044097C">
            <w:r>
              <w:t>58 800</w:t>
            </w:r>
          </w:p>
        </w:tc>
        <w:tc>
          <w:tcPr>
            <w:tcW w:w="864" w:type="dxa"/>
            <w:tcBorders>
              <w:bottom w:val="single" w:sz="12" w:space="0" w:color="auto"/>
            </w:tcBorders>
          </w:tcPr>
          <w:p w14:paraId="157C0B72" w14:textId="77777777" w:rsidR="00182709" w:rsidRDefault="0044097C">
            <w:r>
              <w:t>60 000</w:t>
            </w:r>
          </w:p>
        </w:tc>
        <w:tc>
          <w:tcPr>
            <w:tcW w:w="864" w:type="dxa"/>
            <w:tcBorders>
              <w:bottom w:val="single" w:sz="12" w:space="0" w:color="auto"/>
            </w:tcBorders>
          </w:tcPr>
          <w:p w14:paraId="52CFCFE8" w14:textId="77777777" w:rsidR="00182709" w:rsidRDefault="0044097C">
            <w:r>
              <w:t>2 400</w:t>
            </w:r>
          </w:p>
        </w:tc>
        <w:tc>
          <w:tcPr>
            <w:tcW w:w="864" w:type="dxa"/>
            <w:tcBorders>
              <w:bottom w:val="single" w:sz="12" w:space="0" w:color="auto"/>
            </w:tcBorders>
          </w:tcPr>
          <w:p w14:paraId="0967D9AA" w14:textId="77777777" w:rsidR="00182709" w:rsidRDefault="0044097C">
            <w:r>
              <w:t>1 200</w:t>
            </w:r>
          </w:p>
        </w:tc>
        <w:tc>
          <w:tcPr>
            <w:tcW w:w="864" w:type="dxa"/>
            <w:tcBorders>
              <w:bottom w:val="single" w:sz="12" w:space="0" w:color="auto"/>
            </w:tcBorders>
          </w:tcPr>
          <w:p w14:paraId="70161530" w14:textId="77777777" w:rsidR="00182709" w:rsidRDefault="0044097C">
            <w:r>
              <w:t>56 400</w:t>
            </w:r>
          </w:p>
        </w:tc>
        <w:tc>
          <w:tcPr>
            <w:tcW w:w="864" w:type="dxa"/>
            <w:tcBorders>
              <w:bottom w:val="single" w:sz="12" w:space="0" w:color="auto"/>
            </w:tcBorders>
          </w:tcPr>
          <w:p w14:paraId="1A37C8C0" w14:textId="77777777" w:rsidR="00182709" w:rsidRDefault="0044097C">
            <w:r>
              <w:t>58 800</w:t>
            </w:r>
          </w:p>
        </w:tc>
      </w:tr>
    </w:tbl>
    <w:p w14:paraId="147F1A24" w14:textId="77777777" w:rsidR="003719CD" w:rsidRDefault="003719CD" w:rsidP="00DC39DE"/>
    <w:p w14:paraId="6B1A8E26" w14:textId="26564385" w:rsidR="003719CD" w:rsidRDefault="003719CD" w:rsidP="00DC39DE">
      <w:r w:rsidRPr="00467442">
        <w:rPr>
          <w:b/>
          <w:bCs/>
        </w:rPr>
        <w:t>Initial recognition</w:t>
      </w:r>
      <w:r>
        <w:t xml:space="preserve">: Items of property, plant and equipment, are measured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 </w:t>
      </w:r>
      <w:r w:rsidRPr="00467442">
        <w:rPr>
          <w:rStyle w:val="Reference"/>
        </w:rPr>
        <w:t>[AASB 116.73(a); FRD 103</w:t>
      </w:r>
      <w:r w:rsidR="008C5A66">
        <w:rPr>
          <w:rStyle w:val="Reference"/>
        </w:rPr>
        <w:t xml:space="preserve"> Revised</w:t>
      </w:r>
      <w:r w:rsidRPr="00467442">
        <w:rPr>
          <w:rStyle w:val="Reference"/>
        </w:rPr>
        <w:t>]</w:t>
      </w:r>
    </w:p>
    <w:p w14:paraId="74CC350C" w14:textId="77777777" w:rsidR="003719CD" w:rsidRDefault="003719CD" w:rsidP="00DC39DE">
      <w:r>
        <w:t xml:space="preserve">The cost of constructed non-financial physical assets includes the cost of all materials used in construction, direct labour on the project and an appropriate proportion of variable and fixed overheads. </w:t>
      </w:r>
    </w:p>
    <w:p w14:paraId="591C0744" w14:textId="077E88EA" w:rsidR="003719CD" w:rsidRDefault="003719CD" w:rsidP="00DC39DE">
      <w:r>
        <w:t>The cost of a leasehold improvement is capitalised and depreciated over the shorter of the remaining term of the lease or their estimated useful lives.</w:t>
      </w:r>
    </w:p>
    <w:p w14:paraId="1C5724D8" w14:textId="2DCFFD13" w:rsidR="007D1DD6" w:rsidRDefault="007D1DD6" w:rsidP="00DC39DE"/>
    <w:p w14:paraId="0FE4EB7B" w14:textId="3F85AE40" w:rsidR="007D1DD6" w:rsidRDefault="007D1DD6" w:rsidP="00DC39DE"/>
    <w:p w14:paraId="5629AF9D" w14:textId="60E93AC1" w:rsidR="001F2260" w:rsidRDefault="001F2260">
      <w:pPr>
        <w:keepLines w:val="0"/>
        <w:rPr>
          <w:rFonts w:asciiTheme="majorHAnsi" w:eastAsiaTheme="majorEastAsia" w:hAnsiTheme="majorHAnsi" w:cstheme="majorBidi"/>
          <w:b/>
          <w:iCs/>
          <w:szCs w:val="24"/>
        </w:rPr>
      </w:pPr>
      <w:r>
        <w:br w:type="page"/>
      </w:r>
    </w:p>
    <w:p w14:paraId="234FA9ED" w14:textId="01F2AED4" w:rsidR="003719CD" w:rsidRDefault="003719CD" w:rsidP="007D536F">
      <w:pPr>
        <w:pStyle w:val="Heading4"/>
      </w:pPr>
      <w:r>
        <w:lastRenderedPageBreak/>
        <w:t>Right-of-use asset acquired by lessees – Initial measurement</w:t>
      </w:r>
    </w:p>
    <w:p w14:paraId="10E9925B" w14:textId="1344D284" w:rsidR="008D3C5D" w:rsidRPr="00467442" w:rsidRDefault="003719CD" w:rsidP="007D3F1A">
      <w:pPr>
        <w:rPr>
          <w:rStyle w:val="Reference"/>
        </w:rPr>
      </w:pPr>
      <w:r>
        <w:t>The Department recognises a right-of-use asset and a lease liability at the lease commencement date</w:t>
      </w:r>
      <w:r w:rsidR="007D3F1A">
        <w:t xml:space="preserve"> </w:t>
      </w:r>
      <w:r w:rsidR="007D3F1A" w:rsidRPr="00467442">
        <w:rPr>
          <w:rStyle w:val="Reference"/>
        </w:rPr>
        <w:t>[AASB 16.2</w:t>
      </w:r>
      <w:r w:rsidR="007D3F1A">
        <w:rPr>
          <w:rStyle w:val="Reference"/>
        </w:rPr>
        <w:t>3</w:t>
      </w:r>
      <w:r w:rsidR="007D3F1A" w:rsidRPr="00467442">
        <w:rPr>
          <w:rStyle w:val="Reference"/>
        </w:rPr>
        <w:t>]</w:t>
      </w:r>
    </w:p>
    <w:p w14:paraId="4236A3FE" w14:textId="524CD2FD" w:rsidR="003719CD" w:rsidRDefault="003719CD" w:rsidP="00DC39DE">
      <w:r>
        <w:t>The right-of-use asset is initially measured at cost which comprises the initial amount of the lease liability adjusted for:</w:t>
      </w:r>
    </w:p>
    <w:p w14:paraId="021673C6" w14:textId="4B2A0EB8" w:rsidR="007D3F1A" w:rsidRDefault="003719CD" w:rsidP="00432865">
      <w:pPr>
        <w:pStyle w:val="ListBullet"/>
      </w:pPr>
      <w:r>
        <w:t xml:space="preserve">any lease payments made at or before the commencement date less any lease incentive received </w:t>
      </w:r>
      <w:r w:rsidR="007D3F1A" w:rsidRPr="00467442">
        <w:rPr>
          <w:rStyle w:val="Reference"/>
        </w:rPr>
        <w:t>[AASB 16.2</w:t>
      </w:r>
      <w:r w:rsidR="007D3F1A">
        <w:rPr>
          <w:rStyle w:val="Reference"/>
        </w:rPr>
        <w:t>4(b)</w:t>
      </w:r>
      <w:r w:rsidR="007D3F1A" w:rsidRPr="00467442">
        <w:rPr>
          <w:rStyle w:val="Reference"/>
        </w:rPr>
        <w:t>]</w:t>
      </w:r>
    </w:p>
    <w:p w14:paraId="707A8107" w14:textId="491A86F5" w:rsidR="007D3F1A" w:rsidRDefault="003719CD" w:rsidP="2856114A">
      <w:pPr>
        <w:pStyle w:val="ListBullet"/>
      </w:pPr>
      <w:r>
        <w:t xml:space="preserve">any initial direct costs incurred </w:t>
      </w:r>
      <w:r w:rsidR="007D3F1A" w:rsidRPr="00467442">
        <w:rPr>
          <w:rStyle w:val="Reference"/>
        </w:rPr>
        <w:t>[AASB 16.2</w:t>
      </w:r>
      <w:r w:rsidR="007D3F1A">
        <w:rPr>
          <w:rStyle w:val="Reference"/>
        </w:rPr>
        <w:t>4(c)</w:t>
      </w:r>
      <w:r w:rsidR="007D3F1A" w:rsidRPr="00467442">
        <w:rPr>
          <w:rStyle w:val="Reference"/>
        </w:rPr>
        <w:t>]</w:t>
      </w:r>
    </w:p>
    <w:p w14:paraId="0CA1CC06" w14:textId="68472739" w:rsidR="007D3F1A" w:rsidRDefault="003719CD" w:rsidP="2856114A">
      <w:pPr>
        <w:pStyle w:val="ListBullet"/>
      </w:pPr>
      <w:r>
        <w:t>an estimate of costs to dismantle and remove the underlying asset or to restore the underlying asset or the site on which it is located</w:t>
      </w:r>
      <w:r w:rsidR="00121E21">
        <w:t>.</w:t>
      </w:r>
      <w:r w:rsidR="007D3F1A">
        <w:t xml:space="preserve"> </w:t>
      </w:r>
      <w:r w:rsidR="007D3F1A" w:rsidRPr="00467442">
        <w:rPr>
          <w:rStyle w:val="Reference"/>
        </w:rPr>
        <w:t>[AASB 16.2</w:t>
      </w:r>
      <w:r w:rsidR="007D3F1A">
        <w:rPr>
          <w:rStyle w:val="Reference"/>
        </w:rPr>
        <w:t>4(d)</w:t>
      </w:r>
      <w:r w:rsidR="007D3F1A" w:rsidRPr="00467442">
        <w:rPr>
          <w:rStyle w:val="Reference"/>
        </w:rPr>
        <w:t>]</w:t>
      </w:r>
    </w:p>
    <w:p w14:paraId="035F9CB6" w14:textId="2BFB71C6" w:rsidR="003719CD" w:rsidRDefault="003719CD" w:rsidP="007D536F">
      <w:pPr>
        <w:pStyle w:val="Heading4"/>
      </w:pPr>
      <w:r>
        <w:t xml:space="preserve">Service concession assets (Under AASB 1059 – </w:t>
      </w:r>
      <w:r w:rsidRPr="00467442">
        <w:rPr>
          <w:i/>
          <w:iCs w:val="0"/>
        </w:rPr>
        <w:t>Service Concession A</w:t>
      </w:r>
      <w:r w:rsidR="008804C5">
        <w:rPr>
          <w:i/>
          <w:iCs w:val="0"/>
        </w:rPr>
        <w:t>rrangements</w:t>
      </w:r>
      <w:r w:rsidRPr="00467442">
        <w:rPr>
          <w:i/>
          <w:iCs w:val="0"/>
        </w:rPr>
        <w:t>: Grantors</w:t>
      </w:r>
      <w:r>
        <w:t>) – Initial measurement</w:t>
      </w:r>
    </w:p>
    <w:p w14:paraId="060B92CA" w14:textId="77777777" w:rsidR="003719CD" w:rsidRDefault="003719CD" w:rsidP="00DC39DE">
      <w:r>
        <w:t xml:space="preserve">The Department initially recognises service concession assets at current replacement cost in accordance with the cost approach to fair value in AASB 13 </w:t>
      </w:r>
      <w:r w:rsidRPr="00D74E42">
        <w:rPr>
          <w:i/>
          <w:iCs/>
        </w:rPr>
        <w:t>Fair Value Measurement</w:t>
      </w:r>
      <w:r>
        <w:t xml:space="preserve">. </w:t>
      </w:r>
      <w:r w:rsidRPr="00467442">
        <w:rPr>
          <w:rStyle w:val="Reference"/>
        </w:rPr>
        <w:t>[AASB 1059.7]</w:t>
      </w:r>
    </w:p>
    <w:p w14:paraId="050B0A5B" w14:textId="77777777" w:rsidR="003719CD" w:rsidRDefault="003719CD" w:rsidP="00DC39DE">
      <w:r>
        <w:t xml:space="preserve">Subsequent measurement: Property, plant and equipment (PPE) as well as right-of-use assets under leases and service concession assets are subsequently measured at fair </w:t>
      </w:r>
      <w:r w:rsidRPr="00286628">
        <w:t>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on the following page by asset category.</w:t>
      </w:r>
      <w:r>
        <w:t xml:space="preserve"> </w:t>
      </w:r>
    </w:p>
    <w:p w14:paraId="1398F6AA" w14:textId="4E7A3F37" w:rsidR="003719CD" w:rsidRDefault="003719CD" w:rsidP="007D536F">
      <w:pPr>
        <w:pStyle w:val="Heading4"/>
      </w:pPr>
      <w:r>
        <w:t>Right-of-use asset – Subsequent measurement</w:t>
      </w:r>
    </w:p>
    <w:p w14:paraId="6E3B94AC" w14:textId="77777777" w:rsidR="003719CD" w:rsidRDefault="003719CD" w:rsidP="00DC39DE">
      <w:r>
        <w:t xml:space="preserve">The Department depreciates the right-of-use assets on a straight-line basis from the lease commencement date to the earlier of the end of the useful life of the right-of-use asset or the end of the lease term. The right-of-use assets are also subject to revaluation. </w:t>
      </w:r>
      <w:r w:rsidRPr="00467442">
        <w:rPr>
          <w:rStyle w:val="Reference"/>
        </w:rPr>
        <w:t>[AASB 16.32 and AASB 16.35]</w:t>
      </w:r>
    </w:p>
    <w:p w14:paraId="7EC37E2C" w14:textId="77777777" w:rsidR="003719CD" w:rsidRDefault="003719CD" w:rsidP="00DC39DE">
      <w:r>
        <w:t xml:space="preserve">In addition, the right-of-use asset is periodically reduced by impairment losses, if any and adjusted for certain remeasurements of the lease liability. </w:t>
      </w:r>
      <w:r w:rsidRPr="00467442">
        <w:rPr>
          <w:rStyle w:val="Reference"/>
        </w:rPr>
        <w:t>[AASB 16.33]</w:t>
      </w:r>
    </w:p>
    <w:p w14:paraId="2CCC4935" w14:textId="4AE2AA45" w:rsidR="003719CD" w:rsidRDefault="003719CD" w:rsidP="007D536F">
      <w:pPr>
        <w:pStyle w:val="Heading4"/>
      </w:pPr>
      <w:r>
        <w:t>Service concession assets – Subsequent measurement</w:t>
      </w:r>
    </w:p>
    <w:p w14:paraId="34214D66" w14:textId="2C279EB5" w:rsidR="003719CD" w:rsidRDefault="003719CD" w:rsidP="00DC39DE">
      <w:r>
        <w:t>Service concession assets are subject to revaluation as required by FRD 103</w:t>
      </w:r>
      <w:r w:rsidR="00372B96">
        <w:rPr>
          <w:i/>
          <w:iCs/>
        </w:rPr>
        <w:t xml:space="preserve">, </w:t>
      </w:r>
      <w:r>
        <w:t>however as at 30 Jun</w:t>
      </w:r>
      <w:r w:rsidRPr="00273A40">
        <w:t xml:space="preserve">e </w:t>
      </w:r>
      <w:fldSimple w:instr="DOCPROPERTY  YearPrevious  \* MERGEFORMAT">
        <w:r w:rsidR="00273A40" w:rsidRPr="00273A40">
          <w:t>20X1</w:t>
        </w:r>
      </w:fldSimple>
      <w:r>
        <w:t xml:space="preserve"> no revaluation has occurred. When revalued, the fair value of service concession assets will be determined based on current replacement cost. </w:t>
      </w:r>
      <w:r w:rsidRPr="00467442">
        <w:rPr>
          <w:rStyle w:val="Reference"/>
        </w:rPr>
        <w:t>[AASB 1059.9(b)]</w:t>
      </w:r>
    </w:p>
    <w:p w14:paraId="7CA2FF0B" w14:textId="77777777" w:rsidR="003719CD" w:rsidRDefault="003719CD" w:rsidP="00DC39DE">
      <w:r w:rsidRPr="00D74E42">
        <w:rPr>
          <w:b/>
          <w:bCs/>
        </w:rPr>
        <w:t>Non-specialised land, non-specialised buildings and artworks</w:t>
      </w:r>
      <w:r>
        <w:t xml:space="preserve"> are valued using the market approach, whereby assets are compared to recent comparable sales or sales of comparable assets that are considered to have nominal value. </w:t>
      </w:r>
      <w:r w:rsidRPr="00D74E42">
        <w:rPr>
          <w:rStyle w:val="Reference"/>
        </w:rPr>
        <w:t>[AASB 13.93(d)]</w:t>
      </w:r>
    </w:p>
    <w:p w14:paraId="141F43A8" w14:textId="77777777" w:rsidR="003719CD" w:rsidRDefault="003719CD" w:rsidP="00DC39DE">
      <w:r w:rsidRPr="00D74E42">
        <w:rPr>
          <w:b/>
          <w:bCs/>
        </w:rPr>
        <w:t>Specialised land and specialised buildings</w:t>
      </w:r>
      <w:r>
        <w:t xml:space="preserve">: The market approach is also used for specialised land, although is adjusted for the community service obligation (CSO) to reflect the specialised nature of the land being valued. </w:t>
      </w:r>
    </w:p>
    <w:p w14:paraId="0E7344D9" w14:textId="77777777" w:rsidR="003719CD" w:rsidRDefault="003719CD" w:rsidP="00DC39DE">
      <w:r>
        <w:t xml:space="preserve">The CSO adjustment reflects the valuer’s assessment of the impact of restrictions associated with an asset to the extent that the CSO adjustment is also equally applicable to market participants. </w:t>
      </w:r>
    </w:p>
    <w:p w14:paraId="7724F0E0" w14:textId="77777777" w:rsidR="003719CD" w:rsidRDefault="003719CD" w:rsidP="00DC39DE">
      <w:r>
        <w:t xml:space="preserve">For the majority of the Department’s specialised buildings, the current replacement cost method is used, adjusting for the associated depreciation. </w:t>
      </w:r>
    </w:p>
    <w:p w14:paraId="5F39BC7B" w14:textId="77777777" w:rsidR="003719CD" w:rsidRDefault="003719CD" w:rsidP="00DC39DE">
      <w:r w:rsidRPr="00D74E42">
        <w:rPr>
          <w:b/>
          <w:bCs/>
        </w:rPr>
        <w:t>Heritage assets, infrastructure and road infrastructure and earthworks</w:t>
      </w:r>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4500A54E" w14:textId="77777777" w:rsidR="003719CD" w:rsidRDefault="003719CD" w:rsidP="00DC39DE">
      <w:r w:rsidRPr="00D74E42">
        <w:rPr>
          <w:b/>
          <w:bCs/>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44D28D62" w14:textId="77777777" w:rsidR="003719CD" w:rsidRDefault="003719CD" w:rsidP="00DC39DE">
      <w:r>
        <w:t xml:space="preserve">Fair value for </w:t>
      </w:r>
      <w:r w:rsidRPr="00D74E42">
        <w:rPr>
          <w:b/>
          <w:bCs/>
        </w:rPr>
        <w:t>plant and equipment</w:t>
      </w:r>
      <w:r>
        <w:t xml:space="preserve"> that are specialised in use (such that it is rarely sold other than as part of a going concern) is determined using the current replacement cost method.</w:t>
      </w:r>
    </w:p>
    <w:p w14:paraId="5C86BF98" w14:textId="77777777" w:rsidR="003719CD" w:rsidRDefault="003719CD" w:rsidP="00DC39DE">
      <w:r>
        <w:t xml:space="preserve">Refer to Note 8.3 for additional information on fair value determination of property, plant and equipment. </w:t>
      </w:r>
    </w:p>
    <w:p w14:paraId="3870FFA3" w14:textId="77777777" w:rsidR="003719CD" w:rsidRDefault="003719CD" w:rsidP="007D536F">
      <w:pPr>
        <w:pStyle w:val="Heading4"/>
      </w:pPr>
      <w:r>
        <w:lastRenderedPageBreak/>
        <w:t>Impairment of property, plant and equipment</w:t>
      </w:r>
    </w:p>
    <w:p w14:paraId="620BECC0" w14:textId="77777777" w:rsidR="003719CD" w:rsidRDefault="003719CD" w:rsidP="00DC39DE">
      <w: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D74E42">
        <w:rPr>
          <w:i/>
          <w:iCs/>
        </w:rPr>
        <w:t>Fair Value Measurement</w:t>
      </w:r>
      <w:r>
        <w:t xml:space="preserve">, with the consequence that AASB 136 does not apply to such assets that are regularly revalued. </w:t>
      </w:r>
    </w:p>
    <w:p w14:paraId="7E866819" w14:textId="1432F9BD" w:rsidR="003719CD" w:rsidRDefault="003719CD" w:rsidP="001B5265">
      <w:pPr>
        <w:pStyle w:val="Heading3numbered"/>
      </w:pPr>
      <w:bookmarkStart w:id="57" w:name="INDEX_NonFinAssets"/>
      <w:bookmarkEnd w:id="57"/>
      <w:r>
        <w:t>Depreciation and amortisation</w:t>
      </w:r>
    </w:p>
    <w:p w14:paraId="17890540" w14:textId="1A2FE5F8" w:rsidR="003719CD" w:rsidRDefault="003719CD" w:rsidP="001F2260">
      <w:pPr>
        <w:pStyle w:val="Caption"/>
        <w:rPr>
          <w:rStyle w:val="Guidance"/>
        </w:rPr>
      </w:pPr>
      <w:r>
        <w:t>Charge for the period</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B53D76" w14:paraId="2318BE8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223C49F2" w14:textId="77777777" w:rsidR="00B53D76" w:rsidRDefault="00B53D76" w:rsidP="00B53D76">
            <w:pPr>
              <w:keepNext/>
            </w:pPr>
          </w:p>
        </w:tc>
        <w:tc>
          <w:tcPr>
            <w:tcW w:w="907" w:type="dxa"/>
          </w:tcPr>
          <w:p w14:paraId="7DED87ED" w14:textId="1A3E82AA" w:rsidR="00B53D76" w:rsidRPr="00B53D76" w:rsidRDefault="00B53D76" w:rsidP="00B53D76">
            <w:pPr>
              <w:keepNext/>
              <w:cnfStyle w:val="100000000000" w:firstRow="1" w:lastRow="0" w:firstColumn="0" w:lastColumn="0" w:oddVBand="0" w:evenVBand="0" w:oddHBand="0" w:evenHBand="0" w:firstRowFirstColumn="0" w:firstRowLastColumn="0" w:lastRowFirstColumn="0" w:lastRowLastColumn="0"/>
              <w:rPr>
                <w:iCs/>
              </w:rPr>
            </w:pPr>
            <w:r w:rsidRPr="00B53D76">
              <w:rPr>
                <w:iCs/>
              </w:rPr>
              <w:fldChar w:fldCharType="begin"/>
            </w:r>
            <w:r w:rsidRPr="00B53D76">
              <w:rPr>
                <w:bCs w:val="0"/>
                <w:iCs/>
              </w:rPr>
              <w:instrText>DOCPROPERTY  YearCurrent \* MERGEFORMAT</w:instrText>
            </w:r>
            <w:r w:rsidRPr="00B53D76">
              <w:rPr>
                <w:iCs/>
              </w:rPr>
              <w:fldChar w:fldCharType="separate"/>
            </w:r>
            <w:r w:rsidRPr="00B53D76">
              <w:rPr>
                <w:bCs w:val="0"/>
                <w:iCs/>
              </w:rPr>
              <w:t>20X2</w:t>
            </w:r>
            <w:r w:rsidRPr="00B53D76">
              <w:rPr>
                <w:iCs/>
              </w:rPr>
              <w:fldChar w:fldCharType="end"/>
            </w:r>
          </w:p>
        </w:tc>
        <w:tc>
          <w:tcPr>
            <w:tcW w:w="907" w:type="dxa"/>
          </w:tcPr>
          <w:p w14:paraId="1C848616" w14:textId="6B27826E" w:rsidR="00B53D76" w:rsidRPr="00B53D76" w:rsidRDefault="00B53D76" w:rsidP="00B53D76">
            <w:pPr>
              <w:keepNext/>
              <w:cnfStyle w:val="100000000000" w:firstRow="1" w:lastRow="0" w:firstColumn="0" w:lastColumn="0" w:oddVBand="0" w:evenVBand="0" w:oddHBand="0" w:evenHBand="0" w:firstRowFirstColumn="0" w:firstRowLastColumn="0" w:lastRowFirstColumn="0" w:lastRowLastColumn="0"/>
              <w:rPr>
                <w:iCs/>
              </w:rPr>
            </w:pPr>
            <w:r w:rsidRPr="00B53D76">
              <w:rPr>
                <w:iCs/>
              </w:rPr>
              <w:fldChar w:fldCharType="begin"/>
            </w:r>
            <w:r w:rsidRPr="00B53D76">
              <w:rPr>
                <w:bCs w:val="0"/>
                <w:iCs/>
              </w:rPr>
              <w:instrText>DOCPROPERTY  YearPrevious  \* MERGEFORMAT</w:instrText>
            </w:r>
            <w:r w:rsidRPr="00B53D76">
              <w:rPr>
                <w:iCs/>
              </w:rPr>
              <w:fldChar w:fldCharType="separate"/>
            </w:r>
            <w:r w:rsidRPr="00B53D76">
              <w:rPr>
                <w:bCs w:val="0"/>
                <w:iCs/>
              </w:rPr>
              <w:t>20X1</w:t>
            </w:r>
            <w:r w:rsidRPr="00B53D76">
              <w:rPr>
                <w:iCs/>
              </w:rPr>
              <w:fldChar w:fldCharType="end"/>
            </w:r>
          </w:p>
        </w:tc>
      </w:tr>
      <w:tr w:rsidR="008E5233" w14:paraId="478505CC" w14:textId="77777777">
        <w:tc>
          <w:tcPr>
            <w:cnfStyle w:val="001000000000" w:firstRow="0" w:lastRow="0" w:firstColumn="1" w:lastColumn="0" w:oddVBand="0" w:evenVBand="0" w:oddHBand="0" w:evenHBand="0" w:firstRowFirstColumn="0" w:firstRowLastColumn="0" w:lastRowFirstColumn="0" w:lastRowLastColumn="0"/>
            <w:tcW w:w="7825" w:type="dxa"/>
          </w:tcPr>
          <w:p w14:paraId="075308C8" w14:textId="77777777" w:rsidR="008E5233" w:rsidRDefault="005648A9">
            <w:r>
              <w:t>Buildings</w:t>
            </w:r>
            <w:r>
              <w:rPr>
                <w:vertAlign w:val="superscript"/>
              </w:rPr>
              <w:t xml:space="preserve"> (a)</w:t>
            </w:r>
          </w:p>
        </w:tc>
        <w:tc>
          <w:tcPr>
            <w:tcW w:w="907" w:type="dxa"/>
          </w:tcPr>
          <w:p w14:paraId="1784A72B" w14:textId="77777777" w:rsidR="008E5233" w:rsidRDefault="005648A9">
            <w:pPr>
              <w:cnfStyle w:val="000000000000" w:firstRow="0" w:lastRow="0" w:firstColumn="0" w:lastColumn="0" w:oddVBand="0" w:evenVBand="0" w:oddHBand="0" w:evenHBand="0" w:firstRowFirstColumn="0" w:firstRowLastColumn="0" w:lastRowFirstColumn="0" w:lastRowLastColumn="0"/>
            </w:pPr>
            <w:r>
              <w:t>3 280</w:t>
            </w:r>
          </w:p>
        </w:tc>
        <w:tc>
          <w:tcPr>
            <w:tcW w:w="907" w:type="dxa"/>
          </w:tcPr>
          <w:p w14:paraId="570DCD2C" w14:textId="77777777" w:rsidR="008E5233" w:rsidRDefault="005648A9">
            <w:pPr>
              <w:cnfStyle w:val="000000000000" w:firstRow="0" w:lastRow="0" w:firstColumn="0" w:lastColumn="0" w:oddVBand="0" w:evenVBand="0" w:oddHBand="0" w:evenHBand="0" w:firstRowFirstColumn="0" w:firstRowLastColumn="0" w:lastRowFirstColumn="0" w:lastRowLastColumn="0"/>
            </w:pPr>
            <w:r>
              <w:t>1 807</w:t>
            </w:r>
          </w:p>
        </w:tc>
      </w:tr>
      <w:tr w:rsidR="008E5233" w14:paraId="5C61C6CC" w14:textId="77777777">
        <w:tc>
          <w:tcPr>
            <w:cnfStyle w:val="001000000000" w:firstRow="0" w:lastRow="0" w:firstColumn="1" w:lastColumn="0" w:oddVBand="0" w:evenVBand="0" w:oddHBand="0" w:evenHBand="0" w:firstRowFirstColumn="0" w:firstRowLastColumn="0" w:lastRowFirstColumn="0" w:lastRowLastColumn="0"/>
            <w:tcW w:w="7825" w:type="dxa"/>
          </w:tcPr>
          <w:p w14:paraId="553C43C4" w14:textId="77777777" w:rsidR="008E5233" w:rsidRDefault="005648A9">
            <w:r>
              <w:t>Plant, equipment and vehicles</w:t>
            </w:r>
          </w:p>
        </w:tc>
        <w:tc>
          <w:tcPr>
            <w:tcW w:w="907" w:type="dxa"/>
          </w:tcPr>
          <w:p w14:paraId="04009C2F" w14:textId="77777777" w:rsidR="008E5233" w:rsidRDefault="005648A9">
            <w:pPr>
              <w:cnfStyle w:val="000000000000" w:firstRow="0" w:lastRow="0" w:firstColumn="0" w:lastColumn="0" w:oddVBand="0" w:evenVBand="0" w:oddHBand="0" w:evenHBand="0" w:firstRowFirstColumn="0" w:firstRowLastColumn="0" w:lastRowFirstColumn="0" w:lastRowLastColumn="0"/>
            </w:pPr>
            <w:r>
              <w:t>13 034</w:t>
            </w:r>
          </w:p>
        </w:tc>
        <w:tc>
          <w:tcPr>
            <w:tcW w:w="907" w:type="dxa"/>
          </w:tcPr>
          <w:p w14:paraId="267472B8" w14:textId="77777777" w:rsidR="008E5233" w:rsidRDefault="005648A9">
            <w:pPr>
              <w:cnfStyle w:val="000000000000" w:firstRow="0" w:lastRow="0" w:firstColumn="0" w:lastColumn="0" w:oddVBand="0" w:evenVBand="0" w:oddHBand="0" w:evenHBand="0" w:firstRowFirstColumn="0" w:firstRowLastColumn="0" w:lastRowFirstColumn="0" w:lastRowLastColumn="0"/>
            </w:pPr>
            <w:r>
              <w:t>9 550</w:t>
            </w:r>
          </w:p>
        </w:tc>
      </w:tr>
      <w:tr w:rsidR="008E5233" w14:paraId="01C2A259" w14:textId="77777777">
        <w:tc>
          <w:tcPr>
            <w:cnfStyle w:val="001000000000" w:firstRow="0" w:lastRow="0" w:firstColumn="1" w:lastColumn="0" w:oddVBand="0" w:evenVBand="0" w:oddHBand="0" w:evenHBand="0" w:firstRowFirstColumn="0" w:firstRowLastColumn="0" w:lastRowFirstColumn="0" w:lastRowLastColumn="0"/>
            <w:tcW w:w="7825" w:type="dxa"/>
          </w:tcPr>
          <w:p w14:paraId="2E1464AA" w14:textId="77777777" w:rsidR="008E5233" w:rsidRDefault="005648A9">
            <w:r>
              <w:t xml:space="preserve">Infrastructure </w:t>
            </w:r>
            <w:r>
              <w:rPr>
                <w:vertAlign w:val="superscript"/>
              </w:rPr>
              <w:t>(a)</w:t>
            </w:r>
          </w:p>
        </w:tc>
        <w:tc>
          <w:tcPr>
            <w:tcW w:w="907" w:type="dxa"/>
          </w:tcPr>
          <w:p w14:paraId="5F669E74" w14:textId="77777777" w:rsidR="008E5233" w:rsidRDefault="005648A9">
            <w:pPr>
              <w:cnfStyle w:val="000000000000" w:firstRow="0" w:lastRow="0" w:firstColumn="0" w:lastColumn="0" w:oddVBand="0" w:evenVBand="0" w:oddHBand="0" w:evenHBand="0" w:firstRowFirstColumn="0" w:firstRowLastColumn="0" w:lastRowFirstColumn="0" w:lastRowLastColumn="0"/>
            </w:pPr>
            <w:r>
              <w:t>419</w:t>
            </w:r>
          </w:p>
        </w:tc>
        <w:tc>
          <w:tcPr>
            <w:tcW w:w="907" w:type="dxa"/>
          </w:tcPr>
          <w:p w14:paraId="7ED9BA07" w14:textId="77777777" w:rsidR="008E5233" w:rsidRDefault="005648A9">
            <w:pPr>
              <w:cnfStyle w:val="000000000000" w:firstRow="0" w:lastRow="0" w:firstColumn="0" w:lastColumn="0" w:oddVBand="0" w:evenVBand="0" w:oddHBand="0" w:evenHBand="0" w:firstRowFirstColumn="0" w:firstRowLastColumn="0" w:lastRowFirstColumn="0" w:lastRowLastColumn="0"/>
            </w:pPr>
            <w:r>
              <w:t>240</w:t>
            </w:r>
          </w:p>
        </w:tc>
      </w:tr>
      <w:tr w:rsidR="008E5233" w14:paraId="425DEBD8" w14:textId="77777777">
        <w:tc>
          <w:tcPr>
            <w:cnfStyle w:val="001000000000" w:firstRow="0" w:lastRow="0" w:firstColumn="1" w:lastColumn="0" w:oddVBand="0" w:evenVBand="0" w:oddHBand="0" w:evenHBand="0" w:firstRowFirstColumn="0" w:firstRowLastColumn="0" w:lastRowFirstColumn="0" w:lastRowLastColumn="0"/>
            <w:tcW w:w="7825" w:type="dxa"/>
          </w:tcPr>
          <w:p w14:paraId="22DAD0EE" w14:textId="77777777" w:rsidR="008E5233" w:rsidRDefault="005648A9">
            <w:r>
              <w:t>Road, infrastructure and earthworks</w:t>
            </w:r>
          </w:p>
        </w:tc>
        <w:tc>
          <w:tcPr>
            <w:tcW w:w="907" w:type="dxa"/>
          </w:tcPr>
          <w:p w14:paraId="3F8DEE77" w14:textId="77777777" w:rsidR="008E5233" w:rsidRDefault="005648A9">
            <w:pPr>
              <w:cnfStyle w:val="000000000000" w:firstRow="0" w:lastRow="0" w:firstColumn="0" w:lastColumn="0" w:oddVBand="0" w:evenVBand="0" w:oddHBand="0" w:evenHBand="0" w:firstRowFirstColumn="0" w:firstRowLastColumn="0" w:lastRowFirstColumn="0" w:lastRowLastColumn="0"/>
            </w:pPr>
            <w:r>
              <w:t>514</w:t>
            </w:r>
          </w:p>
        </w:tc>
        <w:tc>
          <w:tcPr>
            <w:tcW w:w="907" w:type="dxa"/>
          </w:tcPr>
          <w:p w14:paraId="430217F5" w14:textId="77777777" w:rsidR="008E5233" w:rsidRDefault="005648A9">
            <w:pPr>
              <w:cnfStyle w:val="000000000000" w:firstRow="0" w:lastRow="0" w:firstColumn="0" w:lastColumn="0" w:oddVBand="0" w:evenVBand="0" w:oddHBand="0" w:evenHBand="0" w:firstRowFirstColumn="0" w:firstRowLastColumn="0" w:lastRowFirstColumn="0" w:lastRowLastColumn="0"/>
            </w:pPr>
            <w:r>
              <w:t>207</w:t>
            </w:r>
          </w:p>
        </w:tc>
      </w:tr>
      <w:tr w:rsidR="008E5233" w14:paraId="3FE5C20B"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82D8F24" w14:textId="77777777" w:rsidR="008E5233" w:rsidRDefault="005648A9">
            <w:r>
              <w:t>Intangible produced assets (amortisation)</w:t>
            </w:r>
          </w:p>
        </w:tc>
        <w:tc>
          <w:tcPr>
            <w:tcW w:w="907" w:type="dxa"/>
            <w:tcBorders>
              <w:bottom w:val="single" w:sz="12" w:space="0" w:color="auto"/>
            </w:tcBorders>
          </w:tcPr>
          <w:p w14:paraId="76D93177" w14:textId="77777777" w:rsidR="008E5233" w:rsidRDefault="005648A9">
            <w:pPr>
              <w:cnfStyle w:val="000000000000" w:firstRow="0" w:lastRow="0" w:firstColumn="0" w:lastColumn="0" w:oddVBand="0" w:evenVBand="0" w:oddHBand="0" w:evenHBand="0" w:firstRowFirstColumn="0" w:firstRowLastColumn="0" w:lastRowFirstColumn="0" w:lastRowLastColumn="0"/>
            </w:pPr>
            <w:r>
              <w:t>1 471</w:t>
            </w:r>
          </w:p>
        </w:tc>
        <w:tc>
          <w:tcPr>
            <w:tcW w:w="907" w:type="dxa"/>
            <w:tcBorders>
              <w:bottom w:val="single" w:sz="12" w:space="0" w:color="auto"/>
            </w:tcBorders>
          </w:tcPr>
          <w:p w14:paraId="054B96D3" w14:textId="77777777" w:rsidR="008E5233" w:rsidRDefault="005648A9">
            <w:pPr>
              <w:cnfStyle w:val="000000000000" w:firstRow="0" w:lastRow="0" w:firstColumn="0" w:lastColumn="0" w:oddVBand="0" w:evenVBand="0" w:oddHBand="0" w:evenHBand="0" w:firstRowFirstColumn="0" w:firstRowLastColumn="0" w:lastRowFirstColumn="0" w:lastRowLastColumn="0"/>
            </w:pPr>
            <w:r>
              <w:t>1 554</w:t>
            </w:r>
          </w:p>
        </w:tc>
      </w:tr>
      <w:tr w:rsidR="00671D55" w14:paraId="04542D0A"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6C51EBF9" w14:textId="77777777" w:rsidR="008E5233" w:rsidRDefault="005648A9">
            <w:r>
              <w:rPr>
                <w:b/>
              </w:rPr>
              <w:t>Total depreciation and amortisation</w:t>
            </w:r>
          </w:p>
        </w:tc>
        <w:tc>
          <w:tcPr>
            <w:tcW w:w="907" w:type="dxa"/>
          </w:tcPr>
          <w:p w14:paraId="1DD6905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18 718</w:t>
            </w:r>
          </w:p>
        </w:tc>
        <w:tc>
          <w:tcPr>
            <w:tcW w:w="907" w:type="dxa"/>
          </w:tcPr>
          <w:p w14:paraId="4B6C2E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13 358</w:t>
            </w:r>
          </w:p>
        </w:tc>
      </w:tr>
    </w:tbl>
    <w:p w14:paraId="7B16E8A7" w14:textId="024F680B" w:rsidR="003719CD" w:rsidRPr="00D74E42" w:rsidRDefault="003719CD" w:rsidP="007D536F">
      <w:pPr>
        <w:pStyle w:val="Note"/>
        <w:rPr>
          <w:rStyle w:val="Guidance"/>
        </w:rPr>
      </w:pPr>
      <w:r w:rsidRPr="00D74E42">
        <w:rPr>
          <w:rStyle w:val="Guidance"/>
        </w:rPr>
        <w:t>Note:</w:t>
      </w:r>
    </w:p>
    <w:p w14:paraId="38E83ACA" w14:textId="2289BB74" w:rsidR="003719CD" w:rsidRPr="00D74E42" w:rsidRDefault="003719CD" w:rsidP="00666155">
      <w:pPr>
        <w:pStyle w:val="Note"/>
        <w:rPr>
          <w:rStyle w:val="Guidance"/>
        </w:rPr>
      </w:pPr>
      <w:r w:rsidRPr="00D74E42">
        <w:rPr>
          <w:rStyle w:val="Guidance"/>
        </w:rPr>
        <w:t>(</w:t>
      </w:r>
      <w:r>
        <w:rPr>
          <w:rStyle w:val="Guidance"/>
        </w:rPr>
        <w:t>a</w:t>
      </w:r>
      <w:r w:rsidRPr="00D74E42">
        <w:rPr>
          <w:rStyle w:val="Guidance"/>
        </w:rPr>
        <w:t xml:space="preserve">) </w:t>
      </w:r>
      <w:r>
        <w:tab/>
      </w:r>
      <w:r w:rsidRPr="00D74E42">
        <w:rPr>
          <w:rStyle w:val="Guidance"/>
        </w:rPr>
        <w:t xml:space="preserve">Of the amounts included in ‘buildings’, and ‘infrastructure’ categories, $XXX [$XXX in </w:t>
      </w:r>
      <w:r w:rsidR="001F2260" w:rsidRPr="001F2260">
        <w:rPr>
          <w:rStyle w:val="Guidance"/>
        </w:rPr>
        <w:fldChar w:fldCharType="begin"/>
      </w:r>
      <w:r w:rsidR="001F2260" w:rsidRPr="001F2260">
        <w:rPr>
          <w:rStyle w:val="Guidance"/>
        </w:rPr>
        <w:instrText xml:space="preserve"> DOCPROPERTY  YearPrevious  \* MERGEFORMAT </w:instrText>
      </w:r>
      <w:r w:rsidR="001F2260" w:rsidRPr="001F2260">
        <w:rPr>
          <w:rStyle w:val="Guidance"/>
        </w:rPr>
        <w:fldChar w:fldCharType="separate"/>
      </w:r>
      <w:r w:rsidR="00A545BA">
        <w:rPr>
          <w:rStyle w:val="Guidance"/>
        </w:rPr>
        <w:t>20X1</w:t>
      </w:r>
      <w:r w:rsidR="001F2260" w:rsidRPr="001F2260">
        <w:rPr>
          <w:rStyle w:val="Guidance"/>
        </w:rPr>
        <w:fldChar w:fldCharType="end"/>
      </w:r>
      <w:r w:rsidRPr="001F2260">
        <w:rPr>
          <w:rStyle w:val="Guidance"/>
        </w:rPr>
        <w:t xml:space="preserve">] and $XXX [$XXX in </w:t>
      </w:r>
      <w:r w:rsidR="001F2260" w:rsidRPr="001F2260">
        <w:rPr>
          <w:rStyle w:val="Guidance"/>
        </w:rPr>
        <w:fldChar w:fldCharType="begin"/>
      </w:r>
      <w:r w:rsidR="001F2260" w:rsidRPr="001F2260">
        <w:rPr>
          <w:rStyle w:val="Guidance"/>
        </w:rPr>
        <w:instrText xml:space="preserve"> DOCPROPERTY  YearPrevious  \* MERGEFORMAT </w:instrText>
      </w:r>
      <w:r w:rsidR="001F2260" w:rsidRPr="001F2260">
        <w:rPr>
          <w:rStyle w:val="Guidance"/>
        </w:rPr>
        <w:fldChar w:fldCharType="separate"/>
      </w:r>
      <w:r w:rsidR="00A545BA">
        <w:rPr>
          <w:rStyle w:val="Guidance"/>
        </w:rPr>
        <w:t>20X1</w:t>
      </w:r>
      <w:r w:rsidR="001F2260" w:rsidRPr="001F2260">
        <w:rPr>
          <w:rStyle w:val="Guidance"/>
        </w:rPr>
        <w:fldChar w:fldCharType="end"/>
      </w:r>
      <w:r w:rsidRPr="00D74E42">
        <w:rPr>
          <w:rStyle w:val="Guidance"/>
        </w:rPr>
        <w:t xml:space="preserve">] respectively related to assets contracted under  public private partnership (PPP) arrangements. </w:t>
      </w:r>
      <w:r w:rsidRPr="00D74E42">
        <w:rPr>
          <w:rStyle w:val="Reference"/>
          <w:sz w:val="14"/>
          <w:szCs w:val="16"/>
        </w:rPr>
        <w:t xml:space="preserve">[Recommendation 13 PAEC Report </w:t>
      </w:r>
      <w:r w:rsidR="00CF3215">
        <w:rPr>
          <w:rStyle w:val="Reference"/>
          <w:sz w:val="14"/>
          <w:szCs w:val="16"/>
        </w:rPr>
        <w:t>on the 2011-12 Financial and Performance Outcomes</w:t>
      </w:r>
      <w:r w:rsidRPr="00D74E42">
        <w:rPr>
          <w:rStyle w:val="Reference"/>
          <w:sz w:val="14"/>
          <w:szCs w:val="16"/>
        </w:rPr>
        <w:t>]</w:t>
      </w:r>
    </w:p>
    <w:p w14:paraId="4024356B" w14:textId="77777777" w:rsidR="003719CD" w:rsidRDefault="003719CD" w:rsidP="00DC39DE">
      <w:r>
        <w:t>All infrastructure assets, buildings, plant and equipment and other non-financial physical assets that have finite useful lives, are depreciated. The exceptions to this rule include items under assets held for sale, land and investment properties.</w:t>
      </w:r>
    </w:p>
    <w:p w14:paraId="48222223" w14:textId="77777777" w:rsidR="003719CD" w:rsidRDefault="003719CD" w:rsidP="00DC39DE">
      <w:r>
        <w:t xml:space="preserve">Depreciation is generally calculated on a straight-line basis, at rates that allocate the asset’s value, less any estimated residual value, over its estimated useful life. </w:t>
      </w:r>
      <w:r w:rsidRPr="00D74E42">
        <w:rPr>
          <w:rStyle w:val="Reference"/>
        </w:rPr>
        <w:t>[AASB 116.73(b)]</w:t>
      </w:r>
      <w:r>
        <w:t xml:space="preserve"> Typical estimated useful lives for the different asset classes for current and prior years are included in the table below:</w:t>
      </w:r>
    </w:p>
    <w:p w14:paraId="60847181" w14:textId="77777777" w:rsidR="003719CD" w:rsidRDefault="003719CD" w:rsidP="007D536F">
      <w:pPr>
        <w:pStyle w:val="TableUnits"/>
      </w:pPr>
      <w:r>
        <w:t>(years)</w:t>
      </w:r>
    </w:p>
    <w:tbl>
      <w:tblPr>
        <w:tblStyle w:val="DTFTable"/>
        <w:tblW w:w="9639" w:type="dxa"/>
        <w:tblLayout w:type="fixed"/>
        <w:tblLook w:val="06A0" w:firstRow="1" w:lastRow="0" w:firstColumn="1" w:lastColumn="0" w:noHBand="1" w:noVBand="1"/>
      </w:tblPr>
      <w:tblGrid>
        <w:gridCol w:w="8732"/>
        <w:gridCol w:w="907"/>
      </w:tblGrid>
      <w:tr w:rsidR="00182709" w14:paraId="43A248F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732" w:type="dxa"/>
          </w:tcPr>
          <w:p w14:paraId="64912709" w14:textId="77777777" w:rsidR="00182709" w:rsidRDefault="0044097C">
            <w:pPr>
              <w:keepNext/>
            </w:pPr>
            <w:r>
              <w:t>Asset</w:t>
            </w:r>
          </w:p>
        </w:tc>
        <w:tc>
          <w:tcPr>
            <w:tcW w:w="907" w:type="dxa"/>
          </w:tcPr>
          <w:p w14:paraId="2F935EA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Useful life</w:t>
            </w:r>
          </w:p>
        </w:tc>
      </w:tr>
      <w:tr w:rsidR="00182709" w14:paraId="62674B23" w14:textId="77777777">
        <w:tc>
          <w:tcPr>
            <w:cnfStyle w:val="001000000000" w:firstRow="0" w:lastRow="0" w:firstColumn="1" w:lastColumn="0" w:oddVBand="0" w:evenVBand="0" w:oddHBand="0" w:evenHBand="0" w:firstRowFirstColumn="0" w:firstRowLastColumn="0" w:lastRowFirstColumn="0" w:lastRowLastColumn="0"/>
            <w:tcW w:w="8732" w:type="dxa"/>
          </w:tcPr>
          <w:p w14:paraId="43D50218" w14:textId="77777777" w:rsidR="00182709" w:rsidRDefault="0044097C">
            <w:r>
              <w:t>Buildings:</w:t>
            </w:r>
          </w:p>
        </w:tc>
        <w:tc>
          <w:tcPr>
            <w:tcW w:w="907" w:type="dxa"/>
          </w:tcPr>
          <w:p w14:paraId="5DBE2391" w14:textId="77777777" w:rsidR="00182709" w:rsidRDefault="0044097C">
            <w:pPr>
              <w:cnfStyle w:val="000000000000" w:firstRow="0" w:lastRow="0" w:firstColumn="0" w:lastColumn="0" w:oddVBand="0" w:evenVBand="0" w:oddHBand="0" w:evenHBand="0" w:firstRowFirstColumn="0" w:firstRowLastColumn="0" w:lastRowFirstColumn="0" w:lastRowLastColumn="0"/>
            </w:pPr>
            <w:r>
              <w:t>20 to 100</w:t>
            </w:r>
          </w:p>
        </w:tc>
      </w:tr>
      <w:tr w:rsidR="00182709" w14:paraId="527F442A"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bottom w:val="single" w:sz="12" w:space="0" w:color="auto"/>
            </w:tcBorders>
          </w:tcPr>
          <w:p w14:paraId="2FBA7946" w14:textId="77777777" w:rsidR="00182709" w:rsidRDefault="0044097C">
            <w:r>
              <w:t>leasehold buildings</w:t>
            </w:r>
          </w:p>
        </w:tc>
        <w:tc>
          <w:tcPr>
            <w:tcW w:w="907" w:type="dxa"/>
            <w:tcBorders>
              <w:bottom w:val="single" w:sz="12" w:space="0" w:color="auto"/>
            </w:tcBorders>
          </w:tcPr>
          <w:p w14:paraId="1FCB3A10" w14:textId="77777777" w:rsidR="00182709" w:rsidRDefault="0044097C">
            <w:pPr>
              <w:cnfStyle w:val="000000000000" w:firstRow="0" w:lastRow="0" w:firstColumn="0" w:lastColumn="0" w:oddVBand="0" w:evenVBand="0" w:oddHBand="0" w:evenHBand="0" w:firstRowFirstColumn="0" w:firstRowLastColumn="0" w:lastRowFirstColumn="0" w:lastRowLastColumn="0"/>
            </w:pPr>
            <w:r>
              <w:t>2 to 60</w:t>
            </w:r>
          </w:p>
        </w:tc>
      </w:tr>
      <w:tr w:rsidR="00671D55" w14:paraId="27D70E76" w14:textId="77777777" w:rsidTr="00182709">
        <w:tc>
          <w:tcPr>
            <w:cnfStyle w:val="001000000000" w:firstRow="0" w:lastRow="0" w:firstColumn="1" w:lastColumn="0" w:oddVBand="0" w:evenVBand="0" w:oddHBand="0" w:evenHBand="0" w:firstRowFirstColumn="0" w:firstRowLastColumn="0" w:lastRowFirstColumn="0" w:lastRowLastColumn="0"/>
            <w:tcW w:w="8732" w:type="dxa"/>
          </w:tcPr>
          <w:p w14:paraId="7766DC9E" w14:textId="77777777" w:rsidR="00182709" w:rsidRDefault="0044097C">
            <w:r>
              <w:t>Infrastructure systems:</w:t>
            </w:r>
          </w:p>
        </w:tc>
        <w:tc>
          <w:tcPr>
            <w:tcW w:w="907" w:type="dxa"/>
          </w:tcPr>
          <w:p w14:paraId="402A7F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511E5F5" w14:textId="77777777">
        <w:tc>
          <w:tcPr>
            <w:cnfStyle w:val="001000000000" w:firstRow="0" w:lastRow="0" w:firstColumn="1" w:lastColumn="0" w:oddVBand="0" w:evenVBand="0" w:oddHBand="0" w:evenHBand="0" w:firstRowFirstColumn="0" w:firstRowLastColumn="0" w:lastRowFirstColumn="0" w:lastRowLastColumn="0"/>
            <w:tcW w:w="8732" w:type="dxa"/>
          </w:tcPr>
          <w:p w14:paraId="3B6B9A7D" w14:textId="77777777" w:rsidR="00182709" w:rsidRDefault="0044097C">
            <w:r>
              <w:t>water infrastructure – storage facilities</w:t>
            </w:r>
          </w:p>
        </w:tc>
        <w:tc>
          <w:tcPr>
            <w:tcW w:w="907" w:type="dxa"/>
          </w:tcPr>
          <w:p w14:paraId="2A128F58" w14:textId="77777777" w:rsidR="00182709" w:rsidRDefault="0044097C">
            <w:pPr>
              <w:cnfStyle w:val="000000000000" w:firstRow="0" w:lastRow="0" w:firstColumn="0" w:lastColumn="0" w:oddVBand="0" w:evenVBand="0" w:oddHBand="0" w:evenHBand="0" w:firstRowFirstColumn="0" w:firstRowLastColumn="0" w:lastRowFirstColumn="0" w:lastRowLastColumn="0"/>
            </w:pPr>
            <w:r>
              <w:t>25 to 300</w:t>
            </w:r>
          </w:p>
        </w:tc>
      </w:tr>
      <w:tr w:rsidR="00182709" w14:paraId="41BA55CD" w14:textId="77777777">
        <w:tc>
          <w:tcPr>
            <w:cnfStyle w:val="001000000000" w:firstRow="0" w:lastRow="0" w:firstColumn="1" w:lastColumn="0" w:oddVBand="0" w:evenVBand="0" w:oddHBand="0" w:evenHBand="0" w:firstRowFirstColumn="0" w:firstRowLastColumn="0" w:lastRowFirstColumn="0" w:lastRowLastColumn="0"/>
            <w:tcW w:w="8732" w:type="dxa"/>
          </w:tcPr>
          <w:p w14:paraId="3AAFAA51" w14:textId="77777777" w:rsidR="00182709" w:rsidRDefault="0044097C">
            <w:r>
              <w:t>water infrastructure – other</w:t>
            </w:r>
          </w:p>
        </w:tc>
        <w:tc>
          <w:tcPr>
            <w:tcW w:w="907" w:type="dxa"/>
          </w:tcPr>
          <w:p w14:paraId="0025B5C1" w14:textId="77777777" w:rsidR="00182709" w:rsidRDefault="0044097C">
            <w:pPr>
              <w:cnfStyle w:val="000000000000" w:firstRow="0" w:lastRow="0" w:firstColumn="0" w:lastColumn="0" w:oddVBand="0" w:evenVBand="0" w:oddHBand="0" w:evenHBand="0" w:firstRowFirstColumn="0" w:firstRowLastColumn="0" w:lastRowFirstColumn="0" w:lastRowLastColumn="0"/>
            </w:pPr>
            <w:r>
              <w:t>25 to 100</w:t>
            </w:r>
          </w:p>
        </w:tc>
      </w:tr>
      <w:tr w:rsidR="00182709" w14:paraId="11F6E086" w14:textId="77777777">
        <w:tc>
          <w:tcPr>
            <w:cnfStyle w:val="001000000000" w:firstRow="0" w:lastRow="0" w:firstColumn="1" w:lastColumn="0" w:oddVBand="0" w:evenVBand="0" w:oddHBand="0" w:evenHBand="0" w:firstRowFirstColumn="0" w:firstRowLastColumn="0" w:lastRowFirstColumn="0" w:lastRowLastColumn="0"/>
            <w:tcW w:w="8732" w:type="dxa"/>
          </w:tcPr>
          <w:p w14:paraId="247A6527" w14:textId="77777777" w:rsidR="00182709" w:rsidRDefault="0044097C">
            <w:r>
              <w:t>rail infrastructure</w:t>
            </w:r>
          </w:p>
        </w:tc>
        <w:tc>
          <w:tcPr>
            <w:tcW w:w="907" w:type="dxa"/>
          </w:tcPr>
          <w:p w14:paraId="06875C91" w14:textId="77777777" w:rsidR="00182709" w:rsidRDefault="0044097C">
            <w:pPr>
              <w:cnfStyle w:val="000000000000" w:firstRow="0" w:lastRow="0" w:firstColumn="0" w:lastColumn="0" w:oddVBand="0" w:evenVBand="0" w:oddHBand="0" w:evenHBand="0" w:firstRowFirstColumn="0" w:firstRowLastColumn="0" w:lastRowFirstColumn="0" w:lastRowLastColumn="0"/>
            </w:pPr>
            <w:r>
              <w:t>2 to 50</w:t>
            </w:r>
          </w:p>
        </w:tc>
      </w:tr>
      <w:tr w:rsidR="00182709" w14:paraId="44E99799" w14:textId="77777777" w:rsidTr="00182709">
        <w:tc>
          <w:tcPr>
            <w:cnfStyle w:val="001000000000" w:firstRow="0" w:lastRow="0" w:firstColumn="1" w:lastColumn="0" w:oddVBand="0" w:evenVBand="0" w:oddHBand="0" w:evenHBand="0" w:firstRowFirstColumn="0" w:firstRowLastColumn="0" w:lastRowFirstColumn="0" w:lastRowLastColumn="0"/>
            <w:tcW w:w="8732" w:type="dxa"/>
            <w:tcBorders>
              <w:bottom w:val="single" w:sz="12" w:space="0" w:color="auto"/>
            </w:tcBorders>
          </w:tcPr>
          <w:p w14:paraId="471030D9" w14:textId="77777777" w:rsidR="00182709" w:rsidRDefault="0044097C">
            <w:r>
              <w:t>other infrastructure</w:t>
            </w:r>
          </w:p>
        </w:tc>
        <w:tc>
          <w:tcPr>
            <w:tcW w:w="907" w:type="dxa"/>
            <w:tcBorders>
              <w:bottom w:val="single" w:sz="12" w:space="0" w:color="auto"/>
            </w:tcBorders>
          </w:tcPr>
          <w:p w14:paraId="532EC933" w14:textId="77777777" w:rsidR="00182709" w:rsidRDefault="0044097C">
            <w:pPr>
              <w:cnfStyle w:val="000000000000" w:firstRow="0" w:lastRow="0" w:firstColumn="0" w:lastColumn="0" w:oddVBand="0" w:evenVBand="0" w:oddHBand="0" w:evenHBand="0" w:firstRowFirstColumn="0" w:firstRowLastColumn="0" w:lastRowFirstColumn="0" w:lastRowLastColumn="0"/>
            </w:pPr>
            <w:r>
              <w:t>10 to 32</w:t>
            </w:r>
          </w:p>
        </w:tc>
      </w:tr>
      <w:tr w:rsidR="00671D55" w14:paraId="779A713B" w14:textId="77777777" w:rsidTr="00182709">
        <w:tc>
          <w:tcPr>
            <w:cnfStyle w:val="001000000000" w:firstRow="0" w:lastRow="0" w:firstColumn="1" w:lastColumn="0" w:oddVBand="0" w:evenVBand="0" w:oddHBand="0" w:evenHBand="0" w:firstRowFirstColumn="0" w:firstRowLastColumn="0" w:lastRowFirstColumn="0" w:lastRowLastColumn="0"/>
            <w:tcW w:w="8732" w:type="dxa"/>
          </w:tcPr>
          <w:p w14:paraId="50699BE7" w14:textId="77777777" w:rsidR="00182709" w:rsidRDefault="0044097C">
            <w:r>
              <w:t>Plant, equipment and vehicles (including leased assets)</w:t>
            </w:r>
          </w:p>
        </w:tc>
        <w:tc>
          <w:tcPr>
            <w:tcW w:w="907" w:type="dxa"/>
          </w:tcPr>
          <w:p w14:paraId="7E8EC627" w14:textId="77777777" w:rsidR="00182709" w:rsidRDefault="0044097C">
            <w:pPr>
              <w:cnfStyle w:val="000000000000" w:firstRow="0" w:lastRow="0" w:firstColumn="0" w:lastColumn="0" w:oddVBand="0" w:evenVBand="0" w:oddHBand="0" w:evenHBand="0" w:firstRowFirstColumn="0" w:firstRowLastColumn="0" w:lastRowFirstColumn="0" w:lastRowLastColumn="0"/>
            </w:pPr>
            <w:r>
              <w:t>3 to 10</w:t>
            </w:r>
          </w:p>
        </w:tc>
      </w:tr>
      <w:tr w:rsidR="00671D55" w14:paraId="6CB6C0E2" w14:textId="77777777" w:rsidTr="00182709">
        <w:tc>
          <w:tcPr>
            <w:cnfStyle w:val="001000000000" w:firstRow="0" w:lastRow="0" w:firstColumn="1" w:lastColumn="0" w:oddVBand="0" w:evenVBand="0" w:oddHBand="0" w:evenHBand="0" w:firstRowFirstColumn="0" w:firstRowLastColumn="0" w:lastRowFirstColumn="0" w:lastRowLastColumn="0"/>
            <w:tcW w:w="8732" w:type="dxa"/>
          </w:tcPr>
          <w:p w14:paraId="3F368638" w14:textId="77777777" w:rsidR="00182709" w:rsidRDefault="0044097C">
            <w:r>
              <w:t>Road and road networks (including bridges)</w:t>
            </w:r>
          </w:p>
        </w:tc>
        <w:tc>
          <w:tcPr>
            <w:tcW w:w="907" w:type="dxa"/>
          </w:tcPr>
          <w:p w14:paraId="29C7EB83" w14:textId="77777777" w:rsidR="00182709" w:rsidRDefault="0044097C">
            <w:pPr>
              <w:cnfStyle w:val="000000000000" w:firstRow="0" w:lastRow="0" w:firstColumn="0" w:lastColumn="0" w:oddVBand="0" w:evenVBand="0" w:oddHBand="0" w:evenHBand="0" w:firstRowFirstColumn="0" w:firstRowLastColumn="0" w:lastRowFirstColumn="0" w:lastRowLastColumn="0"/>
            </w:pPr>
            <w:r>
              <w:t>60 to 90</w:t>
            </w:r>
          </w:p>
        </w:tc>
      </w:tr>
      <w:tr w:rsidR="00671D55" w14:paraId="74AF4658" w14:textId="77777777" w:rsidTr="00182709">
        <w:tc>
          <w:tcPr>
            <w:cnfStyle w:val="001000000000" w:firstRow="0" w:lastRow="0" w:firstColumn="1" w:lastColumn="0" w:oddVBand="0" w:evenVBand="0" w:oddHBand="0" w:evenHBand="0" w:firstRowFirstColumn="0" w:firstRowLastColumn="0" w:lastRowFirstColumn="0" w:lastRowLastColumn="0"/>
            <w:tcW w:w="8732" w:type="dxa"/>
          </w:tcPr>
          <w:p w14:paraId="7EC2F7C2" w14:textId="77777777" w:rsidR="00182709" w:rsidRDefault="0044097C">
            <w:r>
              <w:t>Cultural assets (with finite useful lives)</w:t>
            </w:r>
          </w:p>
        </w:tc>
        <w:tc>
          <w:tcPr>
            <w:tcW w:w="907" w:type="dxa"/>
          </w:tcPr>
          <w:p w14:paraId="18A7BEB2" w14:textId="77777777" w:rsidR="00182709" w:rsidRDefault="0044097C">
            <w:pPr>
              <w:cnfStyle w:val="000000000000" w:firstRow="0" w:lastRow="0" w:firstColumn="0" w:lastColumn="0" w:oddVBand="0" w:evenVBand="0" w:oddHBand="0" w:evenHBand="0" w:firstRowFirstColumn="0" w:firstRowLastColumn="0" w:lastRowFirstColumn="0" w:lastRowLastColumn="0"/>
            </w:pPr>
            <w:r>
              <w:t>100</w:t>
            </w:r>
          </w:p>
        </w:tc>
      </w:tr>
    </w:tbl>
    <w:p w14:paraId="78B0C6FD" w14:textId="77777777" w:rsidR="003719CD" w:rsidRDefault="003719CD" w:rsidP="00DC39DE">
      <w:r>
        <w:t xml:space="preserve">The estimated useful lives, residual values and depreciation method are reviewed at the end of each annual reporting period, and adjustments made where appropriate. </w:t>
      </w:r>
      <w:r w:rsidRPr="00D74E42">
        <w:rPr>
          <w:rStyle w:val="Guidance"/>
        </w:rPr>
        <w:t>[The useful lives illustrated in the Model are for illustrative purposes only. Departments should determine the useful lives of assets.]</w:t>
      </w:r>
      <w:r>
        <w:t xml:space="preserve"> </w:t>
      </w:r>
    </w:p>
    <w:p w14:paraId="30CEDD0F" w14:textId="77777777" w:rsidR="003719CD" w:rsidRDefault="003719CD" w:rsidP="00DC39DE">
      <w:r>
        <w:t>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0B0359C0" w14:textId="77777777" w:rsidR="003719CD" w:rsidRDefault="003719CD" w:rsidP="00DC39DE">
      <w:r>
        <w:t>Leasehold improvements are depreciated over the shorter of the lease term and their useful lives.</w:t>
      </w:r>
    </w:p>
    <w:p w14:paraId="1A96D14D" w14:textId="77777777" w:rsidR="003719CD" w:rsidRDefault="003719CD" w:rsidP="00DC39DE">
      <w:pPr>
        <w:rPr>
          <w:rStyle w:val="Reference"/>
        </w:rPr>
      </w:pPr>
      <w:r w:rsidRPr="00D74E42">
        <w:rPr>
          <w:b/>
          <w:bCs/>
        </w:rPr>
        <w:t>Indefinite life assets</w:t>
      </w:r>
      <w:r>
        <w:t xml:space="preserve">: 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 </w:t>
      </w:r>
      <w:r w:rsidRPr="00D74E42">
        <w:rPr>
          <w:rStyle w:val="Reference"/>
        </w:rPr>
        <w:t>[AASB 1051.11]</w:t>
      </w:r>
    </w:p>
    <w:p w14:paraId="1AC62E45" w14:textId="77777777" w:rsidR="009E2EC1" w:rsidRDefault="009E2EC1" w:rsidP="00DC39DE"/>
    <w:p w14:paraId="52C4420E" w14:textId="0AEBFFEF" w:rsidR="009E2EC1" w:rsidRDefault="009E2EC1" w:rsidP="00DC39DE">
      <w:pPr>
        <w:sectPr w:rsidR="009E2EC1" w:rsidSect="006E0E99">
          <w:headerReference w:type="default" r:id="rId84"/>
          <w:footerReference w:type="default" r:id="rId85"/>
          <w:type w:val="continuous"/>
          <w:pgSz w:w="11906" w:h="16838" w:code="9"/>
          <w:pgMar w:top="1134" w:right="1134" w:bottom="1134" w:left="1134" w:header="624" w:footer="567" w:gutter="0"/>
          <w:cols w:space="708"/>
          <w:docGrid w:linePitch="360"/>
        </w:sectPr>
      </w:pPr>
    </w:p>
    <w:p w14:paraId="4F99A969" w14:textId="30ECE285" w:rsidR="003719CD" w:rsidRDefault="003719CD" w:rsidP="00A80494">
      <w:pPr>
        <w:pStyle w:val="Heading3numbered"/>
        <w:tabs>
          <w:tab w:val="right" w:pos="14742"/>
        </w:tabs>
      </w:pPr>
      <w:r>
        <w:lastRenderedPageBreak/>
        <w:t xml:space="preserve">Reconciliation of movements in carrying amount of property, plant and equipment </w:t>
      </w:r>
      <w:r w:rsidRPr="00D74E42">
        <w:rPr>
          <w:vertAlign w:val="superscript"/>
        </w:rPr>
        <w:t>(a)</w:t>
      </w:r>
      <w:r>
        <w:tab/>
        <w:t>($ thousand)</w:t>
      </w:r>
    </w:p>
    <w:tbl>
      <w:tblPr>
        <w:tblStyle w:val="DTFTable"/>
        <w:tblW w:w="14629" w:type="dxa"/>
        <w:tblLayout w:type="fixed"/>
        <w:tblLook w:val="0620" w:firstRow="1" w:lastRow="0" w:firstColumn="0" w:lastColumn="0" w:noHBand="1" w:noVBand="1"/>
      </w:tblPr>
      <w:tblGrid>
        <w:gridCol w:w="1281"/>
        <w:gridCol w:w="1554"/>
        <w:gridCol w:w="638"/>
        <w:gridCol w:w="638"/>
        <w:gridCol w:w="709"/>
        <w:gridCol w:w="709"/>
        <w:gridCol w:w="992"/>
        <w:gridCol w:w="992"/>
        <w:gridCol w:w="850"/>
        <w:gridCol w:w="851"/>
        <w:gridCol w:w="709"/>
        <w:gridCol w:w="709"/>
        <w:gridCol w:w="779"/>
        <w:gridCol w:w="780"/>
        <w:gridCol w:w="616"/>
        <w:gridCol w:w="617"/>
        <w:gridCol w:w="610"/>
        <w:gridCol w:w="595"/>
      </w:tblGrid>
      <w:tr w:rsidR="00182709" w14:paraId="4CC8AC88"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281" w:type="dxa"/>
            <w:tcBorders>
              <w:top w:val="nil"/>
              <w:bottom w:val="nil"/>
            </w:tcBorders>
            <w:shd w:val="clear" w:color="auto" w:fill="FFFFFF" w:themeFill="background1"/>
          </w:tcPr>
          <w:p w14:paraId="4840A63B" w14:textId="77777777" w:rsidR="00182709" w:rsidRDefault="0044097C">
            <w:pPr>
              <w:keepNext/>
              <w:jc w:val="left"/>
            </w:pPr>
            <w:r>
              <w:rPr>
                <w:color w:val="4472C4"/>
                <w:sz w:val="13"/>
              </w:rPr>
              <w:t>Source reference</w:t>
            </w:r>
          </w:p>
        </w:tc>
        <w:tc>
          <w:tcPr>
            <w:tcW w:w="1554" w:type="dxa"/>
          </w:tcPr>
          <w:p w14:paraId="7335F17C" w14:textId="77777777" w:rsidR="00182709" w:rsidRDefault="00182709">
            <w:pPr>
              <w:keepNext/>
              <w:jc w:val="left"/>
            </w:pPr>
          </w:p>
        </w:tc>
        <w:tc>
          <w:tcPr>
            <w:tcW w:w="1276" w:type="dxa"/>
            <w:gridSpan w:val="2"/>
          </w:tcPr>
          <w:p w14:paraId="777E09E5" w14:textId="77777777" w:rsidR="00182709" w:rsidRDefault="0044097C">
            <w:pPr>
              <w:keepNext/>
              <w:jc w:val="center"/>
            </w:pPr>
            <w:r>
              <w:rPr>
                <w:sz w:val="13"/>
              </w:rPr>
              <w:t>Land</w:t>
            </w:r>
            <w:r>
              <w:br/>
            </w:r>
            <w:r>
              <w:rPr>
                <w:sz w:val="13"/>
              </w:rPr>
              <w:t>at fair value</w:t>
            </w:r>
          </w:p>
        </w:tc>
        <w:tc>
          <w:tcPr>
            <w:tcW w:w="1418" w:type="dxa"/>
            <w:gridSpan w:val="2"/>
          </w:tcPr>
          <w:p w14:paraId="394E8D1A" w14:textId="77777777" w:rsidR="00182709" w:rsidRDefault="0044097C">
            <w:pPr>
              <w:keepNext/>
              <w:jc w:val="center"/>
            </w:pPr>
            <w:r>
              <w:rPr>
                <w:sz w:val="13"/>
              </w:rPr>
              <w:t>Buildings</w:t>
            </w:r>
            <w:r>
              <w:br/>
            </w:r>
            <w:r>
              <w:rPr>
                <w:sz w:val="13"/>
              </w:rPr>
              <w:t>at fair value</w:t>
            </w:r>
          </w:p>
        </w:tc>
        <w:tc>
          <w:tcPr>
            <w:tcW w:w="1984" w:type="dxa"/>
            <w:gridSpan w:val="2"/>
          </w:tcPr>
          <w:p w14:paraId="1588027A" w14:textId="77777777" w:rsidR="00182709" w:rsidRDefault="0044097C">
            <w:pPr>
              <w:keepNext/>
              <w:jc w:val="center"/>
            </w:pPr>
            <w:r>
              <w:rPr>
                <w:sz w:val="13"/>
              </w:rPr>
              <w:t>Plant, equipment and vehicles</w:t>
            </w:r>
            <w:r>
              <w:br/>
            </w:r>
            <w:r>
              <w:rPr>
                <w:sz w:val="13"/>
              </w:rPr>
              <w:t>at fair value</w:t>
            </w:r>
          </w:p>
        </w:tc>
        <w:tc>
          <w:tcPr>
            <w:tcW w:w="1701" w:type="dxa"/>
            <w:gridSpan w:val="2"/>
          </w:tcPr>
          <w:p w14:paraId="1DD3C89B" w14:textId="77777777" w:rsidR="00182709" w:rsidRDefault="0044097C">
            <w:pPr>
              <w:keepNext/>
              <w:jc w:val="center"/>
            </w:pPr>
            <w:r>
              <w:rPr>
                <w:sz w:val="13"/>
              </w:rPr>
              <w:t>Assets under construction</w:t>
            </w:r>
            <w:r>
              <w:br/>
            </w:r>
            <w:r>
              <w:rPr>
                <w:sz w:val="13"/>
              </w:rPr>
              <w:t>at cost</w:t>
            </w:r>
          </w:p>
        </w:tc>
        <w:tc>
          <w:tcPr>
            <w:tcW w:w="1418" w:type="dxa"/>
            <w:gridSpan w:val="2"/>
          </w:tcPr>
          <w:p w14:paraId="60C3A452" w14:textId="77777777" w:rsidR="00182709" w:rsidRDefault="0044097C">
            <w:pPr>
              <w:keepNext/>
              <w:jc w:val="center"/>
            </w:pPr>
            <w:r>
              <w:rPr>
                <w:sz w:val="13"/>
              </w:rPr>
              <w:t>Infrastructure</w:t>
            </w:r>
            <w:r>
              <w:br/>
            </w:r>
            <w:r>
              <w:rPr>
                <w:sz w:val="13"/>
              </w:rPr>
              <w:t>at fair value</w:t>
            </w:r>
          </w:p>
        </w:tc>
        <w:tc>
          <w:tcPr>
            <w:tcW w:w="1559" w:type="dxa"/>
            <w:gridSpan w:val="2"/>
          </w:tcPr>
          <w:p w14:paraId="4C83B89A" w14:textId="77777777" w:rsidR="00182709" w:rsidRDefault="0044097C">
            <w:pPr>
              <w:keepNext/>
              <w:jc w:val="center"/>
            </w:pPr>
            <w:r>
              <w:rPr>
                <w:sz w:val="13"/>
              </w:rPr>
              <w:t>Road, infrastructure and earthworks at fair value</w:t>
            </w:r>
          </w:p>
        </w:tc>
        <w:tc>
          <w:tcPr>
            <w:tcW w:w="1233" w:type="dxa"/>
            <w:gridSpan w:val="2"/>
          </w:tcPr>
          <w:p w14:paraId="744DCB7A" w14:textId="77777777" w:rsidR="00182709" w:rsidRDefault="0044097C">
            <w:pPr>
              <w:keepNext/>
              <w:jc w:val="center"/>
            </w:pPr>
            <w:r>
              <w:rPr>
                <w:sz w:val="13"/>
              </w:rPr>
              <w:t>Cultural assets</w:t>
            </w:r>
            <w:r>
              <w:br/>
            </w:r>
            <w:r>
              <w:rPr>
                <w:sz w:val="13"/>
              </w:rPr>
              <w:t>at fair value</w:t>
            </w:r>
          </w:p>
        </w:tc>
        <w:tc>
          <w:tcPr>
            <w:tcW w:w="1205" w:type="dxa"/>
            <w:gridSpan w:val="2"/>
          </w:tcPr>
          <w:p w14:paraId="6783F7DC" w14:textId="77777777" w:rsidR="00182709" w:rsidRDefault="0044097C">
            <w:pPr>
              <w:keepNext/>
              <w:jc w:val="center"/>
            </w:pPr>
            <w:r>
              <w:rPr>
                <w:sz w:val="13"/>
              </w:rPr>
              <w:t>Total</w:t>
            </w:r>
          </w:p>
        </w:tc>
      </w:tr>
      <w:tr w:rsidR="00B53D76" w14:paraId="6FA70FE1"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281" w:type="dxa"/>
            <w:tcBorders>
              <w:top w:val="nil"/>
              <w:bottom w:val="nil"/>
            </w:tcBorders>
            <w:shd w:val="clear" w:color="auto" w:fill="FFFFFF" w:themeFill="background1"/>
          </w:tcPr>
          <w:p w14:paraId="498FAFAD" w14:textId="77777777" w:rsidR="00B53D76" w:rsidRDefault="00B53D76" w:rsidP="00B53D76">
            <w:pPr>
              <w:keepNext/>
              <w:jc w:val="left"/>
            </w:pPr>
          </w:p>
        </w:tc>
        <w:tc>
          <w:tcPr>
            <w:tcW w:w="1554" w:type="dxa"/>
          </w:tcPr>
          <w:p w14:paraId="28536A9F" w14:textId="77777777" w:rsidR="00B53D76" w:rsidRDefault="00B53D76" w:rsidP="00B53D76">
            <w:pPr>
              <w:keepNext/>
              <w:jc w:val="left"/>
            </w:pPr>
          </w:p>
        </w:tc>
        <w:tc>
          <w:tcPr>
            <w:tcW w:w="638" w:type="dxa"/>
          </w:tcPr>
          <w:p w14:paraId="232E2962" w14:textId="2DF5D42B"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638" w:type="dxa"/>
          </w:tcPr>
          <w:p w14:paraId="3CF6635A" w14:textId="0B4090C5"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709" w:type="dxa"/>
          </w:tcPr>
          <w:p w14:paraId="534E49DD" w14:textId="2F632B15"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709" w:type="dxa"/>
          </w:tcPr>
          <w:p w14:paraId="7D7478C6" w14:textId="4CD21C64"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992" w:type="dxa"/>
          </w:tcPr>
          <w:p w14:paraId="784A4DCB" w14:textId="6A727376"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992" w:type="dxa"/>
          </w:tcPr>
          <w:p w14:paraId="55976D57" w14:textId="61EFADD9"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850" w:type="dxa"/>
          </w:tcPr>
          <w:p w14:paraId="2D4A818B" w14:textId="254367B4"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851" w:type="dxa"/>
          </w:tcPr>
          <w:p w14:paraId="1E586A4B" w14:textId="3F3AF617"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709" w:type="dxa"/>
          </w:tcPr>
          <w:p w14:paraId="40F28CF2" w14:textId="10FA9FCE"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709" w:type="dxa"/>
          </w:tcPr>
          <w:p w14:paraId="3416079E" w14:textId="7226C8AD"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779" w:type="dxa"/>
          </w:tcPr>
          <w:p w14:paraId="4C2EFADC" w14:textId="36E10379"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780" w:type="dxa"/>
          </w:tcPr>
          <w:p w14:paraId="415AA82F" w14:textId="021807B5"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616" w:type="dxa"/>
          </w:tcPr>
          <w:p w14:paraId="4DF2D9E2" w14:textId="7C9192FC"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617" w:type="dxa"/>
          </w:tcPr>
          <w:p w14:paraId="789D7F86" w14:textId="398E1CEA"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c>
          <w:tcPr>
            <w:tcW w:w="610" w:type="dxa"/>
          </w:tcPr>
          <w:p w14:paraId="4D32425F" w14:textId="149A76A6"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YearCurrent \* MERGEFORMAT</w:instrText>
            </w:r>
            <w:r w:rsidRPr="00B53D76">
              <w:rPr>
                <w:iCs/>
                <w:sz w:val="13"/>
                <w:szCs w:val="13"/>
              </w:rPr>
              <w:fldChar w:fldCharType="separate"/>
            </w:r>
            <w:r w:rsidRPr="00B53D76">
              <w:rPr>
                <w:bCs w:val="0"/>
                <w:iCs/>
                <w:sz w:val="13"/>
                <w:szCs w:val="13"/>
              </w:rPr>
              <w:t>20X2</w:t>
            </w:r>
            <w:r w:rsidRPr="00B53D76">
              <w:rPr>
                <w:iCs/>
                <w:sz w:val="13"/>
                <w:szCs w:val="13"/>
              </w:rPr>
              <w:fldChar w:fldCharType="end"/>
            </w:r>
          </w:p>
        </w:tc>
        <w:tc>
          <w:tcPr>
            <w:tcW w:w="595" w:type="dxa"/>
          </w:tcPr>
          <w:p w14:paraId="1C2918BF" w14:textId="4E07804F" w:rsidR="00B53D76" w:rsidRPr="00B53D76" w:rsidRDefault="00B53D76" w:rsidP="00B53D76">
            <w:pPr>
              <w:keepNext/>
              <w:rPr>
                <w:iCs/>
                <w:sz w:val="13"/>
                <w:szCs w:val="13"/>
              </w:rPr>
            </w:pPr>
            <w:r w:rsidRPr="00B53D76">
              <w:rPr>
                <w:iCs/>
                <w:sz w:val="13"/>
                <w:szCs w:val="13"/>
              </w:rPr>
              <w:fldChar w:fldCharType="begin"/>
            </w:r>
            <w:r w:rsidRPr="00B53D76">
              <w:rPr>
                <w:bCs w:val="0"/>
                <w:iCs/>
                <w:sz w:val="13"/>
                <w:szCs w:val="13"/>
              </w:rPr>
              <w:instrText>DOCPROPERTY  YearPrevious  \* MERGEFORMAT</w:instrText>
            </w:r>
            <w:r w:rsidRPr="00B53D76">
              <w:rPr>
                <w:iCs/>
                <w:sz w:val="13"/>
                <w:szCs w:val="13"/>
              </w:rPr>
              <w:fldChar w:fldCharType="separate"/>
            </w:r>
            <w:r w:rsidRPr="00B53D76">
              <w:rPr>
                <w:bCs w:val="0"/>
                <w:iCs/>
                <w:sz w:val="13"/>
                <w:szCs w:val="13"/>
              </w:rPr>
              <w:t>20X1</w:t>
            </w:r>
            <w:r w:rsidRPr="00B53D76">
              <w:rPr>
                <w:iCs/>
                <w:sz w:val="13"/>
                <w:szCs w:val="13"/>
              </w:rPr>
              <w:fldChar w:fldCharType="end"/>
            </w:r>
          </w:p>
        </w:tc>
      </w:tr>
      <w:tr w:rsidR="0009452B" w14:paraId="6B67DC31" w14:textId="77777777" w:rsidTr="0009452B">
        <w:tc>
          <w:tcPr>
            <w:tcW w:w="1281" w:type="dxa"/>
          </w:tcPr>
          <w:p w14:paraId="7719294A" w14:textId="77777777" w:rsidR="00182709" w:rsidRDefault="0044097C">
            <w:pPr>
              <w:jc w:val="left"/>
            </w:pPr>
            <w:r>
              <w:rPr>
                <w:color w:val="4472C4"/>
                <w:sz w:val="13"/>
              </w:rPr>
              <w:t>AASB116.73 (d)</w:t>
            </w:r>
          </w:p>
        </w:tc>
        <w:tc>
          <w:tcPr>
            <w:tcW w:w="1554" w:type="dxa"/>
          </w:tcPr>
          <w:p w14:paraId="1B51F425" w14:textId="7B334F5A" w:rsidR="00182709" w:rsidRDefault="0044097C">
            <w:pPr>
              <w:jc w:val="left"/>
            </w:pPr>
            <w:r>
              <w:rPr>
                <w:b/>
                <w:sz w:val="13"/>
              </w:rPr>
              <w:t>Opening balance</w:t>
            </w:r>
            <w:r>
              <w:rPr>
                <w:b/>
                <w:sz w:val="13"/>
                <w:vertAlign w:val="superscript"/>
              </w:rPr>
              <w:t xml:space="preserve"> </w:t>
            </w:r>
          </w:p>
        </w:tc>
        <w:tc>
          <w:tcPr>
            <w:tcW w:w="638" w:type="dxa"/>
          </w:tcPr>
          <w:p w14:paraId="320FF773" w14:textId="77777777" w:rsidR="00182709" w:rsidRDefault="0044097C">
            <w:r>
              <w:rPr>
                <w:b/>
                <w:sz w:val="13"/>
              </w:rPr>
              <w:t>3 521</w:t>
            </w:r>
          </w:p>
        </w:tc>
        <w:tc>
          <w:tcPr>
            <w:tcW w:w="638" w:type="dxa"/>
          </w:tcPr>
          <w:p w14:paraId="2994BF9C" w14:textId="77777777" w:rsidR="00182709" w:rsidRDefault="0044097C">
            <w:r>
              <w:rPr>
                <w:b/>
                <w:sz w:val="13"/>
              </w:rPr>
              <w:t>3 120</w:t>
            </w:r>
          </w:p>
        </w:tc>
        <w:tc>
          <w:tcPr>
            <w:tcW w:w="709" w:type="dxa"/>
          </w:tcPr>
          <w:p w14:paraId="4A878C6D" w14:textId="77777777" w:rsidR="00182709" w:rsidRDefault="0044097C">
            <w:r>
              <w:rPr>
                <w:b/>
                <w:sz w:val="13"/>
              </w:rPr>
              <w:t>78 030</w:t>
            </w:r>
          </w:p>
        </w:tc>
        <w:tc>
          <w:tcPr>
            <w:tcW w:w="709" w:type="dxa"/>
          </w:tcPr>
          <w:p w14:paraId="4D2319BF" w14:textId="77777777" w:rsidR="00182709" w:rsidRDefault="0044097C">
            <w:r>
              <w:rPr>
                <w:b/>
                <w:sz w:val="13"/>
              </w:rPr>
              <w:t>76 583</w:t>
            </w:r>
          </w:p>
        </w:tc>
        <w:tc>
          <w:tcPr>
            <w:tcW w:w="992" w:type="dxa"/>
          </w:tcPr>
          <w:p w14:paraId="569FA0A8" w14:textId="77777777" w:rsidR="00182709" w:rsidRDefault="0044097C">
            <w:r>
              <w:rPr>
                <w:b/>
                <w:sz w:val="13"/>
              </w:rPr>
              <w:t>43 109</w:t>
            </w:r>
          </w:p>
        </w:tc>
        <w:tc>
          <w:tcPr>
            <w:tcW w:w="992" w:type="dxa"/>
          </w:tcPr>
          <w:p w14:paraId="44E338EE" w14:textId="77777777" w:rsidR="00182709" w:rsidRDefault="0044097C">
            <w:r>
              <w:rPr>
                <w:b/>
                <w:sz w:val="13"/>
              </w:rPr>
              <w:t>57 761</w:t>
            </w:r>
          </w:p>
        </w:tc>
        <w:tc>
          <w:tcPr>
            <w:tcW w:w="850" w:type="dxa"/>
          </w:tcPr>
          <w:p w14:paraId="5C0BCB84" w14:textId="77777777" w:rsidR="00182709" w:rsidRDefault="0044097C">
            <w:r>
              <w:rPr>
                <w:b/>
                <w:sz w:val="13"/>
              </w:rPr>
              <w:t>1 023</w:t>
            </w:r>
          </w:p>
        </w:tc>
        <w:tc>
          <w:tcPr>
            <w:tcW w:w="851" w:type="dxa"/>
          </w:tcPr>
          <w:p w14:paraId="4B8B649D" w14:textId="77777777" w:rsidR="00182709" w:rsidRDefault="0044097C">
            <w:r>
              <w:rPr>
                <w:b/>
                <w:sz w:val="13"/>
              </w:rPr>
              <w:t>489</w:t>
            </w:r>
          </w:p>
        </w:tc>
        <w:tc>
          <w:tcPr>
            <w:tcW w:w="709" w:type="dxa"/>
          </w:tcPr>
          <w:p w14:paraId="3D9FB6D3" w14:textId="77777777" w:rsidR="00182709" w:rsidRDefault="0044097C">
            <w:r>
              <w:rPr>
                <w:b/>
                <w:sz w:val="13"/>
              </w:rPr>
              <w:t>4 931</w:t>
            </w:r>
          </w:p>
        </w:tc>
        <w:tc>
          <w:tcPr>
            <w:tcW w:w="709" w:type="dxa"/>
          </w:tcPr>
          <w:p w14:paraId="333583AF" w14:textId="77777777" w:rsidR="00182709" w:rsidRDefault="0044097C">
            <w:r>
              <w:rPr>
                <w:b/>
                <w:sz w:val="13"/>
              </w:rPr>
              <w:t>3 364</w:t>
            </w:r>
          </w:p>
        </w:tc>
        <w:tc>
          <w:tcPr>
            <w:tcW w:w="779" w:type="dxa"/>
          </w:tcPr>
          <w:p w14:paraId="2709B1E8" w14:textId="77777777" w:rsidR="00182709" w:rsidRDefault="0044097C">
            <w:r>
              <w:rPr>
                <w:b/>
                <w:sz w:val="13"/>
              </w:rPr>
              <w:t>4 993</w:t>
            </w:r>
          </w:p>
        </w:tc>
        <w:tc>
          <w:tcPr>
            <w:tcW w:w="780" w:type="dxa"/>
          </w:tcPr>
          <w:p w14:paraId="39FAE93F" w14:textId="77777777" w:rsidR="00182709" w:rsidRDefault="0044097C">
            <w:r>
              <w:rPr>
                <w:b/>
                <w:sz w:val="13"/>
              </w:rPr>
              <w:t>2 499</w:t>
            </w:r>
          </w:p>
        </w:tc>
        <w:tc>
          <w:tcPr>
            <w:tcW w:w="616" w:type="dxa"/>
          </w:tcPr>
          <w:p w14:paraId="69D2F92A" w14:textId="77777777" w:rsidR="00182709" w:rsidRDefault="0044097C">
            <w:r>
              <w:rPr>
                <w:b/>
                <w:sz w:val="13"/>
              </w:rPr>
              <w:t>..</w:t>
            </w:r>
          </w:p>
        </w:tc>
        <w:tc>
          <w:tcPr>
            <w:tcW w:w="617" w:type="dxa"/>
          </w:tcPr>
          <w:p w14:paraId="5DADB3F2" w14:textId="77777777" w:rsidR="00182709" w:rsidRDefault="0044097C">
            <w:r>
              <w:rPr>
                <w:b/>
                <w:sz w:val="13"/>
              </w:rPr>
              <w:t>..</w:t>
            </w:r>
          </w:p>
        </w:tc>
        <w:tc>
          <w:tcPr>
            <w:tcW w:w="610" w:type="dxa"/>
            <w:tcBorders>
              <w:bottom w:val="single" w:sz="6" w:space="0" w:color="auto"/>
            </w:tcBorders>
          </w:tcPr>
          <w:p w14:paraId="6BDD3622" w14:textId="77777777" w:rsidR="00182709" w:rsidRDefault="0044097C">
            <w:r>
              <w:rPr>
                <w:b/>
                <w:sz w:val="13"/>
              </w:rPr>
              <w:t>135 607</w:t>
            </w:r>
          </w:p>
        </w:tc>
        <w:tc>
          <w:tcPr>
            <w:tcW w:w="595" w:type="dxa"/>
          </w:tcPr>
          <w:p w14:paraId="2072B3C9" w14:textId="77777777" w:rsidR="00182709" w:rsidRDefault="0044097C">
            <w:r>
              <w:rPr>
                <w:b/>
                <w:sz w:val="13"/>
              </w:rPr>
              <w:t>143 816</w:t>
            </w:r>
          </w:p>
        </w:tc>
      </w:tr>
      <w:tr w:rsidR="0009452B" w14:paraId="1FAAD41B" w14:textId="77777777" w:rsidTr="0009452B">
        <w:tc>
          <w:tcPr>
            <w:tcW w:w="1281" w:type="dxa"/>
          </w:tcPr>
          <w:p w14:paraId="0A772A28" w14:textId="22DF4DB9" w:rsidR="00182709" w:rsidRDefault="0044097C">
            <w:pPr>
              <w:jc w:val="left"/>
            </w:pPr>
            <w:r>
              <w:rPr>
                <w:color w:val="4472C4"/>
                <w:sz w:val="13"/>
              </w:rPr>
              <w:t xml:space="preserve">AASB116.73 </w:t>
            </w:r>
          </w:p>
        </w:tc>
        <w:tc>
          <w:tcPr>
            <w:tcW w:w="1554" w:type="dxa"/>
          </w:tcPr>
          <w:p w14:paraId="1898F8CE" w14:textId="77777777" w:rsidR="00182709" w:rsidRDefault="0044097C">
            <w:pPr>
              <w:jc w:val="left"/>
            </w:pPr>
            <w:r>
              <w:rPr>
                <w:sz w:val="13"/>
              </w:rPr>
              <w:t>Fair value of assets received free of charge or for nominal considerations</w:t>
            </w:r>
          </w:p>
        </w:tc>
        <w:tc>
          <w:tcPr>
            <w:tcW w:w="638" w:type="dxa"/>
          </w:tcPr>
          <w:p w14:paraId="3F8DBA1F" w14:textId="77777777" w:rsidR="00182709" w:rsidRDefault="0044097C">
            <w:r>
              <w:rPr>
                <w:sz w:val="13"/>
              </w:rPr>
              <w:t>348</w:t>
            </w:r>
          </w:p>
        </w:tc>
        <w:tc>
          <w:tcPr>
            <w:tcW w:w="638" w:type="dxa"/>
          </w:tcPr>
          <w:p w14:paraId="3B2A1572" w14:textId="77777777" w:rsidR="00182709" w:rsidRDefault="0044097C">
            <w:r>
              <w:rPr>
                <w:sz w:val="13"/>
              </w:rPr>
              <w:t>525</w:t>
            </w:r>
          </w:p>
        </w:tc>
        <w:tc>
          <w:tcPr>
            <w:tcW w:w="709" w:type="dxa"/>
          </w:tcPr>
          <w:p w14:paraId="58859C9D" w14:textId="77777777" w:rsidR="00182709" w:rsidRDefault="0044097C">
            <w:r>
              <w:rPr>
                <w:sz w:val="13"/>
              </w:rPr>
              <w:t>..</w:t>
            </w:r>
          </w:p>
        </w:tc>
        <w:tc>
          <w:tcPr>
            <w:tcW w:w="709" w:type="dxa"/>
          </w:tcPr>
          <w:p w14:paraId="18D629F3" w14:textId="77777777" w:rsidR="00182709" w:rsidRDefault="0044097C">
            <w:r>
              <w:rPr>
                <w:sz w:val="13"/>
              </w:rPr>
              <w:t>325</w:t>
            </w:r>
          </w:p>
        </w:tc>
        <w:tc>
          <w:tcPr>
            <w:tcW w:w="992" w:type="dxa"/>
          </w:tcPr>
          <w:p w14:paraId="6B140CDE" w14:textId="77777777" w:rsidR="00182709" w:rsidRDefault="0044097C">
            <w:r>
              <w:rPr>
                <w:sz w:val="13"/>
              </w:rPr>
              <w:t>33</w:t>
            </w:r>
          </w:p>
        </w:tc>
        <w:tc>
          <w:tcPr>
            <w:tcW w:w="992" w:type="dxa"/>
          </w:tcPr>
          <w:p w14:paraId="7B3E8653" w14:textId="77777777" w:rsidR="00182709" w:rsidRDefault="0044097C">
            <w:r>
              <w:rPr>
                <w:sz w:val="13"/>
              </w:rPr>
              <w:t>16</w:t>
            </w:r>
          </w:p>
        </w:tc>
        <w:tc>
          <w:tcPr>
            <w:tcW w:w="850" w:type="dxa"/>
          </w:tcPr>
          <w:p w14:paraId="28B40ABA" w14:textId="77777777" w:rsidR="00182709" w:rsidRDefault="0044097C">
            <w:r>
              <w:rPr>
                <w:sz w:val="13"/>
              </w:rPr>
              <w:t>..</w:t>
            </w:r>
          </w:p>
        </w:tc>
        <w:tc>
          <w:tcPr>
            <w:tcW w:w="851" w:type="dxa"/>
          </w:tcPr>
          <w:p w14:paraId="1E0C3CB1" w14:textId="77777777" w:rsidR="00182709" w:rsidRDefault="0044097C">
            <w:r>
              <w:rPr>
                <w:sz w:val="13"/>
              </w:rPr>
              <w:t>..</w:t>
            </w:r>
          </w:p>
        </w:tc>
        <w:tc>
          <w:tcPr>
            <w:tcW w:w="709" w:type="dxa"/>
          </w:tcPr>
          <w:p w14:paraId="568111D7" w14:textId="77777777" w:rsidR="00182709" w:rsidRDefault="0044097C">
            <w:r>
              <w:rPr>
                <w:sz w:val="13"/>
              </w:rPr>
              <w:t>..</w:t>
            </w:r>
          </w:p>
        </w:tc>
        <w:tc>
          <w:tcPr>
            <w:tcW w:w="709" w:type="dxa"/>
          </w:tcPr>
          <w:p w14:paraId="30964025" w14:textId="77777777" w:rsidR="00182709" w:rsidRDefault="0044097C">
            <w:r>
              <w:rPr>
                <w:sz w:val="13"/>
              </w:rPr>
              <w:t>..</w:t>
            </w:r>
          </w:p>
        </w:tc>
        <w:tc>
          <w:tcPr>
            <w:tcW w:w="779" w:type="dxa"/>
          </w:tcPr>
          <w:p w14:paraId="0F279985" w14:textId="77777777" w:rsidR="00182709" w:rsidRDefault="0044097C">
            <w:r>
              <w:rPr>
                <w:sz w:val="13"/>
              </w:rPr>
              <w:t>109</w:t>
            </w:r>
          </w:p>
        </w:tc>
        <w:tc>
          <w:tcPr>
            <w:tcW w:w="780" w:type="dxa"/>
          </w:tcPr>
          <w:p w14:paraId="7D394121" w14:textId="77777777" w:rsidR="00182709" w:rsidRDefault="0044097C">
            <w:r>
              <w:rPr>
                <w:sz w:val="13"/>
              </w:rPr>
              <w:t>..</w:t>
            </w:r>
          </w:p>
        </w:tc>
        <w:tc>
          <w:tcPr>
            <w:tcW w:w="616" w:type="dxa"/>
          </w:tcPr>
          <w:p w14:paraId="18848993" w14:textId="77777777" w:rsidR="00182709" w:rsidRDefault="0044097C">
            <w:r>
              <w:rPr>
                <w:sz w:val="13"/>
              </w:rPr>
              <w:t>..</w:t>
            </w:r>
          </w:p>
        </w:tc>
        <w:tc>
          <w:tcPr>
            <w:tcW w:w="617" w:type="dxa"/>
          </w:tcPr>
          <w:p w14:paraId="2F9E862C" w14:textId="77777777" w:rsidR="00182709" w:rsidRDefault="0044097C">
            <w:r>
              <w:rPr>
                <w:sz w:val="13"/>
              </w:rPr>
              <w:t>..</w:t>
            </w:r>
          </w:p>
        </w:tc>
        <w:tc>
          <w:tcPr>
            <w:tcW w:w="610" w:type="dxa"/>
            <w:tcBorders>
              <w:top w:val="single" w:sz="6" w:space="0" w:color="auto"/>
            </w:tcBorders>
          </w:tcPr>
          <w:p w14:paraId="6F8E218B" w14:textId="77777777" w:rsidR="00182709" w:rsidRDefault="0044097C">
            <w:r>
              <w:rPr>
                <w:sz w:val="13"/>
              </w:rPr>
              <w:t>490</w:t>
            </w:r>
          </w:p>
        </w:tc>
        <w:tc>
          <w:tcPr>
            <w:tcW w:w="595" w:type="dxa"/>
          </w:tcPr>
          <w:p w14:paraId="3AA9D05A" w14:textId="77777777" w:rsidR="00182709" w:rsidRDefault="0044097C">
            <w:r>
              <w:rPr>
                <w:sz w:val="13"/>
              </w:rPr>
              <w:t>866</w:t>
            </w:r>
          </w:p>
        </w:tc>
      </w:tr>
      <w:tr w:rsidR="0009452B" w14:paraId="1F4D8CE3" w14:textId="77777777" w:rsidTr="0009452B">
        <w:tc>
          <w:tcPr>
            <w:tcW w:w="1281" w:type="dxa"/>
          </w:tcPr>
          <w:p w14:paraId="7797C741" w14:textId="18E9054B" w:rsidR="00182709" w:rsidRDefault="0044097C">
            <w:pPr>
              <w:jc w:val="left"/>
            </w:pPr>
            <w:r>
              <w:rPr>
                <w:color w:val="4472C4"/>
                <w:sz w:val="13"/>
              </w:rPr>
              <w:t xml:space="preserve">AASB116.73 </w:t>
            </w:r>
          </w:p>
        </w:tc>
        <w:tc>
          <w:tcPr>
            <w:tcW w:w="1554" w:type="dxa"/>
          </w:tcPr>
          <w:p w14:paraId="14C3F257" w14:textId="77777777" w:rsidR="00182709" w:rsidRDefault="0044097C">
            <w:pPr>
              <w:jc w:val="left"/>
            </w:pPr>
            <w:r>
              <w:rPr>
                <w:sz w:val="13"/>
              </w:rPr>
              <w:t>Fair value of assets provided free of charge or for nominal considerations</w:t>
            </w:r>
          </w:p>
        </w:tc>
        <w:tc>
          <w:tcPr>
            <w:tcW w:w="638" w:type="dxa"/>
          </w:tcPr>
          <w:p w14:paraId="3C34B279" w14:textId="77777777" w:rsidR="00182709" w:rsidRDefault="0044097C">
            <w:r>
              <w:rPr>
                <w:sz w:val="13"/>
              </w:rPr>
              <w:t>(142)</w:t>
            </w:r>
          </w:p>
        </w:tc>
        <w:tc>
          <w:tcPr>
            <w:tcW w:w="638" w:type="dxa"/>
          </w:tcPr>
          <w:p w14:paraId="4CAF8EA5" w14:textId="77777777" w:rsidR="00182709" w:rsidRDefault="0044097C">
            <w:r>
              <w:rPr>
                <w:sz w:val="13"/>
              </w:rPr>
              <w:t>(123)</w:t>
            </w:r>
          </w:p>
        </w:tc>
        <w:tc>
          <w:tcPr>
            <w:tcW w:w="709" w:type="dxa"/>
          </w:tcPr>
          <w:p w14:paraId="06001CBF" w14:textId="77777777" w:rsidR="00182709" w:rsidRDefault="0044097C">
            <w:r>
              <w:rPr>
                <w:sz w:val="13"/>
              </w:rPr>
              <w:t>..</w:t>
            </w:r>
          </w:p>
        </w:tc>
        <w:tc>
          <w:tcPr>
            <w:tcW w:w="709" w:type="dxa"/>
          </w:tcPr>
          <w:p w14:paraId="4D5B85D5" w14:textId="77777777" w:rsidR="00182709" w:rsidRDefault="0044097C">
            <w:r>
              <w:rPr>
                <w:sz w:val="13"/>
              </w:rPr>
              <w:t>..</w:t>
            </w:r>
          </w:p>
        </w:tc>
        <w:tc>
          <w:tcPr>
            <w:tcW w:w="992" w:type="dxa"/>
          </w:tcPr>
          <w:p w14:paraId="4B2A09EE" w14:textId="77777777" w:rsidR="00182709" w:rsidRDefault="0044097C">
            <w:r>
              <w:rPr>
                <w:sz w:val="13"/>
              </w:rPr>
              <w:t>(110)</w:t>
            </w:r>
          </w:p>
        </w:tc>
        <w:tc>
          <w:tcPr>
            <w:tcW w:w="992" w:type="dxa"/>
          </w:tcPr>
          <w:p w14:paraId="26CBC93A" w14:textId="77777777" w:rsidR="00182709" w:rsidRDefault="0044097C">
            <w:r>
              <w:rPr>
                <w:sz w:val="13"/>
              </w:rPr>
              <w:t>(15)</w:t>
            </w:r>
          </w:p>
        </w:tc>
        <w:tc>
          <w:tcPr>
            <w:tcW w:w="850" w:type="dxa"/>
          </w:tcPr>
          <w:p w14:paraId="72F380C5" w14:textId="77777777" w:rsidR="00182709" w:rsidRDefault="0044097C">
            <w:r>
              <w:rPr>
                <w:sz w:val="13"/>
              </w:rPr>
              <w:t>..</w:t>
            </w:r>
          </w:p>
        </w:tc>
        <w:tc>
          <w:tcPr>
            <w:tcW w:w="851" w:type="dxa"/>
          </w:tcPr>
          <w:p w14:paraId="02A00972" w14:textId="77777777" w:rsidR="00182709" w:rsidRDefault="0044097C">
            <w:r>
              <w:rPr>
                <w:sz w:val="13"/>
              </w:rPr>
              <w:t>..</w:t>
            </w:r>
          </w:p>
        </w:tc>
        <w:tc>
          <w:tcPr>
            <w:tcW w:w="709" w:type="dxa"/>
          </w:tcPr>
          <w:p w14:paraId="509701E7" w14:textId="77777777" w:rsidR="00182709" w:rsidRDefault="0044097C">
            <w:r>
              <w:rPr>
                <w:sz w:val="13"/>
              </w:rPr>
              <w:t>..</w:t>
            </w:r>
          </w:p>
        </w:tc>
        <w:tc>
          <w:tcPr>
            <w:tcW w:w="709" w:type="dxa"/>
          </w:tcPr>
          <w:p w14:paraId="4C30CA32" w14:textId="77777777" w:rsidR="00182709" w:rsidRDefault="0044097C">
            <w:r>
              <w:rPr>
                <w:sz w:val="13"/>
              </w:rPr>
              <w:t>..</w:t>
            </w:r>
          </w:p>
        </w:tc>
        <w:tc>
          <w:tcPr>
            <w:tcW w:w="779" w:type="dxa"/>
          </w:tcPr>
          <w:p w14:paraId="06C9B164" w14:textId="77777777" w:rsidR="00182709" w:rsidRDefault="0044097C">
            <w:r>
              <w:rPr>
                <w:sz w:val="13"/>
              </w:rPr>
              <w:t>..</w:t>
            </w:r>
          </w:p>
        </w:tc>
        <w:tc>
          <w:tcPr>
            <w:tcW w:w="780" w:type="dxa"/>
          </w:tcPr>
          <w:p w14:paraId="02A6F8E9" w14:textId="77777777" w:rsidR="00182709" w:rsidRDefault="0044097C">
            <w:r>
              <w:rPr>
                <w:sz w:val="13"/>
              </w:rPr>
              <w:t>..</w:t>
            </w:r>
          </w:p>
        </w:tc>
        <w:tc>
          <w:tcPr>
            <w:tcW w:w="616" w:type="dxa"/>
          </w:tcPr>
          <w:p w14:paraId="5AA7C33B" w14:textId="77777777" w:rsidR="00182709" w:rsidRDefault="0044097C">
            <w:r>
              <w:rPr>
                <w:sz w:val="13"/>
              </w:rPr>
              <w:t>(154)</w:t>
            </w:r>
          </w:p>
        </w:tc>
        <w:tc>
          <w:tcPr>
            <w:tcW w:w="617" w:type="dxa"/>
          </w:tcPr>
          <w:p w14:paraId="70F99E4D" w14:textId="77777777" w:rsidR="00182709" w:rsidRDefault="0044097C">
            <w:r>
              <w:rPr>
                <w:sz w:val="13"/>
              </w:rPr>
              <w:t>..</w:t>
            </w:r>
          </w:p>
        </w:tc>
        <w:tc>
          <w:tcPr>
            <w:tcW w:w="610" w:type="dxa"/>
          </w:tcPr>
          <w:p w14:paraId="333AE815" w14:textId="77777777" w:rsidR="00182709" w:rsidRDefault="0044097C">
            <w:r>
              <w:rPr>
                <w:sz w:val="13"/>
              </w:rPr>
              <w:t>(406)</w:t>
            </w:r>
          </w:p>
        </w:tc>
        <w:tc>
          <w:tcPr>
            <w:tcW w:w="595" w:type="dxa"/>
          </w:tcPr>
          <w:p w14:paraId="75E64E0F" w14:textId="77777777" w:rsidR="00182709" w:rsidRDefault="0044097C">
            <w:r>
              <w:rPr>
                <w:sz w:val="13"/>
              </w:rPr>
              <w:t>(138)</w:t>
            </w:r>
          </w:p>
        </w:tc>
      </w:tr>
      <w:tr w:rsidR="0009452B" w14:paraId="3FC2AA77" w14:textId="77777777" w:rsidTr="0009452B">
        <w:tc>
          <w:tcPr>
            <w:tcW w:w="1281" w:type="dxa"/>
          </w:tcPr>
          <w:p w14:paraId="7D22A89E" w14:textId="77777777" w:rsidR="00182709" w:rsidRDefault="0044097C">
            <w:pPr>
              <w:jc w:val="left"/>
            </w:pPr>
            <w:r w:rsidRPr="2856114A">
              <w:rPr>
                <w:color w:val="4472C4" w:themeColor="accent1"/>
                <w:sz w:val="13"/>
                <w:szCs w:val="13"/>
              </w:rPr>
              <w:t>AASB116.73 (e)(i)</w:t>
            </w:r>
          </w:p>
        </w:tc>
        <w:tc>
          <w:tcPr>
            <w:tcW w:w="1554" w:type="dxa"/>
          </w:tcPr>
          <w:p w14:paraId="35ABB288" w14:textId="77777777" w:rsidR="00182709" w:rsidRDefault="0044097C">
            <w:pPr>
              <w:jc w:val="left"/>
            </w:pPr>
            <w:r>
              <w:rPr>
                <w:sz w:val="13"/>
              </w:rPr>
              <w:t>Additions</w:t>
            </w:r>
          </w:p>
        </w:tc>
        <w:tc>
          <w:tcPr>
            <w:tcW w:w="638" w:type="dxa"/>
          </w:tcPr>
          <w:p w14:paraId="16ECCC12" w14:textId="77777777" w:rsidR="00182709" w:rsidRDefault="0044097C">
            <w:r>
              <w:rPr>
                <w:sz w:val="13"/>
              </w:rPr>
              <w:t>1 756</w:t>
            </w:r>
          </w:p>
        </w:tc>
        <w:tc>
          <w:tcPr>
            <w:tcW w:w="638" w:type="dxa"/>
          </w:tcPr>
          <w:p w14:paraId="155D9F04" w14:textId="77777777" w:rsidR="00182709" w:rsidRDefault="0044097C">
            <w:r>
              <w:rPr>
                <w:sz w:val="13"/>
              </w:rPr>
              <w:t>767</w:t>
            </w:r>
          </w:p>
        </w:tc>
        <w:tc>
          <w:tcPr>
            <w:tcW w:w="709" w:type="dxa"/>
          </w:tcPr>
          <w:p w14:paraId="43AA1313" w14:textId="77777777" w:rsidR="00182709" w:rsidRDefault="0044097C">
            <w:r>
              <w:rPr>
                <w:sz w:val="13"/>
              </w:rPr>
              <w:t>2 802</w:t>
            </w:r>
          </w:p>
        </w:tc>
        <w:tc>
          <w:tcPr>
            <w:tcW w:w="709" w:type="dxa"/>
          </w:tcPr>
          <w:p w14:paraId="6EAAA9B3" w14:textId="77777777" w:rsidR="00182709" w:rsidRDefault="0044097C">
            <w:r>
              <w:rPr>
                <w:sz w:val="13"/>
              </w:rPr>
              <w:t>1 827</w:t>
            </w:r>
          </w:p>
        </w:tc>
        <w:tc>
          <w:tcPr>
            <w:tcW w:w="992" w:type="dxa"/>
          </w:tcPr>
          <w:p w14:paraId="243D2427" w14:textId="77777777" w:rsidR="00182709" w:rsidRDefault="0044097C">
            <w:r>
              <w:rPr>
                <w:sz w:val="13"/>
              </w:rPr>
              <w:t>6 333</w:t>
            </w:r>
          </w:p>
        </w:tc>
        <w:tc>
          <w:tcPr>
            <w:tcW w:w="992" w:type="dxa"/>
          </w:tcPr>
          <w:p w14:paraId="58A0A3D7" w14:textId="77777777" w:rsidR="00182709" w:rsidRDefault="0044097C">
            <w:r>
              <w:rPr>
                <w:sz w:val="13"/>
              </w:rPr>
              <w:t>1 081</w:t>
            </w:r>
          </w:p>
        </w:tc>
        <w:tc>
          <w:tcPr>
            <w:tcW w:w="850" w:type="dxa"/>
          </w:tcPr>
          <w:p w14:paraId="25BA475F" w14:textId="77777777" w:rsidR="00182709" w:rsidRDefault="0044097C">
            <w:r>
              <w:rPr>
                <w:sz w:val="13"/>
              </w:rPr>
              <w:t>154</w:t>
            </w:r>
          </w:p>
        </w:tc>
        <w:tc>
          <w:tcPr>
            <w:tcW w:w="851" w:type="dxa"/>
          </w:tcPr>
          <w:p w14:paraId="7650E04C" w14:textId="77777777" w:rsidR="00182709" w:rsidRDefault="0044097C">
            <w:r>
              <w:rPr>
                <w:sz w:val="13"/>
              </w:rPr>
              <w:t>1 781</w:t>
            </w:r>
          </w:p>
        </w:tc>
        <w:tc>
          <w:tcPr>
            <w:tcW w:w="709" w:type="dxa"/>
          </w:tcPr>
          <w:p w14:paraId="17B9CD2E" w14:textId="77777777" w:rsidR="00182709" w:rsidRDefault="0044097C">
            <w:r>
              <w:rPr>
                <w:sz w:val="13"/>
              </w:rPr>
              <w:t>1 898</w:t>
            </w:r>
          </w:p>
        </w:tc>
        <w:tc>
          <w:tcPr>
            <w:tcW w:w="709" w:type="dxa"/>
          </w:tcPr>
          <w:p w14:paraId="4E012411" w14:textId="77777777" w:rsidR="00182709" w:rsidRDefault="0044097C">
            <w:r>
              <w:rPr>
                <w:sz w:val="13"/>
              </w:rPr>
              <w:t>1 838</w:t>
            </w:r>
          </w:p>
        </w:tc>
        <w:tc>
          <w:tcPr>
            <w:tcW w:w="779" w:type="dxa"/>
          </w:tcPr>
          <w:p w14:paraId="1CD18F86" w14:textId="77777777" w:rsidR="00182709" w:rsidRDefault="0044097C">
            <w:r>
              <w:rPr>
                <w:sz w:val="13"/>
              </w:rPr>
              <w:t>1 872</w:t>
            </w:r>
          </w:p>
        </w:tc>
        <w:tc>
          <w:tcPr>
            <w:tcW w:w="780" w:type="dxa"/>
          </w:tcPr>
          <w:p w14:paraId="2E7BB803" w14:textId="77777777" w:rsidR="00182709" w:rsidRDefault="0044097C">
            <w:r>
              <w:rPr>
                <w:sz w:val="13"/>
              </w:rPr>
              <w:t>3 164</w:t>
            </w:r>
          </w:p>
        </w:tc>
        <w:tc>
          <w:tcPr>
            <w:tcW w:w="616" w:type="dxa"/>
          </w:tcPr>
          <w:p w14:paraId="5B4F04A2" w14:textId="77777777" w:rsidR="00182709" w:rsidRDefault="0044097C">
            <w:r>
              <w:rPr>
                <w:sz w:val="13"/>
              </w:rPr>
              <w:t>675</w:t>
            </w:r>
          </w:p>
        </w:tc>
        <w:tc>
          <w:tcPr>
            <w:tcW w:w="617" w:type="dxa"/>
          </w:tcPr>
          <w:p w14:paraId="0171A7E0" w14:textId="77777777" w:rsidR="00182709" w:rsidRDefault="0044097C">
            <w:r>
              <w:rPr>
                <w:sz w:val="13"/>
              </w:rPr>
              <w:t>540</w:t>
            </w:r>
          </w:p>
        </w:tc>
        <w:tc>
          <w:tcPr>
            <w:tcW w:w="610" w:type="dxa"/>
          </w:tcPr>
          <w:p w14:paraId="0041FADF" w14:textId="77777777" w:rsidR="00182709" w:rsidRDefault="0044097C">
            <w:r>
              <w:rPr>
                <w:sz w:val="13"/>
              </w:rPr>
              <w:t>15 490</w:t>
            </w:r>
          </w:p>
        </w:tc>
        <w:tc>
          <w:tcPr>
            <w:tcW w:w="595" w:type="dxa"/>
          </w:tcPr>
          <w:p w14:paraId="7E41DCDB" w14:textId="77777777" w:rsidR="00182709" w:rsidRDefault="0044097C">
            <w:r>
              <w:rPr>
                <w:sz w:val="13"/>
              </w:rPr>
              <w:t>10 998</w:t>
            </w:r>
          </w:p>
        </w:tc>
      </w:tr>
      <w:tr w:rsidR="0009452B" w14:paraId="6B473C18" w14:textId="77777777" w:rsidTr="0009452B">
        <w:tc>
          <w:tcPr>
            <w:tcW w:w="1281" w:type="dxa"/>
          </w:tcPr>
          <w:p w14:paraId="2A1270C5" w14:textId="77777777" w:rsidR="00182709" w:rsidRDefault="0044097C">
            <w:pPr>
              <w:jc w:val="left"/>
            </w:pPr>
            <w:r>
              <w:rPr>
                <w:color w:val="4472C4"/>
                <w:sz w:val="13"/>
              </w:rPr>
              <w:t>AASB116.73 (e)(ii)</w:t>
            </w:r>
          </w:p>
        </w:tc>
        <w:tc>
          <w:tcPr>
            <w:tcW w:w="1554" w:type="dxa"/>
          </w:tcPr>
          <w:p w14:paraId="207D11BB" w14:textId="77777777" w:rsidR="00182709" w:rsidRDefault="0044097C">
            <w:pPr>
              <w:jc w:val="left"/>
            </w:pPr>
            <w:r>
              <w:rPr>
                <w:sz w:val="13"/>
              </w:rPr>
              <w:t>Disposals</w:t>
            </w:r>
          </w:p>
        </w:tc>
        <w:tc>
          <w:tcPr>
            <w:tcW w:w="638" w:type="dxa"/>
          </w:tcPr>
          <w:p w14:paraId="791DF671" w14:textId="77777777" w:rsidR="00182709" w:rsidRDefault="0044097C">
            <w:r>
              <w:rPr>
                <w:sz w:val="13"/>
              </w:rPr>
              <w:t>..</w:t>
            </w:r>
          </w:p>
        </w:tc>
        <w:tc>
          <w:tcPr>
            <w:tcW w:w="638" w:type="dxa"/>
          </w:tcPr>
          <w:p w14:paraId="0D844025" w14:textId="77777777" w:rsidR="00182709" w:rsidRDefault="0044097C">
            <w:r>
              <w:rPr>
                <w:sz w:val="13"/>
              </w:rPr>
              <w:t>(863)</w:t>
            </w:r>
          </w:p>
        </w:tc>
        <w:tc>
          <w:tcPr>
            <w:tcW w:w="709" w:type="dxa"/>
          </w:tcPr>
          <w:p w14:paraId="259D7EEB" w14:textId="77777777" w:rsidR="00182709" w:rsidRDefault="0044097C">
            <w:r>
              <w:rPr>
                <w:sz w:val="13"/>
              </w:rPr>
              <w:t>..</w:t>
            </w:r>
          </w:p>
        </w:tc>
        <w:tc>
          <w:tcPr>
            <w:tcW w:w="709" w:type="dxa"/>
          </w:tcPr>
          <w:p w14:paraId="261ACF0B" w14:textId="77777777" w:rsidR="00182709" w:rsidRDefault="0044097C">
            <w:r>
              <w:rPr>
                <w:sz w:val="13"/>
              </w:rPr>
              <w:t>(2 866)</w:t>
            </w:r>
          </w:p>
        </w:tc>
        <w:tc>
          <w:tcPr>
            <w:tcW w:w="992" w:type="dxa"/>
          </w:tcPr>
          <w:p w14:paraId="6D85B262" w14:textId="77777777" w:rsidR="00182709" w:rsidRDefault="0044097C">
            <w:r>
              <w:rPr>
                <w:sz w:val="13"/>
              </w:rPr>
              <w:t>(442)</w:t>
            </w:r>
          </w:p>
        </w:tc>
        <w:tc>
          <w:tcPr>
            <w:tcW w:w="992" w:type="dxa"/>
          </w:tcPr>
          <w:p w14:paraId="3D194E31" w14:textId="77777777" w:rsidR="00182709" w:rsidRDefault="0044097C">
            <w:r>
              <w:rPr>
                <w:sz w:val="13"/>
              </w:rPr>
              <w:t>(949)</w:t>
            </w:r>
          </w:p>
        </w:tc>
        <w:tc>
          <w:tcPr>
            <w:tcW w:w="850" w:type="dxa"/>
          </w:tcPr>
          <w:p w14:paraId="0ED9798E" w14:textId="77777777" w:rsidR="00182709" w:rsidRDefault="0044097C">
            <w:r>
              <w:rPr>
                <w:sz w:val="13"/>
              </w:rPr>
              <w:t>..</w:t>
            </w:r>
          </w:p>
        </w:tc>
        <w:tc>
          <w:tcPr>
            <w:tcW w:w="851" w:type="dxa"/>
          </w:tcPr>
          <w:p w14:paraId="48190890" w14:textId="77777777" w:rsidR="00182709" w:rsidRDefault="0044097C">
            <w:r>
              <w:rPr>
                <w:sz w:val="13"/>
              </w:rPr>
              <w:t>..</w:t>
            </w:r>
          </w:p>
        </w:tc>
        <w:tc>
          <w:tcPr>
            <w:tcW w:w="709" w:type="dxa"/>
          </w:tcPr>
          <w:p w14:paraId="036A5D33" w14:textId="77777777" w:rsidR="00182709" w:rsidRDefault="0044097C">
            <w:r>
              <w:rPr>
                <w:sz w:val="13"/>
              </w:rPr>
              <w:t>..</w:t>
            </w:r>
          </w:p>
        </w:tc>
        <w:tc>
          <w:tcPr>
            <w:tcW w:w="709" w:type="dxa"/>
          </w:tcPr>
          <w:p w14:paraId="22861BAF" w14:textId="77777777" w:rsidR="00182709" w:rsidRDefault="0044097C">
            <w:r>
              <w:rPr>
                <w:sz w:val="13"/>
              </w:rPr>
              <w:t>(378)</w:t>
            </w:r>
          </w:p>
        </w:tc>
        <w:tc>
          <w:tcPr>
            <w:tcW w:w="779" w:type="dxa"/>
          </w:tcPr>
          <w:p w14:paraId="0DE0DE38" w14:textId="77777777" w:rsidR="00182709" w:rsidRDefault="0044097C">
            <w:r>
              <w:rPr>
                <w:sz w:val="13"/>
              </w:rPr>
              <w:t>..</w:t>
            </w:r>
          </w:p>
        </w:tc>
        <w:tc>
          <w:tcPr>
            <w:tcW w:w="780" w:type="dxa"/>
          </w:tcPr>
          <w:p w14:paraId="06B9D56D" w14:textId="77777777" w:rsidR="00182709" w:rsidRDefault="0044097C">
            <w:r>
              <w:rPr>
                <w:sz w:val="13"/>
              </w:rPr>
              <w:t>(95)</w:t>
            </w:r>
          </w:p>
        </w:tc>
        <w:tc>
          <w:tcPr>
            <w:tcW w:w="616" w:type="dxa"/>
          </w:tcPr>
          <w:p w14:paraId="223D6A3A" w14:textId="77777777" w:rsidR="00182709" w:rsidRDefault="0044097C">
            <w:r>
              <w:rPr>
                <w:sz w:val="13"/>
              </w:rPr>
              <w:t>..</w:t>
            </w:r>
          </w:p>
        </w:tc>
        <w:tc>
          <w:tcPr>
            <w:tcW w:w="617" w:type="dxa"/>
          </w:tcPr>
          <w:p w14:paraId="2920EC51" w14:textId="77777777" w:rsidR="00182709" w:rsidRDefault="0044097C">
            <w:r>
              <w:rPr>
                <w:sz w:val="13"/>
              </w:rPr>
              <w:t>..</w:t>
            </w:r>
          </w:p>
        </w:tc>
        <w:tc>
          <w:tcPr>
            <w:tcW w:w="610" w:type="dxa"/>
          </w:tcPr>
          <w:p w14:paraId="6F16B092" w14:textId="77777777" w:rsidR="00182709" w:rsidRDefault="0044097C">
            <w:r>
              <w:rPr>
                <w:sz w:val="13"/>
              </w:rPr>
              <w:t>(442)</w:t>
            </w:r>
          </w:p>
        </w:tc>
        <w:tc>
          <w:tcPr>
            <w:tcW w:w="595" w:type="dxa"/>
          </w:tcPr>
          <w:p w14:paraId="5480C660" w14:textId="77777777" w:rsidR="00182709" w:rsidRDefault="0044097C">
            <w:r>
              <w:rPr>
                <w:sz w:val="13"/>
              </w:rPr>
              <w:t>(5 151)</w:t>
            </w:r>
          </w:p>
        </w:tc>
      </w:tr>
      <w:tr w:rsidR="0009452B" w14:paraId="19AA3932" w14:textId="77777777" w:rsidTr="0009452B">
        <w:tc>
          <w:tcPr>
            <w:tcW w:w="1281" w:type="dxa"/>
          </w:tcPr>
          <w:p w14:paraId="26D96227" w14:textId="77777777" w:rsidR="00182709" w:rsidRDefault="0044097C">
            <w:pPr>
              <w:jc w:val="left"/>
            </w:pPr>
            <w:r>
              <w:rPr>
                <w:color w:val="4472C4"/>
                <w:sz w:val="13"/>
              </w:rPr>
              <w:t>AASB116.73 (e)(ix)</w:t>
            </w:r>
          </w:p>
        </w:tc>
        <w:tc>
          <w:tcPr>
            <w:tcW w:w="1554" w:type="dxa"/>
          </w:tcPr>
          <w:p w14:paraId="7C972856" w14:textId="77777777" w:rsidR="00182709" w:rsidRDefault="0044097C">
            <w:pPr>
              <w:jc w:val="left"/>
            </w:pPr>
            <w:r>
              <w:rPr>
                <w:sz w:val="13"/>
              </w:rPr>
              <w:t>Transfer in/out of assets under construction</w:t>
            </w:r>
          </w:p>
        </w:tc>
        <w:tc>
          <w:tcPr>
            <w:tcW w:w="638" w:type="dxa"/>
          </w:tcPr>
          <w:p w14:paraId="4DF377F5" w14:textId="77777777" w:rsidR="00182709" w:rsidRDefault="0044097C">
            <w:r>
              <w:rPr>
                <w:sz w:val="13"/>
              </w:rPr>
              <w:t>..</w:t>
            </w:r>
          </w:p>
        </w:tc>
        <w:tc>
          <w:tcPr>
            <w:tcW w:w="638" w:type="dxa"/>
          </w:tcPr>
          <w:p w14:paraId="104DD0A4" w14:textId="77777777" w:rsidR="00182709" w:rsidRDefault="0044097C">
            <w:r>
              <w:rPr>
                <w:sz w:val="13"/>
              </w:rPr>
              <w:t>..</w:t>
            </w:r>
          </w:p>
        </w:tc>
        <w:tc>
          <w:tcPr>
            <w:tcW w:w="709" w:type="dxa"/>
          </w:tcPr>
          <w:p w14:paraId="1449E6DE" w14:textId="77777777" w:rsidR="00182709" w:rsidRDefault="0044097C">
            <w:r>
              <w:rPr>
                <w:sz w:val="13"/>
              </w:rPr>
              <w:t>..</w:t>
            </w:r>
          </w:p>
        </w:tc>
        <w:tc>
          <w:tcPr>
            <w:tcW w:w="709" w:type="dxa"/>
          </w:tcPr>
          <w:p w14:paraId="722A8A78" w14:textId="77777777" w:rsidR="00182709" w:rsidRDefault="0044097C">
            <w:r>
              <w:rPr>
                <w:sz w:val="13"/>
              </w:rPr>
              <w:t>900</w:t>
            </w:r>
          </w:p>
        </w:tc>
        <w:tc>
          <w:tcPr>
            <w:tcW w:w="992" w:type="dxa"/>
          </w:tcPr>
          <w:p w14:paraId="650F03CB" w14:textId="77777777" w:rsidR="00182709" w:rsidRDefault="0044097C">
            <w:r>
              <w:rPr>
                <w:sz w:val="13"/>
              </w:rPr>
              <w:t>..</w:t>
            </w:r>
          </w:p>
        </w:tc>
        <w:tc>
          <w:tcPr>
            <w:tcW w:w="992" w:type="dxa"/>
          </w:tcPr>
          <w:p w14:paraId="0C1179A9" w14:textId="77777777" w:rsidR="00182709" w:rsidRDefault="0044097C">
            <w:r>
              <w:rPr>
                <w:sz w:val="13"/>
              </w:rPr>
              <w:t>..</w:t>
            </w:r>
          </w:p>
        </w:tc>
        <w:tc>
          <w:tcPr>
            <w:tcW w:w="850" w:type="dxa"/>
          </w:tcPr>
          <w:p w14:paraId="157505FD" w14:textId="77777777" w:rsidR="00182709" w:rsidRDefault="0044097C">
            <w:r>
              <w:rPr>
                <w:sz w:val="13"/>
              </w:rPr>
              <w:t>(107)</w:t>
            </w:r>
          </w:p>
        </w:tc>
        <w:tc>
          <w:tcPr>
            <w:tcW w:w="851" w:type="dxa"/>
          </w:tcPr>
          <w:p w14:paraId="45737A39" w14:textId="77777777" w:rsidR="00182709" w:rsidRDefault="0044097C">
            <w:r>
              <w:rPr>
                <w:sz w:val="13"/>
              </w:rPr>
              <w:t>(1 247)</w:t>
            </w:r>
          </w:p>
        </w:tc>
        <w:tc>
          <w:tcPr>
            <w:tcW w:w="709" w:type="dxa"/>
          </w:tcPr>
          <w:p w14:paraId="7A24C933" w14:textId="77777777" w:rsidR="00182709" w:rsidRDefault="0044097C">
            <w:r>
              <w:rPr>
                <w:sz w:val="13"/>
              </w:rPr>
              <w:t>107</w:t>
            </w:r>
          </w:p>
        </w:tc>
        <w:tc>
          <w:tcPr>
            <w:tcW w:w="709" w:type="dxa"/>
          </w:tcPr>
          <w:p w14:paraId="7047AA54" w14:textId="77777777" w:rsidR="00182709" w:rsidRDefault="0044097C">
            <w:r>
              <w:rPr>
                <w:sz w:val="13"/>
              </w:rPr>
              <w:t>347</w:t>
            </w:r>
          </w:p>
        </w:tc>
        <w:tc>
          <w:tcPr>
            <w:tcW w:w="779" w:type="dxa"/>
          </w:tcPr>
          <w:p w14:paraId="085E3BA6" w14:textId="77777777" w:rsidR="00182709" w:rsidRDefault="0044097C">
            <w:r>
              <w:rPr>
                <w:sz w:val="13"/>
              </w:rPr>
              <w:t>..</w:t>
            </w:r>
          </w:p>
        </w:tc>
        <w:tc>
          <w:tcPr>
            <w:tcW w:w="780" w:type="dxa"/>
          </w:tcPr>
          <w:p w14:paraId="22230EC5" w14:textId="77777777" w:rsidR="00182709" w:rsidRDefault="0044097C">
            <w:r>
              <w:rPr>
                <w:sz w:val="13"/>
              </w:rPr>
              <w:t>..</w:t>
            </w:r>
          </w:p>
        </w:tc>
        <w:tc>
          <w:tcPr>
            <w:tcW w:w="616" w:type="dxa"/>
          </w:tcPr>
          <w:p w14:paraId="35FA6FA3" w14:textId="77777777" w:rsidR="00182709" w:rsidRDefault="0044097C">
            <w:r>
              <w:rPr>
                <w:sz w:val="13"/>
              </w:rPr>
              <w:t>..</w:t>
            </w:r>
          </w:p>
        </w:tc>
        <w:tc>
          <w:tcPr>
            <w:tcW w:w="617" w:type="dxa"/>
          </w:tcPr>
          <w:p w14:paraId="63999269" w14:textId="77777777" w:rsidR="00182709" w:rsidRDefault="0044097C">
            <w:r>
              <w:rPr>
                <w:sz w:val="13"/>
              </w:rPr>
              <w:t>..</w:t>
            </w:r>
          </w:p>
        </w:tc>
        <w:tc>
          <w:tcPr>
            <w:tcW w:w="610" w:type="dxa"/>
          </w:tcPr>
          <w:p w14:paraId="1592A9F4" w14:textId="77777777" w:rsidR="00182709" w:rsidRDefault="0044097C">
            <w:r>
              <w:rPr>
                <w:sz w:val="13"/>
              </w:rPr>
              <w:t>..</w:t>
            </w:r>
          </w:p>
        </w:tc>
        <w:tc>
          <w:tcPr>
            <w:tcW w:w="595" w:type="dxa"/>
          </w:tcPr>
          <w:p w14:paraId="368EA705" w14:textId="77777777" w:rsidR="00182709" w:rsidRDefault="0044097C">
            <w:r>
              <w:rPr>
                <w:sz w:val="13"/>
              </w:rPr>
              <w:t>..</w:t>
            </w:r>
          </w:p>
        </w:tc>
      </w:tr>
      <w:tr w:rsidR="0009452B" w14:paraId="3ACCB238" w14:textId="77777777" w:rsidTr="0009452B">
        <w:tc>
          <w:tcPr>
            <w:tcW w:w="1281" w:type="dxa"/>
          </w:tcPr>
          <w:p w14:paraId="3260E67E" w14:textId="77777777" w:rsidR="00182709" w:rsidRDefault="0044097C">
            <w:pPr>
              <w:jc w:val="left"/>
            </w:pPr>
            <w:r>
              <w:rPr>
                <w:color w:val="4472C4"/>
                <w:sz w:val="13"/>
              </w:rPr>
              <w:t>AASB116.73 (e)(iv)</w:t>
            </w:r>
          </w:p>
        </w:tc>
        <w:tc>
          <w:tcPr>
            <w:tcW w:w="1554" w:type="dxa"/>
          </w:tcPr>
          <w:p w14:paraId="4A773382" w14:textId="77777777" w:rsidR="00182709" w:rsidRDefault="0044097C">
            <w:pPr>
              <w:jc w:val="left"/>
            </w:pPr>
            <w:r>
              <w:rPr>
                <w:sz w:val="13"/>
              </w:rPr>
              <w:t>Revaluation of PPE</w:t>
            </w:r>
          </w:p>
        </w:tc>
        <w:tc>
          <w:tcPr>
            <w:tcW w:w="638" w:type="dxa"/>
          </w:tcPr>
          <w:p w14:paraId="59FFE3DB" w14:textId="77777777" w:rsidR="00182709" w:rsidRDefault="0044097C">
            <w:r>
              <w:rPr>
                <w:sz w:val="13"/>
              </w:rPr>
              <w:t>942</w:t>
            </w:r>
          </w:p>
        </w:tc>
        <w:tc>
          <w:tcPr>
            <w:tcW w:w="638" w:type="dxa"/>
          </w:tcPr>
          <w:p w14:paraId="48D53C66" w14:textId="77777777" w:rsidR="00182709" w:rsidRDefault="0044097C">
            <w:r>
              <w:rPr>
                <w:sz w:val="13"/>
              </w:rPr>
              <w:t>1 564</w:t>
            </w:r>
          </w:p>
        </w:tc>
        <w:tc>
          <w:tcPr>
            <w:tcW w:w="709" w:type="dxa"/>
          </w:tcPr>
          <w:p w14:paraId="377AE7DA" w14:textId="77777777" w:rsidR="00182709" w:rsidRDefault="0044097C">
            <w:r>
              <w:rPr>
                <w:sz w:val="13"/>
              </w:rPr>
              <w:t>6 125</w:t>
            </w:r>
          </w:p>
        </w:tc>
        <w:tc>
          <w:tcPr>
            <w:tcW w:w="709" w:type="dxa"/>
          </w:tcPr>
          <w:p w14:paraId="011D6506" w14:textId="77777777" w:rsidR="00182709" w:rsidRDefault="0044097C">
            <w:r>
              <w:rPr>
                <w:sz w:val="13"/>
              </w:rPr>
              <w:t>1 425</w:t>
            </w:r>
          </w:p>
        </w:tc>
        <w:tc>
          <w:tcPr>
            <w:tcW w:w="992" w:type="dxa"/>
          </w:tcPr>
          <w:p w14:paraId="5FB94DF3" w14:textId="77777777" w:rsidR="00182709" w:rsidRDefault="0044097C">
            <w:r>
              <w:rPr>
                <w:sz w:val="13"/>
              </w:rPr>
              <w:t>5 231</w:t>
            </w:r>
          </w:p>
        </w:tc>
        <w:tc>
          <w:tcPr>
            <w:tcW w:w="992" w:type="dxa"/>
          </w:tcPr>
          <w:p w14:paraId="62F05B03" w14:textId="77777777" w:rsidR="00182709" w:rsidRDefault="0044097C">
            <w:r>
              <w:rPr>
                <w:sz w:val="13"/>
              </w:rPr>
              <w:t>..</w:t>
            </w:r>
          </w:p>
        </w:tc>
        <w:tc>
          <w:tcPr>
            <w:tcW w:w="850" w:type="dxa"/>
          </w:tcPr>
          <w:p w14:paraId="39E0716F" w14:textId="77777777" w:rsidR="00182709" w:rsidRDefault="0044097C">
            <w:r>
              <w:rPr>
                <w:sz w:val="13"/>
              </w:rPr>
              <w:t>..</w:t>
            </w:r>
          </w:p>
        </w:tc>
        <w:tc>
          <w:tcPr>
            <w:tcW w:w="851" w:type="dxa"/>
          </w:tcPr>
          <w:p w14:paraId="726C8603" w14:textId="77777777" w:rsidR="00182709" w:rsidRDefault="0044097C">
            <w:r>
              <w:rPr>
                <w:sz w:val="13"/>
              </w:rPr>
              <w:t>..</w:t>
            </w:r>
          </w:p>
        </w:tc>
        <w:tc>
          <w:tcPr>
            <w:tcW w:w="709" w:type="dxa"/>
          </w:tcPr>
          <w:p w14:paraId="485E275C" w14:textId="77777777" w:rsidR="00182709" w:rsidRDefault="0044097C">
            <w:r>
              <w:rPr>
                <w:sz w:val="13"/>
              </w:rPr>
              <w:t>(4 576)</w:t>
            </w:r>
          </w:p>
        </w:tc>
        <w:tc>
          <w:tcPr>
            <w:tcW w:w="709" w:type="dxa"/>
          </w:tcPr>
          <w:p w14:paraId="5F18E171" w14:textId="77777777" w:rsidR="00182709" w:rsidRDefault="0044097C">
            <w:r>
              <w:rPr>
                <w:sz w:val="13"/>
              </w:rPr>
              <w:t>..</w:t>
            </w:r>
          </w:p>
        </w:tc>
        <w:tc>
          <w:tcPr>
            <w:tcW w:w="779" w:type="dxa"/>
          </w:tcPr>
          <w:p w14:paraId="588D90E7" w14:textId="77777777" w:rsidR="00182709" w:rsidRDefault="0044097C">
            <w:r>
              <w:rPr>
                <w:sz w:val="13"/>
              </w:rPr>
              <w:t>(112)</w:t>
            </w:r>
          </w:p>
        </w:tc>
        <w:tc>
          <w:tcPr>
            <w:tcW w:w="780" w:type="dxa"/>
          </w:tcPr>
          <w:p w14:paraId="49FCDA7D" w14:textId="77777777" w:rsidR="00182709" w:rsidRDefault="0044097C">
            <w:r>
              <w:rPr>
                <w:sz w:val="13"/>
              </w:rPr>
              <w:t>..</w:t>
            </w:r>
          </w:p>
        </w:tc>
        <w:tc>
          <w:tcPr>
            <w:tcW w:w="616" w:type="dxa"/>
          </w:tcPr>
          <w:p w14:paraId="0456CED2" w14:textId="77777777" w:rsidR="00182709" w:rsidRDefault="0044097C">
            <w:r>
              <w:rPr>
                <w:sz w:val="13"/>
              </w:rPr>
              <w:t>293</w:t>
            </w:r>
          </w:p>
        </w:tc>
        <w:tc>
          <w:tcPr>
            <w:tcW w:w="617" w:type="dxa"/>
          </w:tcPr>
          <w:p w14:paraId="114906DD" w14:textId="77777777" w:rsidR="00182709" w:rsidRDefault="0044097C">
            <w:r>
              <w:rPr>
                <w:sz w:val="13"/>
              </w:rPr>
              <w:t>..</w:t>
            </w:r>
          </w:p>
        </w:tc>
        <w:tc>
          <w:tcPr>
            <w:tcW w:w="610" w:type="dxa"/>
          </w:tcPr>
          <w:p w14:paraId="39990515" w14:textId="77777777" w:rsidR="00182709" w:rsidRDefault="0044097C">
            <w:r>
              <w:rPr>
                <w:sz w:val="13"/>
              </w:rPr>
              <w:t>7 903</w:t>
            </w:r>
          </w:p>
        </w:tc>
        <w:tc>
          <w:tcPr>
            <w:tcW w:w="595" w:type="dxa"/>
          </w:tcPr>
          <w:p w14:paraId="3E64C454" w14:textId="77777777" w:rsidR="00182709" w:rsidRDefault="0044097C">
            <w:r>
              <w:rPr>
                <w:sz w:val="13"/>
              </w:rPr>
              <w:t>2 989</w:t>
            </w:r>
          </w:p>
        </w:tc>
      </w:tr>
      <w:tr w:rsidR="0009452B" w14:paraId="16483FAD" w14:textId="77777777" w:rsidTr="0009452B">
        <w:tc>
          <w:tcPr>
            <w:tcW w:w="1281" w:type="dxa"/>
          </w:tcPr>
          <w:p w14:paraId="59DDD0CE" w14:textId="77777777" w:rsidR="00182709" w:rsidRDefault="0044097C">
            <w:pPr>
              <w:jc w:val="left"/>
            </w:pPr>
            <w:r>
              <w:rPr>
                <w:color w:val="4472C4"/>
                <w:sz w:val="13"/>
              </w:rPr>
              <w:t>AASB116.73 (e)(ix)</w:t>
            </w:r>
          </w:p>
        </w:tc>
        <w:tc>
          <w:tcPr>
            <w:tcW w:w="1554" w:type="dxa"/>
          </w:tcPr>
          <w:p w14:paraId="2DA04D19" w14:textId="77777777" w:rsidR="00182709" w:rsidRDefault="0044097C">
            <w:pPr>
              <w:jc w:val="left"/>
            </w:pPr>
            <w:r>
              <w:rPr>
                <w:sz w:val="13"/>
              </w:rPr>
              <w:t>Transfer (to)/from investment property</w:t>
            </w:r>
          </w:p>
        </w:tc>
        <w:tc>
          <w:tcPr>
            <w:tcW w:w="638" w:type="dxa"/>
          </w:tcPr>
          <w:p w14:paraId="79BA7EE3" w14:textId="77777777" w:rsidR="00182709" w:rsidRDefault="0044097C">
            <w:r>
              <w:rPr>
                <w:sz w:val="13"/>
              </w:rPr>
              <w:t>..</w:t>
            </w:r>
          </w:p>
        </w:tc>
        <w:tc>
          <w:tcPr>
            <w:tcW w:w="638" w:type="dxa"/>
          </w:tcPr>
          <w:p w14:paraId="02A2BD42" w14:textId="77777777" w:rsidR="00182709" w:rsidRDefault="0044097C">
            <w:r>
              <w:rPr>
                <w:sz w:val="13"/>
              </w:rPr>
              <w:t>..</w:t>
            </w:r>
          </w:p>
        </w:tc>
        <w:tc>
          <w:tcPr>
            <w:tcW w:w="709" w:type="dxa"/>
          </w:tcPr>
          <w:p w14:paraId="38434AF1" w14:textId="77777777" w:rsidR="00182709" w:rsidRDefault="0044097C">
            <w:r>
              <w:rPr>
                <w:sz w:val="13"/>
              </w:rPr>
              <w:t>(1 063)</w:t>
            </w:r>
          </w:p>
        </w:tc>
        <w:tc>
          <w:tcPr>
            <w:tcW w:w="709" w:type="dxa"/>
          </w:tcPr>
          <w:p w14:paraId="089EE1B7" w14:textId="77777777" w:rsidR="00182709" w:rsidRDefault="0044097C">
            <w:r>
              <w:rPr>
                <w:sz w:val="13"/>
              </w:rPr>
              <w:t>1 494</w:t>
            </w:r>
          </w:p>
        </w:tc>
        <w:tc>
          <w:tcPr>
            <w:tcW w:w="992" w:type="dxa"/>
          </w:tcPr>
          <w:p w14:paraId="5245CBA6" w14:textId="77777777" w:rsidR="00182709" w:rsidRDefault="0044097C">
            <w:r>
              <w:rPr>
                <w:sz w:val="13"/>
              </w:rPr>
              <w:t>..</w:t>
            </w:r>
          </w:p>
        </w:tc>
        <w:tc>
          <w:tcPr>
            <w:tcW w:w="992" w:type="dxa"/>
          </w:tcPr>
          <w:p w14:paraId="5AA2728C" w14:textId="77777777" w:rsidR="00182709" w:rsidRDefault="0044097C">
            <w:r>
              <w:rPr>
                <w:sz w:val="13"/>
              </w:rPr>
              <w:t>..</w:t>
            </w:r>
          </w:p>
        </w:tc>
        <w:tc>
          <w:tcPr>
            <w:tcW w:w="850" w:type="dxa"/>
          </w:tcPr>
          <w:p w14:paraId="25115D7F" w14:textId="77777777" w:rsidR="00182709" w:rsidRDefault="0044097C">
            <w:r>
              <w:rPr>
                <w:sz w:val="13"/>
              </w:rPr>
              <w:t>..</w:t>
            </w:r>
          </w:p>
        </w:tc>
        <w:tc>
          <w:tcPr>
            <w:tcW w:w="851" w:type="dxa"/>
          </w:tcPr>
          <w:p w14:paraId="263C958C" w14:textId="77777777" w:rsidR="00182709" w:rsidRDefault="0044097C">
            <w:r>
              <w:rPr>
                <w:sz w:val="13"/>
              </w:rPr>
              <w:t>..</w:t>
            </w:r>
          </w:p>
        </w:tc>
        <w:tc>
          <w:tcPr>
            <w:tcW w:w="709" w:type="dxa"/>
          </w:tcPr>
          <w:p w14:paraId="7D41EF7A" w14:textId="77777777" w:rsidR="00182709" w:rsidRDefault="0044097C">
            <w:r>
              <w:rPr>
                <w:sz w:val="13"/>
              </w:rPr>
              <w:t>..</w:t>
            </w:r>
          </w:p>
        </w:tc>
        <w:tc>
          <w:tcPr>
            <w:tcW w:w="709" w:type="dxa"/>
          </w:tcPr>
          <w:p w14:paraId="658D106E" w14:textId="77777777" w:rsidR="00182709" w:rsidRDefault="0044097C">
            <w:r>
              <w:rPr>
                <w:sz w:val="13"/>
              </w:rPr>
              <w:t>..</w:t>
            </w:r>
          </w:p>
        </w:tc>
        <w:tc>
          <w:tcPr>
            <w:tcW w:w="779" w:type="dxa"/>
          </w:tcPr>
          <w:p w14:paraId="6FBC4890" w14:textId="77777777" w:rsidR="00182709" w:rsidRDefault="0044097C">
            <w:r>
              <w:rPr>
                <w:sz w:val="13"/>
              </w:rPr>
              <w:t>..</w:t>
            </w:r>
          </w:p>
        </w:tc>
        <w:tc>
          <w:tcPr>
            <w:tcW w:w="780" w:type="dxa"/>
          </w:tcPr>
          <w:p w14:paraId="2538BF24" w14:textId="77777777" w:rsidR="00182709" w:rsidRDefault="0044097C">
            <w:r>
              <w:rPr>
                <w:sz w:val="13"/>
              </w:rPr>
              <w:t>..</w:t>
            </w:r>
          </w:p>
        </w:tc>
        <w:tc>
          <w:tcPr>
            <w:tcW w:w="616" w:type="dxa"/>
          </w:tcPr>
          <w:p w14:paraId="0D098140" w14:textId="77777777" w:rsidR="00182709" w:rsidRDefault="0044097C">
            <w:r>
              <w:rPr>
                <w:sz w:val="13"/>
              </w:rPr>
              <w:t>..</w:t>
            </w:r>
          </w:p>
        </w:tc>
        <w:tc>
          <w:tcPr>
            <w:tcW w:w="617" w:type="dxa"/>
          </w:tcPr>
          <w:p w14:paraId="40B03E6E" w14:textId="77777777" w:rsidR="00182709" w:rsidRDefault="0044097C">
            <w:r>
              <w:rPr>
                <w:sz w:val="13"/>
              </w:rPr>
              <w:t>..</w:t>
            </w:r>
          </w:p>
        </w:tc>
        <w:tc>
          <w:tcPr>
            <w:tcW w:w="610" w:type="dxa"/>
          </w:tcPr>
          <w:p w14:paraId="4457D50E" w14:textId="77777777" w:rsidR="00182709" w:rsidRDefault="0044097C">
            <w:r>
              <w:rPr>
                <w:sz w:val="13"/>
              </w:rPr>
              <w:t>(1 063)</w:t>
            </w:r>
          </w:p>
        </w:tc>
        <w:tc>
          <w:tcPr>
            <w:tcW w:w="595" w:type="dxa"/>
          </w:tcPr>
          <w:p w14:paraId="789564C8" w14:textId="77777777" w:rsidR="00182709" w:rsidRDefault="0044097C">
            <w:r>
              <w:rPr>
                <w:sz w:val="13"/>
              </w:rPr>
              <w:t>1 494</w:t>
            </w:r>
          </w:p>
        </w:tc>
      </w:tr>
      <w:tr w:rsidR="0009452B" w14:paraId="62301A83" w14:textId="77777777" w:rsidTr="0009452B">
        <w:tc>
          <w:tcPr>
            <w:tcW w:w="1281" w:type="dxa"/>
          </w:tcPr>
          <w:p w14:paraId="6CBF7C6D" w14:textId="77777777" w:rsidR="00182709" w:rsidRDefault="0044097C">
            <w:pPr>
              <w:jc w:val="left"/>
            </w:pPr>
            <w:r>
              <w:rPr>
                <w:color w:val="4472C4"/>
                <w:sz w:val="13"/>
              </w:rPr>
              <w:t>AASB116.73(e)(iii)</w:t>
            </w:r>
          </w:p>
        </w:tc>
        <w:tc>
          <w:tcPr>
            <w:tcW w:w="1554" w:type="dxa"/>
          </w:tcPr>
          <w:p w14:paraId="091564BA" w14:textId="77777777" w:rsidR="00182709" w:rsidRDefault="0044097C">
            <w:pPr>
              <w:jc w:val="left"/>
            </w:pPr>
            <w:r>
              <w:rPr>
                <w:sz w:val="13"/>
              </w:rPr>
              <w:t>Purchased business combination</w:t>
            </w:r>
          </w:p>
        </w:tc>
        <w:tc>
          <w:tcPr>
            <w:tcW w:w="638" w:type="dxa"/>
          </w:tcPr>
          <w:p w14:paraId="14C5E241" w14:textId="77777777" w:rsidR="00182709" w:rsidRDefault="0044097C">
            <w:r>
              <w:rPr>
                <w:sz w:val="13"/>
              </w:rPr>
              <w:t>125</w:t>
            </w:r>
          </w:p>
        </w:tc>
        <w:tc>
          <w:tcPr>
            <w:tcW w:w="638" w:type="dxa"/>
          </w:tcPr>
          <w:p w14:paraId="06859150" w14:textId="77777777" w:rsidR="00182709" w:rsidRDefault="0044097C">
            <w:r>
              <w:rPr>
                <w:sz w:val="13"/>
              </w:rPr>
              <w:t>..</w:t>
            </w:r>
          </w:p>
        </w:tc>
        <w:tc>
          <w:tcPr>
            <w:tcW w:w="709" w:type="dxa"/>
          </w:tcPr>
          <w:p w14:paraId="4D24584B" w14:textId="77777777" w:rsidR="00182709" w:rsidRDefault="0044097C">
            <w:r>
              <w:rPr>
                <w:sz w:val="13"/>
              </w:rPr>
              <w:t>4 197</w:t>
            </w:r>
          </w:p>
        </w:tc>
        <w:tc>
          <w:tcPr>
            <w:tcW w:w="709" w:type="dxa"/>
          </w:tcPr>
          <w:p w14:paraId="065C11DC" w14:textId="77777777" w:rsidR="00182709" w:rsidRDefault="0044097C">
            <w:r>
              <w:rPr>
                <w:sz w:val="13"/>
              </w:rPr>
              <w:t>..</w:t>
            </w:r>
          </w:p>
        </w:tc>
        <w:tc>
          <w:tcPr>
            <w:tcW w:w="992" w:type="dxa"/>
          </w:tcPr>
          <w:p w14:paraId="1525EBE2" w14:textId="77777777" w:rsidR="00182709" w:rsidRDefault="0044097C">
            <w:r>
              <w:rPr>
                <w:sz w:val="13"/>
              </w:rPr>
              <w:t>15 946</w:t>
            </w:r>
          </w:p>
        </w:tc>
        <w:tc>
          <w:tcPr>
            <w:tcW w:w="992" w:type="dxa"/>
          </w:tcPr>
          <w:p w14:paraId="6AD6F119" w14:textId="77777777" w:rsidR="00182709" w:rsidRDefault="0044097C">
            <w:r>
              <w:rPr>
                <w:sz w:val="13"/>
              </w:rPr>
              <w:t>..</w:t>
            </w:r>
          </w:p>
        </w:tc>
        <w:tc>
          <w:tcPr>
            <w:tcW w:w="850" w:type="dxa"/>
          </w:tcPr>
          <w:p w14:paraId="52EC4E88" w14:textId="77777777" w:rsidR="00182709" w:rsidRDefault="0044097C">
            <w:r>
              <w:rPr>
                <w:sz w:val="13"/>
              </w:rPr>
              <w:t>..</w:t>
            </w:r>
          </w:p>
        </w:tc>
        <w:tc>
          <w:tcPr>
            <w:tcW w:w="851" w:type="dxa"/>
          </w:tcPr>
          <w:p w14:paraId="4E8D9A63" w14:textId="77777777" w:rsidR="00182709" w:rsidRDefault="0044097C">
            <w:r>
              <w:rPr>
                <w:sz w:val="13"/>
              </w:rPr>
              <w:t>..</w:t>
            </w:r>
          </w:p>
        </w:tc>
        <w:tc>
          <w:tcPr>
            <w:tcW w:w="709" w:type="dxa"/>
          </w:tcPr>
          <w:p w14:paraId="29689FC8" w14:textId="77777777" w:rsidR="00182709" w:rsidRDefault="0044097C">
            <w:r>
              <w:rPr>
                <w:sz w:val="13"/>
              </w:rPr>
              <w:t>124</w:t>
            </w:r>
          </w:p>
        </w:tc>
        <w:tc>
          <w:tcPr>
            <w:tcW w:w="709" w:type="dxa"/>
          </w:tcPr>
          <w:p w14:paraId="2DC69100" w14:textId="77777777" w:rsidR="00182709" w:rsidRDefault="0044097C">
            <w:r>
              <w:rPr>
                <w:sz w:val="13"/>
              </w:rPr>
              <w:t>..</w:t>
            </w:r>
          </w:p>
        </w:tc>
        <w:tc>
          <w:tcPr>
            <w:tcW w:w="779" w:type="dxa"/>
          </w:tcPr>
          <w:p w14:paraId="35B58292" w14:textId="77777777" w:rsidR="00182709" w:rsidRDefault="0044097C">
            <w:r>
              <w:rPr>
                <w:sz w:val="13"/>
              </w:rPr>
              <w:t>..</w:t>
            </w:r>
          </w:p>
        </w:tc>
        <w:tc>
          <w:tcPr>
            <w:tcW w:w="780" w:type="dxa"/>
          </w:tcPr>
          <w:p w14:paraId="0F5EDF27" w14:textId="77777777" w:rsidR="00182709" w:rsidRDefault="0044097C">
            <w:r>
              <w:rPr>
                <w:sz w:val="13"/>
              </w:rPr>
              <w:t>..</w:t>
            </w:r>
          </w:p>
        </w:tc>
        <w:tc>
          <w:tcPr>
            <w:tcW w:w="616" w:type="dxa"/>
          </w:tcPr>
          <w:p w14:paraId="45A392EA" w14:textId="77777777" w:rsidR="00182709" w:rsidRDefault="0044097C">
            <w:r>
              <w:rPr>
                <w:sz w:val="13"/>
              </w:rPr>
              <w:t>..</w:t>
            </w:r>
          </w:p>
        </w:tc>
        <w:tc>
          <w:tcPr>
            <w:tcW w:w="617" w:type="dxa"/>
          </w:tcPr>
          <w:p w14:paraId="2F47FA3E" w14:textId="77777777" w:rsidR="00182709" w:rsidRDefault="0044097C">
            <w:r>
              <w:rPr>
                <w:sz w:val="13"/>
              </w:rPr>
              <w:t>..</w:t>
            </w:r>
          </w:p>
        </w:tc>
        <w:tc>
          <w:tcPr>
            <w:tcW w:w="610" w:type="dxa"/>
          </w:tcPr>
          <w:p w14:paraId="7757F130" w14:textId="77777777" w:rsidR="00182709" w:rsidRDefault="0044097C">
            <w:r>
              <w:rPr>
                <w:sz w:val="13"/>
              </w:rPr>
              <w:t>20 392</w:t>
            </w:r>
          </w:p>
        </w:tc>
        <w:tc>
          <w:tcPr>
            <w:tcW w:w="595" w:type="dxa"/>
          </w:tcPr>
          <w:p w14:paraId="03CCC862" w14:textId="77777777" w:rsidR="00182709" w:rsidRDefault="0044097C">
            <w:r>
              <w:rPr>
                <w:sz w:val="13"/>
              </w:rPr>
              <w:t>..</w:t>
            </w:r>
          </w:p>
        </w:tc>
      </w:tr>
      <w:tr w:rsidR="0009452B" w14:paraId="0E864DED" w14:textId="77777777" w:rsidTr="0009452B">
        <w:tc>
          <w:tcPr>
            <w:tcW w:w="1281" w:type="dxa"/>
          </w:tcPr>
          <w:p w14:paraId="6A75F54B" w14:textId="77777777" w:rsidR="00182709" w:rsidRDefault="0044097C">
            <w:pPr>
              <w:jc w:val="left"/>
            </w:pPr>
            <w:r>
              <w:rPr>
                <w:color w:val="4472C4"/>
                <w:sz w:val="13"/>
              </w:rPr>
              <w:t>AASB116.73(e)(iii)</w:t>
            </w:r>
          </w:p>
        </w:tc>
        <w:tc>
          <w:tcPr>
            <w:tcW w:w="1554" w:type="dxa"/>
          </w:tcPr>
          <w:p w14:paraId="4A50390E" w14:textId="77777777" w:rsidR="00182709" w:rsidRDefault="0044097C">
            <w:pPr>
              <w:jc w:val="left"/>
            </w:pPr>
            <w:r>
              <w:rPr>
                <w:sz w:val="13"/>
              </w:rPr>
              <w:t>Machinery of government transfer in</w:t>
            </w:r>
          </w:p>
        </w:tc>
        <w:tc>
          <w:tcPr>
            <w:tcW w:w="638" w:type="dxa"/>
          </w:tcPr>
          <w:p w14:paraId="02A99CC4" w14:textId="77777777" w:rsidR="00182709" w:rsidRDefault="0044097C">
            <w:r>
              <w:rPr>
                <w:sz w:val="13"/>
              </w:rPr>
              <w:t>789</w:t>
            </w:r>
          </w:p>
        </w:tc>
        <w:tc>
          <w:tcPr>
            <w:tcW w:w="638" w:type="dxa"/>
          </w:tcPr>
          <w:p w14:paraId="3FEFB40A" w14:textId="77777777" w:rsidR="00182709" w:rsidRDefault="0044097C">
            <w:r>
              <w:rPr>
                <w:sz w:val="13"/>
              </w:rPr>
              <w:t>..</w:t>
            </w:r>
          </w:p>
        </w:tc>
        <w:tc>
          <w:tcPr>
            <w:tcW w:w="709" w:type="dxa"/>
          </w:tcPr>
          <w:p w14:paraId="69DABD3F" w14:textId="77777777" w:rsidR="00182709" w:rsidRDefault="0044097C">
            <w:r>
              <w:rPr>
                <w:sz w:val="13"/>
              </w:rPr>
              <w:t>3 856</w:t>
            </w:r>
          </w:p>
        </w:tc>
        <w:tc>
          <w:tcPr>
            <w:tcW w:w="709" w:type="dxa"/>
          </w:tcPr>
          <w:p w14:paraId="079B1406" w14:textId="77777777" w:rsidR="00182709" w:rsidRDefault="0044097C">
            <w:r>
              <w:rPr>
                <w:sz w:val="13"/>
              </w:rPr>
              <w:t>..</w:t>
            </w:r>
          </w:p>
        </w:tc>
        <w:tc>
          <w:tcPr>
            <w:tcW w:w="992" w:type="dxa"/>
          </w:tcPr>
          <w:p w14:paraId="635BE080" w14:textId="77777777" w:rsidR="00182709" w:rsidRDefault="0044097C">
            <w:r>
              <w:rPr>
                <w:sz w:val="13"/>
              </w:rPr>
              <w:t>10 343</w:t>
            </w:r>
          </w:p>
        </w:tc>
        <w:tc>
          <w:tcPr>
            <w:tcW w:w="992" w:type="dxa"/>
          </w:tcPr>
          <w:p w14:paraId="56C082CA" w14:textId="77777777" w:rsidR="00182709" w:rsidRDefault="0044097C">
            <w:r>
              <w:rPr>
                <w:sz w:val="13"/>
              </w:rPr>
              <w:t>..</w:t>
            </w:r>
          </w:p>
        </w:tc>
        <w:tc>
          <w:tcPr>
            <w:tcW w:w="850" w:type="dxa"/>
          </w:tcPr>
          <w:p w14:paraId="326655A0" w14:textId="77777777" w:rsidR="00182709" w:rsidRDefault="0044097C">
            <w:r>
              <w:rPr>
                <w:sz w:val="13"/>
              </w:rPr>
              <w:t>10</w:t>
            </w:r>
          </w:p>
        </w:tc>
        <w:tc>
          <w:tcPr>
            <w:tcW w:w="851" w:type="dxa"/>
          </w:tcPr>
          <w:p w14:paraId="1AEFB797" w14:textId="77777777" w:rsidR="00182709" w:rsidRDefault="0044097C">
            <w:r>
              <w:rPr>
                <w:sz w:val="13"/>
              </w:rPr>
              <w:t>..</w:t>
            </w:r>
          </w:p>
        </w:tc>
        <w:tc>
          <w:tcPr>
            <w:tcW w:w="709" w:type="dxa"/>
          </w:tcPr>
          <w:p w14:paraId="7962D4DF" w14:textId="77777777" w:rsidR="00182709" w:rsidRDefault="0044097C">
            <w:r>
              <w:rPr>
                <w:sz w:val="13"/>
              </w:rPr>
              <w:t>1 040</w:t>
            </w:r>
          </w:p>
        </w:tc>
        <w:tc>
          <w:tcPr>
            <w:tcW w:w="709" w:type="dxa"/>
          </w:tcPr>
          <w:p w14:paraId="5F8D77FB" w14:textId="77777777" w:rsidR="00182709" w:rsidRDefault="0044097C">
            <w:r>
              <w:rPr>
                <w:sz w:val="13"/>
              </w:rPr>
              <w:t>..</w:t>
            </w:r>
          </w:p>
        </w:tc>
        <w:tc>
          <w:tcPr>
            <w:tcW w:w="779" w:type="dxa"/>
          </w:tcPr>
          <w:p w14:paraId="5140B385" w14:textId="77777777" w:rsidR="00182709" w:rsidRDefault="0044097C">
            <w:r>
              <w:rPr>
                <w:sz w:val="13"/>
              </w:rPr>
              <w:t>568</w:t>
            </w:r>
          </w:p>
        </w:tc>
        <w:tc>
          <w:tcPr>
            <w:tcW w:w="780" w:type="dxa"/>
          </w:tcPr>
          <w:p w14:paraId="3A33DF44" w14:textId="77777777" w:rsidR="00182709" w:rsidRDefault="0044097C">
            <w:r>
              <w:rPr>
                <w:sz w:val="13"/>
              </w:rPr>
              <w:t>..</w:t>
            </w:r>
          </w:p>
        </w:tc>
        <w:tc>
          <w:tcPr>
            <w:tcW w:w="616" w:type="dxa"/>
          </w:tcPr>
          <w:p w14:paraId="73090765" w14:textId="77777777" w:rsidR="00182709" w:rsidRDefault="0044097C">
            <w:r>
              <w:rPr>
                <w:sz w:val="13"/>
              </w:rPr>
              <w:t>1 950</w:t>
            </w:r>
          </w:p>
        </w:tc>
        <w:tc>
          <w:tcPr>
            <w:tcW w:w="617" w:type="dxa"/>
          </w:tcPr>
          <w:p w14:paraId="3C6DA9C6" w14:textId="77777777" w:rsidR="00182709" w:rsidRDefault="0044097C">
            <w:r>
              <w:rPr>
                <w:sz w:val="13"/>
              </w:rPr>
              <w:t>..</w:t>
            </w:r>
          </w:p>
        </w:tc>
        <w:tc>
          <w:tcPr>
            <w:tcW w:w="610" w:type="dxa"/>
          </w:tcPr>
          <w:p w14:paraId="5616E2FA" w14:textId="77777777" w:rsidR="00182709" w:rsidRDefault="0044097C">
            <w:r>
              <w:rPr>
                <w:sz w:val="13"/>
              </w:rPr>
              <w:t>18 556</w:t>
            </w:r>
          </w:p>
        </w:tc>
        <w:tc>
          <w:tcPr>
            <w:tcW w:w="595" w:type="dxa"/>
          </w:tcPr>
          <w:p w14:paraId="470E66B0" w14:textId="77777777" w:rsidR="00182709" w:rsidRDefault="0044097C">
            <w:r>
              <w:rPr>
                <w:sz w:val="13"/>
              </w:rPr>
              <w:t>..</w:t>
            </w:r>
          </w:p>
        </w:tc>
      </w:tr>
      <w:tr w:rsidR="0009452B" w14:paraId="28AF015D" w14:textId="77777777" w:rsidTr="0009452B">
        <w:tc>
          <w:tcPr>
            <w:tcW w:w="1281" w:type="dxa"/>
          </w:tcPr>
          <w:p w14:paraId="5168245C" w14:textId="77777777" w:rsidR="00182709" w:rsidRDefault="0044097C">
            <w:pPr>
              <w:jc w:val="left"/>
            </w:pPr>
            <w:r>
              <w:rPr>
                <w:color w:val="4472C4"/>
                <w:sz w:val="13"/>
              </w:rPr>
              <w:t>AASB116.73 (e)(ii)</w:t>
            </w:r>
          </w:p>
        </w:tc>
        <w:tc>
          <w:tcPr>
            <w:tcW w:w="1554" w:type="dxa"/>
          </w:tcPr>
          <w:p w14:paraId="2347BE28" w14:textId="77777777" w:rsidR="00182709" w:rsidRDefault="0044097C">
            <w:pPr>
              <w:jc w:val="left"/>
            </w:pPr>
            <w:r>
              <w:rPr>
                <w:sz w:val="13"/>
              </w:rPr>
              <w:t>Machinery of government transfer out</w:t>
            </w:r>
          </w:p>
        </w:tc>
        <w:tc>
          <w:tcPr>
            <w:tcW w:w="638" w:type="dxa"/>
          </w:tcPr>
          <w:p w14:paraId="1256CB1E" w14:textId="77777777" w:rsidR="00182709" w:rsidRDefault="0044097C">
            <w:r>
              <w:rPr>
                <w:sz w:val="13"/>
              </w:rPr>
              <w:t>(2 024)</w:t>
            </w:r>
          </w:p>
        </w:tc>
        <w:tc>
          <w:tcPr>
            <w:tcW w:w="638" w:type="dxa"/>
          </w:tcPr>
          <w:p w14:paraId="26BAF56C" w14:textId="77777777" w:rsidR="00182709" w:rsidRDefault="0044097C">
            <w:r>
              <w:rPr>
                <w:sz w:val="13"/>
              </w:rPr>
              <w:t>..</w:t>
            </w:r>
          </w:p>
        </w:tc>
        <w:tc>
          <w:tcPr>
            <w:tcW w:w="709" w:type="dxa"/>
          </w:tcPr>
          <w:p w14:paraId="6D65FA90" w14:textId="77777777" w:rsidR="00182709" w:rsidRDefault="0044097C">
            <w:r>
              <w:rPr>
                <w:sz w:val="13"/>
              </w:rPr>
              <w:t>(9 398)</w:t>
            </w:r>
          </w:p>
        </w:tc>
        <w:tc>
          <w:tcPr>
            <w:tcW w:w="709" w:type="dxa"/>
          </w:tcPr>
          <w:p w14:paraId="7C4A4757" w14:textId="77777777" w:rsidR="00182709" w:rsidRDefault="0044097C">
            <w:r>
              <w:rPr>
                <w:sz w:val="13"/>
              </w:rPr>
              <w:t>..</w:t>
            </w:r>
          </w:p>
        </w:tc>
        <w:tc>
          <w:tcPr>
            <w:tcW w:w="992" w:type="dxa"/>
          </w:tcPr>
          <w:p w14:paraId="489FDD80" w14:textId="77777777" w:rsidR="00182709" w:rsidRDefault="0044097C">
            <w:r>
              <w:rPr>
                <w:sz w:val="13"/>
              </w:rPr>
              <w:t>(13 702)</w:t>
            </w:r>
          </w:p>
        </w:tc>
        <w:tc>
          <w:tcPr>
            <w:tcW w:w="992" w:type="dxa"/>
          </w:tcPr>
          <w:p w14:paraId="38014BF2" w14:textId="77777777" w:rsidR="00182709" w:rsidRDefault="0044097C">
            <w:r>
              <w:rPr>
                <w:sz w:val="13"/>
              </w:rPr>
              <w:t>..</w:t>
            </w:r>
          </w:p>
        </w:tc>
        <w:tc>
          <w:tcPr>
            <w:tcW w:w="850" w:type="dxa"/>
          </w:tcPr>
          <w:p w14:paraId="24CB5197" w14:textId="77777777" w:rsidR="00182709" w:rsidRDefault="0044097C">
            <w:r>
              <w:rPr>
                <w:sz w:val="13"/>
              </w:rPr>
              <w:t>(343)</w:t>
            </w:r>
          </w:p>
        </w:tc>
        <w:tc>
          <w:tcPr>
            <w:tcW w:w="851" w:type="dxa"/>
          </w:tcPr>
          <w:p w14:paraId="2705DD0E" w14:textId="77777777" w:rsidR="00182709" w:rsidRDefault="0044097C">
            <w:r>
              <w:rPr>
                <w:sz w:val="13"/>
              </w:rPr>
              <w:t>..</w:t>
            </w:r>
          </w:p>
        </w:tc>
        <w:tc>
          <w:tcPr>
            <w:tcW w:w="709" w:type="dxa"/>
          </w:tcPr>
          <w:p w14:paraId="26FE3BB4" w14:textId="77777777" w:rsidR="00182709" w:rsidRDefault="0044097C">
            <w:r>
              <w:rPr>
                <w:sz w:val="13"/>
              </w:rPr>
              <w:t>(1 100)</w:t>
            </w:r>
          </w:p>
        </w:tc>
        <w:tc>
          <w:tcPr>
            <w:tcW w:w="709" w:type="dxa"/>
          </w:tcPr>
          <w:p w14:paraId="02452529" w14:textId="77777777" w:rsidR="00182709" w:rsidRDefault="0044097C">
            <w:r>
              <w:rPr>
                <w:sz w:val="13"/>
              </w:rPr>
              <w:t>..</w:t>
            </w:r>
          </w:p>
        </w:tc>
        <w:tc>
          <w:tcPr>
            <w:tcW w:w="779" w:type="dxa"/>
          </w:tcPr>
          <w:p w14:paraId="31AF5549" w14:textId="77777777" w:rsidR="00182709" w:rsidRDefault="0044097C">
            <w:r>
              <w:rPr>
                <w:sz w:val="13"/>
              </w:rPr>
              <w:t>(4 445)</w:t>
            </w:r>
          </w:p>
        </w:tc>
        <w:tc>
          <w:tcPr>
            <w:tcW w:w="780" w:type="dxa"/>
          </w:tcPr>
          <w:p w14:paraId="2E679EA0" w14:textId="77777777" w:rsidR="00182709" w:rsidRDefault="0044097C">
            <w:r>
              <w:rPr>
                <w:sz w:val="13"/>
              </w:rPr>
              <w:t>..</w:t>
            </w:r>
          </w:p>
        </w:tc>
        <w:tc>
          <w:tcPr>
            <w:tcW w:w="616" w:type="dxa"/>
          </w:tcPr>
          <w:p w14:paraId="583D2715" w14:textId="77777777" w:rsidR="00182709" w:rsidRDefault="0044097C">
            <w:r>
              <w:rPr>
                <w:sz w:val="13"/>
              </w:rPr>
              <w:t>..</w:t>
            </w:r>
          </w:p>
        </w:tc>
        <w:tc>
          <w:tcPr>
            <w:tcW w:w="617" w:type="dxa"/>
          </w:tcPr>
          <w:p w14:paraId="3D112AFE" w14:textId="77777777" w:rsidR="00182709" w:rsidRDefault="0044097C">
            <w:r>
              <w:rPr>
                <w:sz w:val="13"/>
              </w:rPr>
              <w:t>..</w:t>
            </w:r>
          </w:p>
        </w:tc>
        <w:tc>
          <w:tcPr>
            <w:tcW w:w="610" w:type="dxa"/>
          </w:tcPr>
          <w:p w14:paraId="56AB2E5C" w14:textId="77777777" w:rsidR="00182709" w:rsidRDefault="0044097C">
            <w:r>
              <w:rPr>
                <w:sz w:val="13"/>
              </w:rPr>
              <w:t>(31 012)</w:t>
            </w:r>
          </w:p>
        </w:tc>
        <w:tc>
          <w:tcPr>
            <w:tcW w:w="595" w:type="dxa"/>
          </w:tcPr>
          <w:p w14:paraId="001E6255" w14:textId="77777777" w:rsidR="00182709" w:rsidRDefault="0044097C">
            <w:r>
              <w:rPr>
                <w:sz w:val="13"/>
              </w:rPr>
              <w:t>..</w:t>
            </w:r>
          </w:p>
        </w:tc>
      </w:tr>
      <w:tr w:rsidR="0009452B" w14:paraId="622F5891" w14:textId="77777777" w:rsidTr="0009452B">
        <w:tc>
          <w:tcPr>
            <w:tcW w:w="1281" w:type="dxa"/>
          </w:tcPr>
          <w:p w14:paraId="5CD42640" w14:textId="77777777" w:rsidR="00182709" w:rsidRDefault="0044097C">
            <w:pPr>
              <w:jc w:val="left"/>
            </w:pPr>
            <w:r>
              <w:rPr>
                <w:color w:val="4472C4"/>
                <w:sz w:val="13"/>
              </w:rPr>
              <w:t>AASB116.73(e)(vii)</w:t>
            </w:r>
          </w:p>
        </w:tc>
        <w:tc>
          <w:tcPr>
            <w:tcW w:w="1554" w:type="dxa"/>
          </w:tcPr>
          <w:p w14:paraId="51CC48D4" w14:textId="77777777" w:rsidR="00182709" w:rsidRDefault="0044097C">
            <w:pPr>
              <w:jc w:val="left"/>
            </w:pPr>
            <w:r>
              <w:rPr>
                <w:sz w:val="13"/>
              </w:rPr>
              <w:t>Depreciation</w:t>
            </w:r>
          </w:p>
        </w:tc>
        <w:tc>
          <w:tcPr>
            <w:tcW w:w="638" w:type="dxa"/>
          </w:tcPr>
          <w:p w14:paraId="2512D638" w14:textId="77777777" w:rsidR="00182709" w:rsidRDefault="0044097C">
            <w:r>
              <w:rPr>
                <w:sz w:val="13"/>
              </w:rPr>
              <w:t>..</w:t>
            </w:r>
          </w:p>
        </w:tc>
        <w:tc>
          <w:tcPr>
            <w:tcW w:w="638" w:type="dxa"/>
          </w:tcPr>
          <w:p w14:paraId="5EB0D6B8" w14:textId="77777777" w:rsidR="00182709" w:rsidRDefault="0044097C">
            <w:r>
              <w:rPr>
                <w:sz w:val="13"/>
              </w:rPr>
              <w:t>..</w:t>
            </w:r>
          </w:p>
        </w:tc>
        <w:tc>
          <w:tcPr>
            <w:tcW w:w="709" w:type="dxa"/>
          </w:tcPr>
          <w:p w14:paraId="412A2969" w14:textId="77777777" w:rsidR="00182709" w:rsidRDefault="0044097C">
            <w:r>
              <w:rPr>
                <w:sz w:val="13"/>
              </w:rPr>
              <w:t>(3 280)</w:t>
            </w:r>
          </w:p>
        </w:tc>
        <w:tc>
          <w:tcPr>
            <w:tcW w:w="709" w:type="dxa"/>
          </w:tcPr>
          <w:p w14:paraId="09836F73" w14:textId="77777777" w:rsidR="00182709" w:rsidRDefault="0044097C">
            <w:r>
              <w:rPr>
                <w:sz w:val="13"/>
              </w:rPr>
              <w:t>(607)</w:t>
            </w:r>
          </w:p>
        </w:tc>
        <w:tc>
          <w:tcPr>
            <w:tcW w:w="992" w:type="dxa"/>
          </w:tcPr>
          <w:p w14:paraId="12573B23" w14:textId="77777777" w:rsidR="00182709" w:rsidRDefault="0044097C">
            <w:r>
              <w:rPr>
                <w:sz w:val="13"/>
              </w:rPr>
              <w:t>(13 034)</w:t>
            </w:r>
          </w:p>
        </w:tc>
        <w:tc>
          <w:tcPr>
            <w:tcW w:w="992" w:type="dxa"/>
          </w:tcPr>
          <w:p w14:paraId="37847592" w14:textId="77777777" w:rsidR="00182709" w:rsidRDefault="0044097C">
            <w:r>
              <w:rPr>
                <w:sz w:val="13"/>
              </w:rPr>
              <w:t>(9 550)</w:t>
            </w:r>
          </w:p>
        </w:tc>
        <w:tc>
          <w:tcPr>
            <w:tcW w:w="850" w:type="dxa"/>
          </w:tcPr>
          <w:p w14:paraId="6F9F434B" w14:textId="77777777" w:rsidR="00182709" w:rsidRDefault="0044097C">
            <w:r>
              <w:rPr>
                <w:sz w:val="13"/>
              </w:rPr>
              <w:t>..</w:t>
            </w:r>
          </w:p>
        </w:tc>
        <w:tc>
          <w:tcPr>
            <w:tcW w:w="851" w:type="dxa"/>
          </w:tcPr>
          <w:p w14:paraId="4BE58B9B" w14:textId="77777777" w:rsidR="00182709" w:rsidRDefault="0044097C">
            <w:r>
              <w:rPr>
                <w:sz w:val="13"/>
              </w:rPr>
              <w:t>..</w:t>
            </w:r>
          </w:p>
        </w:tc>
        <w:tc>
          <w:tcPr>
            <w:tcW w:w="709" w:type="dxa"/>
          </w:tcPr>
          <w:p w14:paraId="4029A0C9" w14:textId="77777777" w:rsidR="00182709" w:rsidRDefault="0044097C">
            <w:r>
              <w:rPr>
                <w:sz w:val="13"/>
              </w:rPr>
              <w:t>(419)</w:t>
            </w:r>
          </w:p>
        </w:tc>
        <w:tc>
          <w:tcPr>
            <w:tcW w:w="709" w:type="dxa"/>
          </w:tcPr>
          <w:p w14:paraId="180A12F1" w14:textId="77777777" w:rsidR="00182709" w:rsidRDefault="0044097C">
            <w:r>
              <w:rPr>
                <w:sz w:val="13"/>
              </w:rPr>
              <w:t>(240)</w:t>
            </w:r>
          </w:p>
        </w:tc>
        <w:tc>
          <w:tcPr>
            <w:tcW w:w="779" w:type="dxa"/>
          </w:tcPr>
          <w:p w14:paraId="55856BCF" w14:textId="77777777" w:rsidR="00182709" w:rsidRDefault="0044097C">
            <w:r>
              <w:rPr>
                <w:sz w:val="13"/>
              </w:rPr>
              <w:t>(514)</w:t>
            </w:r>
          </w:p>
        </w:tc>
        <w:tc>
          <w:tcPr>
            <w:tcW w:w="780" w:type="dxa"/>
          </w:tcPr>
          <w:p w14:paraId="7A85D03E" w14:textId="77777777" w:rsidR="00182709" w:rsidRDefault="0044097C">
            <w:r>
              <w:rPr>
                <w:sz w:val="13"/>
              </w:rPr>
              <w:t>(207)</w:t>
            </w:r>
          </w:p>
        </w:tc>
        <w:tc>
          <w:tcPr>
            <w:tcW w:w="616" w:type="dxa"/>
          </w:tcPr>
          <w:p w14:paraId="7A92D7E0" w14:textId="77777777" w:rsidR="00182709" w:rsidRDefault="0044097C">
            <w:r>
              <w:rPr>
                <w:sz w:val="13"/>
              </w:rPr>
              <w:t>..</w:t>
            </w:r>
          </w:p>
        </w:tc>
        <w:tc>
          <w:tcPr>
            <w:tcW w:w="617" w:type="dxa"/>
          </w:tcPr>
          <w:p w14:paraId="6E70A83B" w14:textId="77777777" w:rsidR="00182709" w:rsidRDefault="0044097C">
            <w:r>
              <w:rPr>
                <w:sz w:val="13"/>
              </w:rPr>
              <w:t>..</w:t>
            </w:r>
          </w:p>
        </w:tc>
        <w:tc>
          <w:tcPr>
            <w:tcW w:w="610" w:type="dxa"/>
          </w:tcPr>
          <w:p w14:paraId="72F2C303" w14:textId="77777777" w:rsidR="00182709" w:rsidRDefault="0044097C">
            <w:r>
              <w:rPr>
                <w:sz w:val="13"/>
              </w:rPr>
              <w:t>(17 247)</w:t>
            </w:r>
          </w:p>
        </w:tc>
        <w:tc>
          <w:tcPr>
            <w:tcW w:w="595" w:type="dxa"/>
          </w:tcPr>
          <w:p w14:paraId="6630335D" w14:textId="77777777" w:rsidR="00182709" w:rsidRDefault="0044097C">
            <w:r>
              <w:rPr>
                <w:sz w:val="13"/>
              </w:rPr>
              <w:t>(10 604)</w:t>
            </w:r>
          </w:p>
        </w:tc>
      </w:tr>
      <w:tr w:rsidR="0009452B" w14:paraId="57D89818" w14:textId="77777777" w:rsidTr="0009452B">
        <w:tc>
          <w:tcPr>
            <w:tcW w:w="1281" w:type="dxa"/>
          </w:tcPr>
          <w:p w14:paraId="4D658E16" w14:textId="77777777" w:rsidR="00182709" w:rsidRDefault="0044097C">
            <w:pPr>
              <w:jc w:val="left"/>
            </w:pPr>
            <w:r>
              <w:rPr>
                <w:color w:val="4472C4"/>
                <w:sz w:val="13"/>
              </w:rPr>
              <w:t>AASB116.73 (e)(ii)</w:t>
            </w:r>
          </w:p>
        </w:tc>
        <w:tc>
          <w:tcPr>
            <w:tcW w:w="1554" w:type="dxa"/>
            <w:tcBorders>
              <w:bottom w:val="single" w:sz="12" w:space="0" w:color="auto"/>
            </w:tcBorders>
          </w:tcPr>
          <w:p w14:paraId="4C08D2E9" w14:textId="77777777" w:rsidR="00182709" w:rsidRDefault="0044097C">
            <w:pPr>
              <w:jc w:val="left"/>
            </w:pPr>
            <w:r>
              <w:rPr>
                <w:sz w:val="13"/>
              </w:rPr>
              <w:t>Transfer to disposal group held for sale</w:t>
            </w:r>
          </w:p>
        </w:tc>
        <w:tc>
          <w:tcPr>
            <w:tcW w:w="638" w:type="dxa"/>
            <w:tcBorders>
              <w:bottom w:val="single" w:sz="12" w:space="0" w:color="auto"/>
            </w:tcBorders>
          </w:tcPr>
          <w:p w14:paraId="09900439" w14:textId="77777777" w:rsidR="00182709" w:rsidRDefault="0044097C">
            <w:r>
              <w:rPr>
                <w:sz w:val="13"/>
              </w:rPr>
              <w:t>(753)</w:t>
            </w:r>
          </w:p>
        </w:tc>
        <w:tc>
          <w:tcPr>
            <w:tcW w:w="638" w:type="dxa"/>
            <w:tcBorders>
              <w:bottom w:val="single" w:sz="12" w:space="0" w:color="auto"/>
            </w:tcBorders>
          </w:tcPr>
          <w:p w14:paraId="74FEAE6F" w14:textId="77777777" w:rsidR="00182709" w:rsidRDefault="0044097C">
            <w:r>
              <w:rPr>
                <w:sz w:val="13"/>
              </w:rPr>
              <w:t>(1 469)</w:t>
            </w:r>
          </w:p>
        </w:tc>
        <w:tc>
          <w:tcPr>
            <w:tcW w:w="709" w:type="dxa"/>
            <w:tcBorders>
              <w:bottom w:val="single" w:sz="12" w:space="0" w:color="auto"/>
            </w:tcBorders>
          </w:tcPr>
          <w:p w14:paraId="6976CD36" w14:textId="77777777" w:rsidR="00182709" w:rsidRDefault="0044097C">
            <w:r>
              <w:rPr>
                <w:sz w:val="13"/>
              </w:rPr>
              <w:t>(473)</w:t>
            </w:r>
          </w:p>
        </w:tc>
        <w:tc>
          <w:tcPr>
            <w:tcW w:w="709" w:type="dxa"/>
            <w:tcBorders>
              <w:bottom w:val="single" w:sz="12" w:space="0" w:color="auto"/>
            </w:tcBorders>
          </w:tcPr>
          <w:p w14:paraId="0DAB783F" w14:textId="77777777" w:rsidR="00182709" w:rsidRDefault="0044097C">
            <w:r>
              <w:rPr>
                <w:sz w:val="13"/>
              </w:rPr>
              <w:t>(1 051)</w:t>
            </w:r>
          </w:p>
        </w:tc>
        <w:tc>
          <w:tcPr>
            <w:tcW w:w="992" w:type="dxa"/>
            <w:tcBorders>
              <w:bottom w:val="single" w:sz="12" w:space="0" w:color="auto"/>
            </w:tcBorders>
          </w:tcPr>
          <w:p w14:paraId="0630C462" w14:textId="77777777" w:rsidR="00182709" w:rsidRDefault="0044097C">
            <w:r>
              <w:rPr>
                <w:sz w:val="13"/>
              </w:rPr>
              <w:t>(2 168)</w:t>
            </w:r>
          </w:p>
        </w:tc>
        <w:tc>
          <w:tcPr>
            <w:tcW w:w="992" w:type="dxa"/>
            <w:tcBorders>
              <w:bottom w:val="single" w:sz="12" w:space="0" w:color="auto"/>
            </w:tcBorders>
          </w:tcPr>
          <w:p w14:paraId="17EA9F9F" w14:textId="77777777" w:rsidR="00182709" w:rsidRDefault="0044097C">
            <w:r>
              <w:rPr>
                <w:sz w:val="13"/>
              </w:rPr>
              <w:t>(5 235)</w:t>
            </w:r>
          </w:p>
        </w:tc>
        <w:tc>
          <w:tcPr>
            <w:tcW w:w="850" w:type="dxa"/>
            <w:tcBorders>
              <w:bottom w:val="single" w:sz="12" w:space="0" w:color="auto"/>
            </w:tcBorders>
          </w:tcPr>
          <w:p w14:paraId="1EFA5D32" w14:textId="77777777" w:rsidR="00182709" w:rsidRDefault="0044097C">
            <w:r>
              <w:rPr>
                <w:sz w:val="13"/>
              </w:rPr>
              <w:t>(24)</w:t>
            </w:r>
          </w:p>
        </w:tc>
        <w:tc>
          <w:tcPr>
            <w:tcW w:w="851" w:type="dxa"/>
            <w:tcBorders>
              <w:bottom w:val="single" w:sz="12" w:space="0" w:color="auto"/>
            </w:tcBorders>
          </w:tcPr>
          <w:p w14:paraId="05D6171E" w14:textId="77777777" w:rsidR="00182709" w:rsidRDefault="0044097C">
            <w:r>
              <w:rPr>
                <w:sz w:val="13"/>
              </w:rPr>
              <w:t>..</w:t>
            </w:r>
          </w:p>
        </w:tc>
        <w:tc>
          <w:tcPr>
            <w:tcW w:w="709" w:type="dxa"/>
            <w:tcBorders>
              <w:bottom w:val="single" w:sz="12" w:space="0" w:color="auto"/>
            </w:tcBorders>
          </w:tcPr>
          <w:p w14:paraId="0141861C" w14:textId="77777777" w:rsidR="00182709" w:rsidRDefault="0044097C">
            <w:r>
              <w:rPr>
                <w:sz w:val="13"/>
              </w:rPr>
              <w:t>(321)</w:t>
            </w:r>
          </w:p>
        </w:tc>
        <w:tc>
          <w:tcPr>
            <w:tcW w:w="709" w:type="dxa"/>
            <w:tcBorders>
              <w:bottom w:val="single" w:sz="12" w:space="0" w:color="auto"/>
            </w:tcBorders>
          </w:tcPr>
          <w:p w14:paraId="49C29A17" w14:textId="77777777" w:rsidR="00182709" w:rsidRDefault="0044097C">
            <w:r>
              <w:rPr>
                <w:sz w:val="13"/>
              </w:rPr>
              <w:t>..</w:t>
            </w:r>
          </w:p>
        </w:tc>
        <w:tc>
          <w:tcPr>
            <w:tcW w:w="779" w:type="dxa"/>
            <w:tcBorders>
              <w:bottom w:val="single" w:sz="12" w:space="0" w:color="auto"/>
            </w:tcBorders>
          </w:tcPr>
          <w:p w14:paraId="499E4DDB" w14:textId="77777777" w:rsidR="00182709" w:rsidRDefault="0044097C">
            <w:r>
              <w:rPr>
                <w:sz w:val="13"/>
              </w:rPr>
              <w:t>(215)</w:t>
            </w:r>
          </w:p>
        </w:tc>
        <w:tc>
          <w:tcPr>
            <w:tcW w:w="780" w:type="dxa"/>
            <w:tcBorders>
              <w:bottom w:val="single" w:sz="12" w:space="0" w:color="auto"/>
            </w:tcBorders>
          </w:tcPr>
          <w:p w14:paraId="591DA645" w14:textId="77777777" w:rsidR="00182709" w:rsidRDefault="0044097C">
            <w:r>
              <w:rPr>
                <w:sz w:val="13"/>
              </w:rPr>
              <w:t>(368)</w:t>
            </w:r>
          </w:p>
        </w:tc>
        <w:tc>
          <w:tcPr>
            <w:tcW w:w="616" w:type="dxa"/>
            <w:tcBorders>
              <w:bottom w:val="single" w:sz="12" w:space="0" w:color="auto"/>
            </w:tcBorders>
          </w:tcPr>
          <w:p w14:paraId="61808B7E" w14:textId="77777777" w:rsidR="00182709" w:rsidRDefault="0044097C">
            <w:r>
              <w:rPr>
                <w:sz w:val="13"/>
              </w:rPr>
              <w:t>..</w:t>
            </w:r>
          </w:p>
        </w:tc>
        <w:tc>
          <w:tcPr>
            <w:tcW w:w="617" w:type="dxa"/>
            <w:tcBorders>
              <w:bottom w:val="single" w:sz="12" w:space="0" w:color="auto"/>
            </w:tcBorders>
          </w:tcPr>
          <w:p w14:paraId="1B74463B" w14:textId="77777777" w:rsidR="00182709" w:rsidRDefault="0044097C">
            <w:r>
              <w:rPr>
                <w:sz w:val="13"/>
              </w:rPr>
              <w:t>(540)</w:t>
            </w:r>
          </w:p>
        </w:tc>
        <w:tc>
          <w:tcPr>
            <w:tcW w:w="610" w:type="dxa"/>
            <w:tcBorders>
              <w:bottom w:val="single" w:sz="12" w:space="0" w:color="auto"/>
            </w:tcBorders>
          </w:tcPr>
          <w:p w14:paraId="56B6F6A9" w14:textId="77777777" w:rsidR="00182709" w:rsidRDefault="0044097C">
            <w:r>
              <w:rPr>
                <w:sz w:val="13"/>
              </w:rPr>
              <w:t>(3 954)</w:t>
            </w:r>
          </w:p>
        </w:tc>
        <w:tc>
          <w:tcPr>
            <w:tcW w:w="595" w:type="dxa"/>
            <w:tcBorders>
              <w:bottom w:val="single" w:sz="12" w:space="0" w:color="auto"/>
            </w:tcBorders>
          </w:tcPr>
          <w:p w14:paraId="44219832" w14:textId="77777777" w:rsidR="00182709" w:rsidRDefault="0044097C">
            <w:r>
              <w:rPr>
                <w:sz w:val="13"/>
              </w:rPr>
              <w:t>(8 663)</w:t>
            </w:r>
          </w:p>
        </w:tc>
      </w:tr>
      <w:tr w:rsidR="00671D55" w14:paraId="11065D92" w14:textId="77777777" w:rsidTr="0009452B">
        <w:tc>
          <w:tcPr>
            <w:tcW w:w="1281" w:type="dxa"/>
            <w:tcBorders>
              <w:bottom w:val="nil"/>
            </w:tcBorders>
          </w:tcPr>
          <w:p w14:paraId="2B4FBA12" w14:textId="77777777" w:rsidR="00182709" w:rsidRDefault="0044097C">
            <w:pPr>
              <w:jc w:val="left"/>
            </w:pPr>
            <w:r>
              <w:rPr>
                <w:color w:val="4472C4"/>
                <w:sz w:val="13"/>
              </w:rPr>
              <w:t>AASB116.73 (d)</w:t>
            </w:r>
          </w:p>
        </w:tc>
        <w:tc>
          <w:tcPr>
            <w:tcW w:w="1554" w:type="dxa"/>
          </w:tcPr>
          <w:p w14:paraId="2CA206DA" w14:textId="77777777" w:rsidR="00182709" w:rsidRDefault="0044097C">
            <w:pPr>
              <w:jc w:val="left"/>
            </w:pPr>
            <w:r>
              <w:rPr>
                <w:b/>
                <w:sz w:val="13"/>
              </w:rPr>
              <w:t>Closing balance</w:t>
            </w:r>
          </w:p>
        </w:tc>
        <w:tc>
          <w:tcPr>
            <w:tcW w:w="638" w:type="dxa"/>
          </w:tcPr>
          <w:p w14:paraId="5EEDA984" w14:textId="77777777" w:rsidR="00182709" w:rsidRDefault="0044097C">
            <w:r>
              <w:rPr>
                <w:b/>
                <w:sz w:val="13"/>
              </w:rPr>
              <w:t>4 562</w:t>
            </w:r>
          </w:p>
        </w:tc>
        <w:tc>
          <w:tcPr>
            <w:tcW w:w="638" w:type="dxa"/>
          </w:tcPr>
          <w:p w14:paraId="5E8D225D" w14:textId="77777777" w:rsidR="00182709" w:rsidRDefault="0044097C">
            <w:r>
              <w:rPr>
                <w:b/>
                <w:sz w:val="13"/>
              </w:rPr>
              <w:t>3 521</w:t>
            </w:r>
          </w:p>
        </w:tc>
        <w:tc>
          <w:tcPr>
            <w:tcW w:w="709" w:type="dxa"/>
          </w:tcPr>
          <w:p w14:paraId="676C3BD3" w14:textId="77777777" w:rsidR="00182709" w:rsidRDefault="0044097C">
            <w:r>
              <w:rPr>
                <w:b/>
                <w:sz w:val="13"/>
              </w:rPr>
              <w:t>80 796</w:t>
            </w:r>
          </w:p>
        </w:tc>
        <w:tc>
          <w:tcPr>
            <w:tcW w:w="709" w:type="dxa"/>
          </w:tcPr>
          <w:p w14:paraId="3E3FF906" w14:textId="77777777" w:rsidR="00182709" w:rsidRDefault="0044097C">
            <w:r>
              <w:rPr>
                <w:b/>
                <w:sz w:val="13"/>
              </w:rPr>
              <w:t>78 030</w:t>
            </w:r>
          </w:p>
        </w:tc>
        <w:tc>
          <w:tcPr>
            <w:tcW w:w="992" w:type="dxa"/>
          </w:tcPr>
          <w:p w14:paraId="3741402F" w14:textId="77777777" w:rsidR="00182709" w:rsidRDefault="0044097C">
            <w:r>
              <w:rPr>
                <w:b/>
                <w:sz w:val="13"/>
              </w:rPr>
              <w:t>51 539</w:t>
            </w:r>
          </w:p>
        </w:tc>
        <w:tc>
          <w:tcPr>
            <w:tcW w:w="992" w:type="dxa"/>
          </w:tcPr>
          <w:p w14:paraId="5D481F38" w14:textId="77777777" w:rsidR="00182709" w:rsidRDefault="0044097C">
            <w:r>
              <w:rPr>
                <w:b/>
                <w:sz w:val="13"/>
              </w:rPr>
              <w:t>43 109</w:t>
            </w:r>
          </w:p>
        </w:tc>
        <w:tc>
          <w:tcPr>
            <w:tcW w:w="850" w:type="dxa"/>
          </w:tcPr>
          <w:p w14:paraId="32E28082" w14:textId="77777777" w:rsidR="00182709" w:rsidRDefault="0044097C">
            <w:r>
              <w:rPr>
                <w:b/>
                <w:sz w:val="13"/>
              </w:rPr>
              <w:t>713</w:t>
            </w:r>
          </w:p>
        </w:tc>
        <w:tc>
          <w:tcPr>
            <w:tcW w:w="851" w:type="dxa"/>
          </w:tcPr>
          <w:p w14:paraId="3668DAE9" w14:textId="77777777" w:rsidR="00182709" w:rsidRDefault="0044097C">
            <w:r>
              <w:rPr>
                <w:b/>
                <w:sz w:val="13"/>
              </w:rPr>
              <w:t>1 023</w:t>
            </w:r>
          </w:p>
        </w:tc>
        <w:tc>
          <w:tcPr>
            <w:tcW w:w="709" w:type="dxa"/>
          </w:tcPr>
          <w:p w14:paraId="6FA2F4C2" w14:textId="77777777" w:rsidR="00182709" w:rsidRDefault="0044097C">
            <w:r>
              <w:rPr>
                <w:b/>
                <w:sz w:val="13"/>
              </w:rPr>
              <w:t>1 684</w:t>
            </w:r>
          </w:p>
        </w:tc>
        <w:tc>
          <w:tcPr>
            <w:tcW w:w="709" w:type="dxa"/>
          </w:tcPr>
          <w:p w14:paraId="5994A7B1" w14:textId="77777777" w:rsidR="00182709" w:rsidRDefault="0044097C">
            <w:r>
              <w:rPr>
                <w:b/>
                <w:sz w:val="13"/>
              </w:rPr>
              <w:t>4 931</w:t>
            </w:r>
          </w:p>
        </w:tc>
        <w:tc>
          <w:tcPr>
            <w:tcW w:w="779" w:type="dxa"/>
          </w:tcPr>
          <w:p w14:paraId="36F21CD3" w14:textId="77777777" w:rsidR="00182709" w:rsidRDefault="0044097C">
            <w:r>
              <w:rPr>
                <w:b/>
                <w:sz w:val="13"/>
              </w:rPr>
              <w:t>2 256</w:t>
            </w:r>
          </w:p>
        </w:tc>
        <w:tc>
          <w:tcPr>
            <w:tcW w:w="780" w:type="dxa"/>
          </w:tcPr>
          <w:p w14:paraId="0148973C" w14:textId="77777777" w:rsidR="00182709" w:rsidRDefault="0044097C">
            <w:r>
              <w:rPr>
                <w:b/>
                <w:sz w:val="13"/>
              </w:rPr>
              <w:t>4 993</w:t>
            </w:r>
          </w:p>
        </w:tc>
        <w:tc>
          <w:tcPr>
            <w:tcW w:w="616" w:type="dxa"/>
          </w:tcPr>
          <w:p w14:paraId="58DE7E56" w14:textId="77777777" w:rsidR="00182709" w:rsidRDefault="0044097C">
            <w:r>
              <w:rPr>
                <w:b/>
                <w:sz w:val="13"/>
              </w:rPr>
              <w:t>2 764</w:t>
            </w:r>
          </w:p>
        </w:tc>
        <w:tc>
          <w:tcPr>
            <w:tcW w:w="617" w:type="dxa"/>
          </w:tcPr>
          <w:p w14:paraId="6AA18328" w14:textId="77777777" w:rsidR="00182709" w:rsidRDefault="0044097C">
            <w:r>
              <w:rPr>
                <w:b/>
                <w:sz w:val="13"/>
              </w:rPr>
              <w:t>..</w:t>
            </w:r>
          </w:p>
        </w:tc>
        <w:tc>
          <w:tcPr>
            <w:tcW w:w="610" w:type="dxa"/>
          </w:tcPr>
          <w:p w14:paraId="513179A2" w14:textId="77777777" w:rsidR="00182709" w:rsidRDefault="0044097C">
            <w:r>
              <w:rPr>
                <w:b/>
                <w:sz w:val="13"/>
              </w:rPr>
              <w:t>144 314</w:t>
            </w:r>
          </w:p>
        </w:tc>
        <w:tc>
          <w:tcPr>
            <w:tcW w:w="595" w:type="dxa"/>
          </w:tcPr>
          <w:p w14:paraId="72142F77" w14:textId="460B208C" w:rsidR="00182709" w:rsidRDefault="0044097C">
            <w:r>
              <w:rPr>
                <w:b/>
                <w:sz w:val="13"/>
              </w:rPr>
              <w:t>135 607</w:t>
            </w:r>
          </w:p>
        </w:tc>
      </w:tr>
    </w:tbl>
    <w:p w14:paraId="70F0F813" w14:textId="2BAE74CC" w:rsidR="00DE643D" w:rsidRDefault="003719CD" w:rsidP="00DE643D">
      <w:pPr>
        <w:pStyle w:val="Note"/>
      </w:pPr>
      <w:r>
        <w:t>Not</w:t>
      </w:r>
      <w:r w:rsidR="00DE643D">
        <w:t>e</w:t>
      </w:r>
    </w:p>
    <w:p w14:paraId="772CD633" w14:textId="44D470A3" w:rsidR="003719CD" w:rsidRDefault="003719CD" w:rsidP="00367D84">
      <w:pPr>
        <w:pStyle w:val="Note"/>
        <w:numPr>
          <w:ilvl w:val="0"/>
          <w:numId w:val="53"/>
        </w:numPr>
      </w:pPr>
      <w:r>
        <w:t xml:space="preserve">Fair value assessments have been performed for all classes of assets in this purpose group and the decision was made that movements were not material (less than or equal to 10 per cent) for a full revaluation. The next scheduled full revaluation for this purpose group will be conducted in </w:t>
      </w:r>
      <w:fldSimple w:instr="DOCPROPERTY  YearCurrent  \* MERGEFORMAT">
        <w:r w:rsidR="00A545BA">
          <w:t>20X2</w:t>
        </w:r>
      </w:fldSimple>
      <w:r>
        <w:t>.</w:t>
      </w:r>
    </w:p>
    <w:p w14:paraId="09B1CCDF" w14:textId="77777777" w:rsidR="002D228C" w:rsidRDefault="002D228C" w:rsidP="002D228C">
      <w:pPr>
        <w:pStyle w:val="Note"/>
        <w:ind w:left="360" w:firstLine="0"/>
      </w:pPr>
    </w:p>
    <w:p w14:paraId="47143F48" w14:textId="77777777" w:rsidR="003719CD" w:rsidRDefault="003719CD" w:rsidP="00DC39DE"/>
    <w:p w14:paraId="5424C071" w14:textId="5CF20EE7" w:rsidR="002D228C" w:rsidRDefault="002D228C" w:rsidP="00432865">
      <w:pPr>
        <w:pStyle w:val="ListParagraph"/>
        <w:numPr>
          <w:ilvl w:val="0"/>
          <w:numId w:val="69"/>
        </w:numPr>
        <w:sectPr w:rsidR="002D228C" w:rsidSect="00DE643D">
          <w:headerReference w:type="even" r:id="rId86"/>
          <w:headerReference w:type="default" r:id="rId87"/>
          <w:footerReference w:type="even" r:id="rId88"/>
          <w:footerReference w:type="default" r:id="rId89"/>
          <w:pgSz w:w="16838" w:h="11906" w:orient="landscape" w:code="9"/>
          <w:pgMar w:top="1134" w:right="1134" w:bottom="1134" w:left="1134" w:header="624" w:footer="567" w:gutter="0"/>
          <w:cols w:space="708"/>
          <w:docGrid w:linePitch="360"/>
        </w:sectPr>
      </w:pPr>
    </w:p>
    <w:p w14:paraId="20F78DEA" w14:textId="211CA2CF" w:rsidR="003719CD" w:rsidRDefault="003719CD" w:rsidP="0090351C">
      <w:pPr>
        <w:pStyle w:val="GuidanceBlockHeading"/>
        <w:spacing w:before="120" w:after="80"/>
      </w:pPr>
      <w:r>
        <w:lastRenderedPageBreak/>
        <w:t>Guidance – Property, plant and equipment</w:t>
      </w:r>
      <w:r w:rsidR="00C34D39">
        <w:t xml:space="preserve"> </w:t>
      </w:r>
      <w:r w:rsidR="00C34D39" w:rsidRPr="00B53D76">
        <w:rPr>
          <w:rStyle w:val="Guidance"/>
          <w:color w:val="FFFFFF" w:themeColor="background1"/>
          <w:shd w:val="clear" w:color="auto" w:fill="7030A0"/>
        </w:rPr>
        <w:t>[REVISED]</w:t>
      </w:r>
    </w:p>
    <w:p w14:paraId="45AE6C47" w14:textId="77777777" w:rsidR="003719CD" w:rsidRPr="00CA6C04" w:rsidRDefault="003719CD" w:rsidP="007D536F">
      <w:pPr>
        <w:pStyle w:val="Heading4"/>
        <w:rPr>
          <w:rStyle w:val="Guidance"/>
        </w:rPr>
      </w:pPr>
      <w:r w:rsidRPr="00CA6C04">
        <w:rPr>
          <w:rStyle w:val="Guidance"/>
        </w:rPr>
        <w:t>Measurement of non-financial physical assets</w:t>
      </w:r>
    </w:p>
    <w:p w14:paraId="4F7CB609" w14:textId="3E7CD1E8" w:rsidR="003719CD" w:rsidRPr="00CA6C04" w:rsidRDefault="003719CD" w:rsidP="007D536F">
      <w:pPr>
        <w:rPr>
          <w:rStyle w:val="Guidance"/>
        </w:rPr>
      </w:pPr>
      <w:r w:rsidRPr="00CA6C04">
        <w:rPr>
          <w:rStyle w:val="Guidance"/>
        </w:rPr>
        <w:t xml:space="preserve">FRD 103 requires all non-financial physical assets to be subsequently measured using the revaluation model, except for certain limited circumstances, where prior written approval for certain assets was given by the </w:t>
      </w:r>
      <w:r w:rsidR="0046343B">
        <w:rPr>
          <w:rStyle w:val="Guidance"/>
        </w:rPr>
        <w:t>Minister for Finance</w:t>
      </w:r>
      <w:r w:rsidRPr="00CA6C04">
        <w:rPr>
          <w:rStyle w:val="Guidance"/>
        </w:rPr>
        <w:t xml:space="preserve"> to be measured using historical cost. These assets are phasing out or in transition towards the revaluation model.</w:t>
      </w:r>
    </w:p>
    <w:p w14:paraId="7E6053BA" w14:textId="77777777" w:rsidR="003719CD" w:rsidRPr="00CA6C04" w:rsidRDefault="003719CD" w:rsidP="007D536F">
      <w:pPr>
        <w:rPr>
          <w:rStyle w:val="Guidance"/>
        </w:rPr>
      </w:pPr>
      <w:r w:rsidRPr="00CA6C04">
        <w:rPr>
          <w:rStyle w:val="Guidance"/>
          <w:b/>
          <w:bCs/>
        </w:rPr>
        <w:t>Future generation of cash flows</w:t>
      </w:r>
      <w:r w:rsidRPr="00CA6C04">
        <w:rPr>
          <w:rStyle w:val="Guidance"/>
        </w:rPr>
        <w:t>: For assets held by not-for-profit entities where the future economic benefits of an asset are not primarily dependent on the asset’s ability to generate net cash inflows and where the entity would, if deprived of the asset, replace its remaining future economic benefits, fair value can be determined using the asset’s current replacement cost.</w:t>
      </w:r>
    </w:p>
    <w:p w14:paraId="50790C51" w14:textId="558D8BF2" w:rsidR="003719CD" w:rsidRPr="00CA6C04" w:rsidRDefault="003719CD" w:rsidP="007D536F">
      <w:pPr>
        <w:rPr>
          <w:rStyle w:val="Guidance"/>
        </w:rPr>
      </w:pPr>
      <w:r w:rsidRPr="00CA6C04">
        <w:rPr>
          <w:rStyle w:val="Guidance"/>
          <w:b/>
          <w:bCs/>
        </w:rPr>
        <w:t>Revaluations of non-financial physical assets</w:t>
      </w:r>
      <w:r w:rsidRPr="00CA6C04">
        <w:rPr>
          <w:rStyle w:val="Guidance"/>
        </w:rPr>
        <w:t>: Full revaluations shall be made with sufficient regularity to ensure the carrying amount does not differ materially from its fair value. FRD 103 determines the revaluation cycle to occur every five years</w:t>
      </w:r>
      <w:r w:rsidR="00E61678">
        <w:rPr>
          <w:rStyle w:val="Guidance"/>
        </w:rPr>
        <w:t>. The</w:t>
      </w:r>
      <w:r w:rsidRPr="00CA6C04">
        <w:rPr>
          <w:rStyle w:val="Guidance"/>
        </w:rPr>
        <w:t xml:space="preserve"> timetable for each department for revaluation of each class of asset is set out in Appendix A of this FRD. For further guidance on fair value using revaluation model, entities can refer to</w:t>
      </w:r>
      <w:r w:rsidR="008D43CC">
        <w:rPr>
          <w:rStyle w:val="Guidance"/>
        </w:rPr>
        <w:t xml:space="preserve"> </w:t>
      </w:r>
      <w:r w:rsidRPr="00CA6C04">
        <w:rPr>
          <w:rStyle w:val="Guidance"/>
        </w:rPr>
        <w:t>‘</w:t>
      </w:r>
      <w:hyperlink r:id="rId90">
        <w:r w:rsidR="001A5CA8" w:rsidRPr="2856114A">
          <w:rPr>
            <w:rStyle w:val="Hyperlink"/>
          </w:rPr>
          <w:t>Guidance on the application of FRD 103</w:t>
        </w:r>
        <w:r w:rsidR="001A5CA8" w:rsidRPr="2856114A">
          <w:rPr>
            <w:rStyle w:val="Hyperlink"/>
            <w:i/>
            <w:iCs/>
          </w:rPr>
          <w:t xml:space="preserve"> Non-financial physical assets</w:t>
        </w:r>
      </w:hyperlink>
      <w:r w:rsidR="006C7EDA" w:rsidRPr="2856114A">
        <w:rPr>
          <w:rStyle w:val="Guidance"/>
        </w:rPr>
        <w:t>’.</w:t>
      </w:r>
    </w:p>
    <w:p w14:paraId="2AF2881E" w14:textId="323E9483" w:rsidR="003719CD" w:rsidRPr="00CA6C04" w:rsidRDefault="003719CD" w:rsidP="007D536F">
      <w:pPr>
        <w:rPr>
          <w:rStyle w:val="Guidance"/>
        </w:rPr>
      </w:pPr>
      <w:r w:rsidRPr="00CA6C04">
        <w:rPr>
          <w:rStyle w:val="Guidance"/>
        </w:rPr>
        <w:t xml:space="preserve">In a financial year where a full revaluation is not required, entities are still required to conduct fair value assessments to assess whether the asset’s carrying value still materially reflects its fair value. Fair value assessments for land and buildings are determined using separate annual indices for land and buildings supplied by Valuer-General Victoria. </w:t>
      </w:r>
    </w:p>
    <w:p w14:paraId="355CA65D" w14:textId="77777777" w:rsidR="003719CD" w:rsidRDefault="003719CD" w:rsidP="007D536F">
      <w:pPr>
        <w:rPr>
          <w:rStyle w:val="Guidance"/>
        </w:rPr>
      </w:pPr>
      <w:r w:rsidRPr="00CA6C04">
        <w:rPr>
          <w:rStyle w:val="Guidance"/>
        </w:rPr>
        <w:t xml:space="preserve">Assets acquired within 12 months of the revaluation date are exempt from revaluation unless evidence exists that the asset’s carrying value does not materially reflect its fair value. </w:t>
      </w:r>
    </w:p>
    <w:p w14:paraId="6E44BAE9" w14:textId="3EDBBE53" w:rsidR="00A36B20" w:rsidRPr="00432865" w:rsidRDefault="00A36B20" w:rsidP="00A36B20">
      <w:pPr>
        <w:rPr>
          <w:rStyle w:val="Guidance"/>
          <w:i/>
          <w:iCs/>
        </w:rPr>
      </w:pPr>
      <w:r w:rsidRPr="00373841">
        <w:rPr>
          <w:rStyle w:val="Guidance"/>
        </w:rPr>
        <w:t xml:space="preserve">AASB 2022-10 </w:t>
      </w:r>
      <w:r w:rsidRPr="003F0F23">
        <w:rPr>
          <w:rStyle w:val="Guidance"/>
          <w:i/>
          <w:iCs/>
        </w:rPr>
        <w:t>Amendments to Australian Accounting Standards –</w:t>
      </w:r>
      <w:r w:rsidRPr="00373841">
        <w:rPr>
          <w:rStyle w:val="Guidance"/>
        </w:rPr>
        <w:t xml:space="preserve"> </w:t>
      </w:r>
      <w:r w:rsidRPr="00E820A7">
        <w:rPr>
          <w:rStyle w:val="Guidance"/>
          <w:i/>
          <w:iCs/>
        </w:rPr>
        <w:t>Fair Value Measurement of Non-Financial Assets of Not-for-Profit Public Sector Entities</w:t>
      </w:r>
      <w:r w:rsidRPr="00373841">
        <w:rPr>
          <w:rStyle w:val="Guidance"/>
        </w:rPr>
        <w:t xml:space="preserve"> </w:t>
      </w:r>
      <w:r w:rsidRPr="003558C3">
        <w:rPr>
          <w:rStyle w:val="Guidance"/>
        </w:rPr>
        <w:t>amended AASB 13 by adding Appendix F</w:t>
      </w:r>
      <w:r w:rsidRPr="003558C3">
        <w:rPr>
          <w:rStyle w:val="Guidance"/>
          <w:i/>
          <w:iCs/>
        </w:rPr>
        <w:t xml:space="preserve"> </w:t>
      </w:r>
      <w:r w:rsidRPr="003F0F23">
        <w:rPr>
          <w:rStyle w:val="Guidance"/>
          <w:i/>
          <w:iCs/>
        </w:rPr>
        <w:t xml:space="preserve">Australian </w:t>
      </w:r>
      <w:r w:rsidR="00A0207D">
        <w:rPr>
          <w:rStyle w:val="Guidance"/>
          <w:i/>
          <w:iCs/>
        </w:rPr>
        <w:t>implemen</w:t>
      </w:r>
      <w:r w:rsidRPr="003F0F23">
        <w:rPr>
          <w:rStyle w:val="Guidance"/>
          <w:i/>
          <w:iCs/>
        </w:rPr>
        <w:t>tation guidance for not-for-profit public sector entities</w:t>
      </w:r>
      <w:r w:rsidRPr="003558C3">
        <w:rPr>
          <w:rStyle w:val="Guidance"/>
        </w:rPr>
        <w:t xml:space="preserve">. Appendix F explains and illustrates the application of the principles in AASB 13 on developing unobservable inputs and the application of the cost approach. </w:t>
      </w:r>
      <w:r w:rsidRPr="006671F8">
        <w:rPr>
          <w:color w:val="4472C4" w:themeColor="accent1"/>
        </w:rPr>
        <w:t>These clarifications are mandatorily applicable annual reporting periods beginning on or after 1 January 2024</w:t>
      </w:r>
      <w:r w:rsidRPr="5CEA2171">
        <w:rPr>
          <w:color w:val="4472C4" w:themeColor="accent1"/>
        </w:rPr>
        <w:t>.</w:t>
      </w:r>
    </w:p>
    <w:p w14:paraId="17ABB385" w14:textId="63E6EF27" w:rsidR="001334CF" w:rsidRDefault="00DE5887" w:rsidP="5CEA2171">
      <w:pPr>
        <w:rPr>
          <w:rStyle w:val="Reference"/>
        </w:rPr>
      </w:pPr>
      <w:r w:rsidRPr="5CEA2171">
        <w:rPr>
          <w:rStyle w:val="Guidance"/>
        </w:rPr>
        <w:t>FRD 103</w:t>
      </w:r>
      <w:r w:rsidR="00601A1A" w:rsidRPr="5CEA2171">
        <w:rPr>
          <w:rStyle w:val="Guidance"/>
        </w:rPr>
        <w:t xml:space="preserve"> permits Victorian public sector</w:t>
      </w:r>
      <w:r w:rsidRPr="5CEA2171">
        <w:rPr>
          <w:rStyle w:val="Guidance"/>
        </w:rPr>
        <w:t xml:space="preserve"> entities </w:t>
      </w:r>
      <w:r w:rsidR="00601A1A" w:rsidRPr="5CEA2171">
        <w:rPr>
          <w:rStyle w:val="Guidance"/>
        </w:rPr>
        <w:t>to</w:t>
      </w:r>
      <w:r w:rsidRPr="5CEA2171">
        <w:rPr>
          <w:rStyle w:val="Guidance"/>
        </w:rPr>
        <w:t xml:space="preserve"> apply Appendix F of AASB 13 in their next scheduled </w:t>
      </w:r>
      <w:r w:rsidR="008E77B9" w:rsidRPr="5CEA2171">
        <w:rPr>
          <w:rStyle w:val="Guidance"/>
        </w:rPr>
        <w:t xml:space="preserve">formal asset </w:t>
      </w:r>
      <w:r w:rsidRPr="5CEA2171">
        <w:rPr>
          <w:rStyle w:val="Guidance"/>
        </w:rPr>
        <w:t xml:space="preserve">revaluation or interim revaluation (whichever is earlier). </w:t>
      </w:r>
      <w:r w:rsidR="00151EB4" w:rsidRPr="5CEA2171">
        <w:rPr>
          <w:rStyle w:val="Guidance"/>
        </w:rPr>
        <w:t xml:space="preserve">All annual fair value assessments thereafter must continue compliance with Appendix F. </w:t>
      </w:r>
      <w:r w:rsidR="00162468" w:rsidRPr="5CEA2171">
        <w:rPr>
          <w:rStyle w:val="Reference"/>
        </w:rPr>
        <w:t>[FRD 103.4.5A]</w:t>
      </w:r>
    </w:p>
    <w:p w14:paraId="6AFFFDC4" w14:textId="7A0BAC95" w:rsidR="00E858AF" w:rsidRDefault="00E858AF" w:rsidP="007D536F">
      <w:pPr>
        <w:rPr>
          <w:rStyle w:val="Guidance"/>
        </w:rPr>
      </w:pPr>
      <w:r>
        <w:rPr>
          <w:rStyle w:val="Guidance"/>
        </w:rPr>
        <w:t xml:space="preserve">Preparers </w:t>
      </w:r>
      <w:r w:rsidR="00033391">
        <w:rPr>
          <w:rStyle w:val="Guidance"/>
        </w:rPr>
        <w:t>should</w:t>
      </w:r>
      <w:r>
        <w:rPr>
          <w:rStyle w:val="Guidance"/>
        </w:rPr>
        <w:t xml:space="preserve"> disclose whether they have </w:t>
      </w:r>
      <w:r w:rsidR="0074350D">
        <w:rPr>
          <w:rStyle w:val="Guidance"/>
        </w:rPr>
        <w:t>a</w:t>
      </w:r>
      <w:r>
        <w:rPr>
          <w:rStyle w:val="Guidance"/>
        </w:rPr>
        <w:t xml:space="preserve">pplied </w:t>
      </w:r>
      <w:r w:rsidR="00095568">
        <w:rPr>
          <w:rStyle w:val="Guidance"/>
        </w:rPr>
        <w:t xml:space="preserve">the </w:t>
      </w:r>
      <w:r w:rsidR="00D20D86">
        <w:rPr>
          <w:rStyle w:val="Guidance"/>
        </w:rPr>
        <w:t xml:space="preserve">Appendix </w:t>
      </w:r>
      <w:r w:rsidR="008B1093">
        <w:rPr>
          <w:rStyle w:val="Guidance"/>
        </w:rPr>
        <w:t>F</w:t>
      </w:r>
      <w:r w:rsidR="00D20D86">
        <w:rPr>
          <w:rStyle w:val="Guidance"/>
        </w:rPr>
        <w:t xml:space="preserve"> </w:t>
      </w:r>
      <w:r w:rsidR="00095568">
        <w:rPr>
          <w:rStyle w:val="Guidance"/>
        </w:rPr>
        <w:t>clarification</w:t>
      </w:r>
      <w:r w:rsidR="00D20D86">
        <w:rPr>
          <w:rStyle w:val="Guidance"/>
        </w:rPr>
        <w:t>s</w:t>
      </w:r>
      <w:r w:rsidR="00095568">
        <w:rPr>
          <w:rStyle w:val="Guidance"/>
        </w:rPr>
        <w:t xml:space="preserve"> </w:t>
      </w:r>
      <w:r w:rsidR="0074350D">
        <w:rPr>
          <w:rStyle w:val="Guidance"/>
        </w:rPr>
        <w:t xml:space="preserve">in the current financial year </w:t>
      </w:r>
      <w:r w:rsidR="00095568">
        <w:rPr>
          <w:rStyle w:val="Guidance"/>
        </w:rPr>
        <w:t xml:space="preserve">and disclose the financial impact/consequences of </w:t>
      </w:r>
      <w:r w:rsidR="00BB7969">
        <w:rPr>
          <w:rStyle w:val="Guidance"/>
        </w:rPr>
        <w:t xml:space="preserve">such </w:t>
      </w:r>
      <w:r w:rsidR="00095568">
        <w:rPr>
          <w:rStyle w:val="Guidance"/>
        </w:rPr>
        <w:t>application</w:t>
      </w:r>
      <w:r w:rsidR="00217F65">
        <w:rPr>
          <w:rStyle w:val="Guidance"/>
        </w:rPr>
        <w:t xml:space="preserve"> (if any)</w:t>
      </w:r>
      <w:r w:rsidR="00095568">
        <w:rPr>
          <w:rStyle w:val="Guidance"/>
        </w:rPr>
        <w:t>.</w:t>
      </w:r>
      <w:r w:rsidR="00A36B20">
        <w:rPr>
          <w:rStyle w:val="Guidance"/>
        </w:rPr>
        <w:t xml:space="preserve"> </w:t>
      </w:r>
      <w:r w:rsidR="00352D92">
        <w:rPr>
          <w:rStyle w:val="Guidance"/>
        </w:rPr>
        <w:t>If there are no material impacts, a statement should be made to that effect. Entities may wish to include this under Section 8.3.2 Fair value determination: Non</w:t>
      </w:r>
      <w:r w:rsidR="00B53D76">
        <w:rPr>
          <w:rStyle w:val="Guidance"/>
        </w:rPr>
        <w:noBreakHyphen/>
      </w:r>
      <w:r w:rsidR="00352D92">
        <w:rPr>
          <w:rStyle w:val="Guidance"/>
        </w:rPr>
        <w:t xml:space="preserve">financial physical assets. </w:t>
      </w:r>
    </w:p>
    <w:p w14:paraId="067C9AEC" w14:textId="235D3EAE" w:rsidR="000D70E5" w:rsidRDefault="00434D62" w:rsidP="007D536F">
      <w:pPr>
        <w:rPr>
          <w:rStyle w:val="Guidance"/>
        </w:rPr>
      </w:pPr>
      <w:r>
        <w:rPr>
          <w:rStyle w:val="Guidance"/>
        </w:rPr>
        <w:t>AAS</w:t>
      </w:r>
      <w:r w:rsidR="00EF361C">
        <w:rPr>
          <w:rStyle w:val="Guidance"/>
        </w:rPr>
        <w:t>B</w:t>
      </w:r>
      <w:r>
        <w:rPr>
          <w:rStyle w:val="Guidance"/>
        </w:rPr>
        <w:t xml:space="preserve"> 2022-10 applies prospectively (in the same way as a change in accounting estimates).</w:t>
      </w:r>
      <w:r w:rsidR="000D70E5">
        <w:rPr>
          <w:rStyle w:val="Guidance"/>
        </w:rPr>
        <w:t xml:space="preserve"> In accordance with paragraphs 37-40, of AASB 108 </w:t>
      </w:r>
      <w:r w:rsidR="000D70E5">
        <w:rPr>
          <w:rStyle w:val="Guidance"/>
          <w:i/>
          <w:iCs/>
        </w:rPr>
        <w:t>Accounting Policies, Changes in Accounting Estimates and Errors</w:t>
      </w:r>
      <w:r w:rsidR="000D70E5">
        <w:rPr>
          <w:rStyle w:val="Guidance"/>
        </w:rPr>
        <w:t xml:space="preserve">, prospective application would require an entity to: </w:t>
      </w:r>
    </w:p>
    <w:p w14:paraId="398FA581" w14:textId="648E14E5" w:rsidR="000D70E5" w:rsidRDefault="000D70E5" w:rsidP="000D70E5">
      <w:pPr>
        <w:pStyle w:val="ListParagraph"/>
        <w:numPr>
          <w:ilvl w:val="0"/>
          <w:numId w:val="68"/>
        </w:numPr>
        <w:rPr>
          <w:rStyle w:val="Guidance"/>
        </w:rPr>
      </w:pPr>
      <w:r>
        <w:rPr>
          <w:rStyle w:val="Guidance"/>
        </w:rPr>
        <w:t xml:space="preserve">recognise any change in asset values by adjusting the carrying amount of the affected assets and equity items </w:t>
      </w:r>
      <w:r w:rsidR="00490953">
        <w:rPr>
          <w:rStyle w:val="Guidance"/>
        </w:rPr>
        <w:t>(e.g.:</w:t>
      </w:r>
      <w:r w:rsidR="00B53D76">
        <w:rPr>
          <w:rStyle w:val="Guidance"/>
        </w:rPr>
        <w:t> </w:t>
      </w:r>
      <w:r w:rsidR="00490953">
        <w:rPr>
          <w:rStyle w:val="Guidance"/>
        </w:rPr>
        <w:t xml:space="preserve">the corresponding revaluation reserve or profit or loss as appropriate) </w:t>
      </w:r>
      <w:r>
        <w:rPr>
          <w:rStyle w:val="Guidance"/>
        </w:rPr>
        <w:t>in the period of the change</w:t>
      </w:r>
    </w:p>
    <w:p w14:paraId="32667792" w14:textId="7D624A5F" w:rsidR="00434D62" w:rsidRDefault="000D70E5" w:rsidP="00944CB1">
      <w:pPr>
        <w:pStyle w:val="ListParagraph"/>
        <w:numPr>
          <w:ilvl w:val="0"/>
          <w:numId w:val="68"/>
        </w:numPr>
        <w:rPr>
          <w:rStyle w:val="Guidance"/>
        </w:rPr>
      </w:pPr>
      <w:r>
        <w:rPr>
          <w:rStyle w:val="Guidance"/>
        </w:rPr>
        <w:t xml:space="preserve">disclose the nature and amount of the change in asset values that has an effect in the current period or is expected to have an effect in future periods, except for the disclosure of the effect on future periods when it is impracticable to estimate that effect. </w:t>
      </w:r>
      <w:r w:rsidR="00434D62" w:rsidRPr="00944CB1">
        <w:rPr>
          <w:rStyle w:val="Reference"/>
        </w:rPr>
        <w:t>[AASB 13.BC263-266]</w:t>
      </w:r>
    </w:p>
    <w:p w14:paraId="09EF986F" w14:textId="59759D6F" w:rsidR="00240A40" w:rsidRDefault="00210D98" w:rsidP="003909CA">
      <w:pPr>
        <w:pageBreakBefore/>
        <w:rPr>
          <w:rStyle w:val="Guidance"/>
        </w:rPr>
      </w:pPr>
      <w:r>
        <w:rPr>
          <w:rStyle w:val="Guidance"/>
        </w:rPr>
        <w:lastRenderedPageBreak/>
        <w:t>R</w:t>
      </w:r>
      <w:r w:rsidR="00A65D74">
        <w:rPr>
          <w:rStyle w:val="Guidance"/>
        </w:rPr>
        <w:t xml:space="preserve">efer to </w:t>
      </w:r>
      <w:r w:rsidR="004617AA">
        <w:rPr>
          <w:rStyle w:val="Guidance"/>
        </w:rPr>
        <w:t>sample disclosure</w:t>
      </w:r>
      <w:r w:rsidR="009B1245">
        <w:rPr>
          <w:rStyle w:val="Guidance"/>
        </w:rPr>
        <w:t>s</w:t>
      </w:r>
      <w:r w:rsidR="004617AA">
        <w:rPr>
          <w:rStyle w:val="Guidance"/>
        </w:rPr>
        <w:t xml:space="preserve"> </w:t>
      </w:r>
      <w:r w:rsidR="00F612AD">
        <w:rPr>
          <w:rStyle w:val="Guidance"/>
        </w:rPr>
        <w:t xml:space="preserve">below </w:t>
      </w:r>
      <w:r w:rsidR="004617AA">
        <w:rPr>
          <w:rStyle w:val="Guidance"/>
        </w:rPr>
        <w:t xml:space="preserve">which </w:t>
      </w:r>
      <w:r w:rsidR="00F612AD">
        <w:rPr>
          <w:rStyle w:val="Guidance"/>
        </w:rPr>
        <w:t>ha</w:t>
      </w:r>
      <w:r w:rsidR="00A65498">
        <w:rPr>
          <w:rStyle w:val="Guidance"/>
        </w:rPr>
        <w:t>ve</w:t>
      </w:r>
      <w:r w:rsidR="00F612AD">
        <w:rPr>
          <w:rStyle w:val="Guidance"/>
        </w:rPr>
        <w:t xml:space="preserve"> been included </w:t>
      </w:r>
      <w:r w:rsidR="00A65498">
        <w:rPr>
          <w:rStyle w:val="Guidance"/>
        </w:rPr>
        <w:t>for</w:t>
      </w:r>
      <w:r w:rsidR="00F612AD">
        <w:rPr>
          <w:rStyle w:val="Guidance"/>
        </w:rPr>
        <w:t xml:space="preserve"> </w:t>
      </w:r>
      <w:r w:rsidR="009B1245">
        <w:rPr>
          <w:rStyle w:val="Guidance"/>
        </w:rPr>
        <w:t>guidance</w:t>
      </w:r>
      <w:r w:rsidR="00F612AD">
        <w:rPr>
          <w:rStyle w:val="Guidance"/>
        </w:rPr>
        <w:t>.</w:t>
      </w:r>
    </w:p>
    <w:tbl>
      <w:tblPr>
        <w:tblW w:w="0" w:type="auto"/>
        <w:tblBorders>
          <w:top w:val="single" w:sz="6" w:space="0" w:color="4472C4" w:themeColor="accent1"/>
          <w:left w:val="single" w:sz="6" w:space="0" w:color="4472C4" w:themeColor="accent1"/>
          <w:bottom w:val="single" w:sz="6" w:space="0" w:color="4472C4" w:themeColor="accent1"/>
          <w:right w:val="single" w:sz="6" w:space="0" w:color="4472C4" w:themeColor="accent1"/>
          <w:insideH w:val="single" w:sz="6" w:space="0" w:color="4472C4" w:themeColor="accent1"/>
          <w:insideV w:val="single" w:sz="6" w:space="0" w:color="4472C4" w:themeColor="accent1"/>
        </w:tblBorders>
        <w:tblLook w:val="04A0" w:firstRow="1" w:lastRow="0" w:firstColumn="1" w:lastColumn="0" w:noHBand="0" w:noVBand="1"/>
      </w:tblPr>
      <w:tblGrid>
        <w:gridCol w:w="3322"/>
        <w:gridCol w:w="6300"/>
      </w:tblGrid>
      <w:tr w:rsidR="0090351C" w:rsidRPr="0090351C" w14:paraId="41A9C7D5" w14:textId="77777777" w:rsidTr="003909CA">
        <w:trPr>
          <w:cantSplit/>
          <w:tblHeader/>
        </w:trPr>
        <w:tc>
          <w:tcPr>
            <w:tcW w:w="3322" w:type="dxa"/>
            <w:shd w:val="clear" w:color="auto" w:fill="4472C4" w:themeFill="accent1"/>
          </w:tcPr>
          <w:p w14:paraId="1F8460D7" w14:textId="43B659BC" w:rsidR="004B5513" w:rsidRPr="00432865" w:rsidRDefault="004B5513" w:rsidP="007D536F">
            <w:pPr>
              <w:rPr>
                <w:rStyle w:val="Guidance"/>
                <w:i/>
                <w:iCs/>
                <w:color w:val="FFFFFF" w:themeColor="background1"/>
                <w:sz w:val="17"/>
              </w:rPr>
            </w:pPr>
            <w:r w:rsidRPr="00432865">
              <w:rPr>
                <w:rStyle w:val="Guidance"/>
                <w:i/>
                <w:iCs/>
                <w:color w:val="FFFFFF" w:themeColor="background1"/>
                <w:sz w:val="17"/>
              </w:rPr>
              <w:t>Scenario</w:t>
            </w:r>
          </w:p>
        </w:tc>
        <w:tc>
          <w:tcPr>
            <w:tcW w:w="6300" w:type="dxa"/>
            <w:shd w:val="clear" w:color="auto" w:fill="4472C4" w:themeFill="accent1"/>
          </w:tcPr>
          <w:p w14:paraId="3483DC5E" w14:textId="5CF5DBD8" w:rsidR="004B5513" w:rsidRPr="00432865" w:rsidRDefault="004B5513" w:rsidP="007D536F">
            <w:pPr>
              <w:rPr>
                <w:rStyle w:val="Guidance"/>
                <w:i/>
                <w:iCs/>
                <w:color w:val="FFFFFF" w:themeColor="background1"/>
                <w:sz w:val="17"/>
              </w:rPr>
            </w:pPr>
            <w:r w:rsidRPr="00432865">
              <w:rPr>
                <w:rStyle w:val="Guidance"/>
                <w:i/>
                <w:iCs/>
                <w:color w:val="FFFFFF" w:themeColor="background1"/>
                <w:sz w:val="17"/>
              </w:rPr>
              <w:t>Sample disclosure</w:t>
            </w:r>
          </w:p>
        </w:tc>
      </w:tr>
      <w:tr w:rsidR="00A0207D" w:rsidRPr="0090351C" w14:paraId="08B2E900" w14:textId="77777777" w:rsidTr="00432865">
        <w:trPr>
          <w:cantSplit/>
        </w:trPr>
        <w:tc>
          <w:tcPr>
            <w:tcW w:w="3322" w:type="dxa"/>
          </w:tcPr>
          <w:p w14:paraId="29640D5F" w14:textId="2DA44B9F" w:rsidR="00700DC9" w:rsidRPr="003909CA" w:rsidRDefault="00A0207D" w:rsidP="0090351C">
            <w:pPr>
              <w:spacing w:before="40" w:after="40" w:line="252" w:lineRule="auto"/>
              <w:rPr>
                <w:rStyle w:val="Guidance"/>
              </w:rPr>
            </w:pPr>
            <w:r w:rsidRPr="003909CA">
              <w:rPr>
                <w:rStyle w:val="Guidance"/>
              </w:rPr>
              <w:t>Scenario 1 – The Department applied AASB 2022-10 in the current period with no material impact</w:t>
            </w:r>
          </w:p>
        </w:tc>
        <w:tc>
          <w:tcPr>
            <w:tcW w:w="6300" w:type="dxa"/>
          </w:tcPr>
          <w:p w14:paraId="7E61CAED" w14:textId="7DF224C6" w:rsidR="00A0207D" w:rsidRPr="003909CA" w:rsidRDefault="00A0207D" w:rsidP="0090351C">
            <w:pPr>
              <w:spacing w:before="40" w:after="40" w:line="252" w:lineRule="auto"/>
              <w:rPr>
                <w:rStyle w:val="Guidance"/>
              </w:rPr>
            </w:pPr>
            <w:r w:rsidRPr="00432865">
              <w:rPr>
                <w:rStyle w:val="Guidance"/>
              </w:rPr>
              <w:t xml:space="preserve">The Department applied </w:t>
            </w:r>
            <w:r w:rsidRPr="003909CA">
              <w:rPr>
                <w:rStyle w:val="Guidance"/>
              </w:rPr>
              <w:t xml:space="preserve">AASB </w:t>
            </w:r>
            <w:r w:rsidRPr="00432865">
              <w:rPr>
                <w:rStyle w:val="Guidance"/>
              </w:rPr>
              <w:t>2022-10</w:t>
            </w:r>
            <w:r w:rsidRPr="003909CA">
              <w:rPr>
                <w:rStyle w:val="Guidance"/>
              </w:rPr>
              <w:t xml:space="preserve">, including Appendix F of AASB 13 and the requirements of FRD 103 prospectively as part of the current scheduled formal revaluation process. There was no material impact </w:t>
            </w:r>
            <w:r w:rsidR="004E7C79" w:rsidRPr="003909CA">
              <w:rPr>
                <w:rStyle w:val="Guidance"/>
              </w:rPr>
              <w:t>to</w:t>
            </w:r>
            <w:r w:rsidRPr="003909CA">
              <w:rPr>
                <w:rStyle w:val="Guidance"/>
              </w:rPr>
              <w:t xml:space="preserve"> the financial statements.</w:t>
            </w:r>
          </w:p>
        </w:tc>
      </w:tr>
      <w:tr w:rsidR="00A0207D" w:rsidRPr="0090351C" w14:paraId="7B179491" w14:textId="77777777" w:rsidTr="003909CA">
        <w:trPr>
          <w:cantSplit/>
        </w:trPr>
        <w:tc>
          <w:tcPr>
            <w:tcW w:w="3322" w:type="dxa"/>
          </w:tcPr>
          <w:p w14:paraId="3DCCD090" w14:textId="0F670E25" w:rsidR="00700DC9" w:rsidRPr="003909CA" w:rsidRDefault="00A0207D" w:rsidP="0090351C">
            <w:pPr>
              <w:spacing w:before="40" w:after="40" w:line="252" w:lineRule="auto"/>
              <w:rPr>
                <w:rStyle w:val="Guidance"/>
              </w:rPr>
            </w:pPr>
            <w:r w:rsidRPr="003909CA">
              <w:rPr>
                <w:rStyle w:val="Guidance"/>
              </w:rPr>
              <w:t xml:space="preserve">Scenario 2 – The Department applied AASB 2022-10 in the current period resulting in a material impact </w:t>
            </w:r>
          </w:p>
        </w:tc>
        <w:tc>
          <w:tcPr>
            <w:tcW w:w="6300" w:type="dxa"/>
          </w:tcPr>
          <w:p w14:paraId="7569E8DE" w14:textId="28DA1A7C" w:rsidR="00A0207D" w:rsidRPr="003909CA" w:rsidRDefault="00A0207D" w:rsidP="0090351C">
            <w:pPr>
              <w:spacing w:before="40" w:after="40" w:line="252" w:lineRule="auto"/>
              <w:rPr>
                <w:rStyle w:val="Guidance"/>
              </w:rPr>
            </w:pPr>
            <w:r w:rsidRPr="003909CA">
              <w:rPr>
                <w:rStyle w:val="Guidance"/>
              </w:rPr>
              <w:t xml:space="preserve">The Department applied AASB 2022-10, including Appendix F of AASB 13 and the requirements of FRD 103 </w:t>
            </w:r>
            <w:r w:rsidR="001F597B" w:rsidRPr="003909CA">
              <w:rPr>
                <w:rStyle w:val="Guidance"/>
              </w:rPr>
              <w:t>prospectively</w:t>
            </w:r>
            <w:r w:rsidRPr="003909CA">
              <w:rPr>
                <w:rStyle w:val="Guidance"/>
              </w:rPr>
              <w:t xml:space="preserve"> as part of the current scheduled formal revaluation process. This resulted in an increase of $650m in the property, plant and equipment balance and physical asset revaluation surplus in the current period. </w:t>
            </w:r>
          </w:p>
        </w:tc>
      </w:tr>
      <w:tr w:rsidR="004B5513" w:rsidRPr="0090351C" w14:paraId="190962BE" w14:textId="77777777" w:rsidTr="003909CA">
        <w:trPr>
          <w:cantSplit/>
        </w:trPr>
        <w:tc>
          <w:tcPr>
            <w:tcW w:w="3322" w:type="dxa"/>
          </w:tcPr>
          <w:p w14:paraId="253BF3C7" w14:textId="56283FB8" w:rsidR="00700DC9" w:rsidRPr="003909CA" w:rsidRDefault="004B5513" w:rsidP="0090351C">
            <w:pPr>
              <w:spacing w:before="40" w:after="40" w:line="252" w:lineRule="auto"/>
              <w:rPr>
                <w:rStyle w:val="Guidance"/>
              </w:rPr>
            </w:pPr>
            <w:r w:rsidRPr="003909CA">
              <w:rPr>
                <w:rStyle w:val="Guidance"/>
              </w:rPr>
              <w:t xml:space="preserve">Scenario 3 – </w:t>
            </w:r>
            <w:r w:rsidR="00A0207D" w:rsidRPr="003909CA">
              <w:rPr>
                <w:rStyle w:val="Guidance"/>
              </w:rPr>
              <w:t xml:space="preserve">The </w:t>
            </w:r>
            <w:r w:rsidRPr="003909CA">
              <w:rPr>
                <w:rStyle w:val="Guidance"/>
              </w:rPr>
              <w:t>Department will apply AASB 2022-10 in future years in accordance with FRD 103</w:t>
            </w:r>
          </w:p>
        </w:tc>
        <w:tc>
          <w:tcPr>
            <w:tcW w:w="6300" w:type="dxa"/>
          </w:tcPr>
          <w:p w14:paraId="0803E8DF" w14:textId="6418BFA6" w:rsidR="004B5513" w:rsidRPr="003909CA" w:rsidRDefault="004B5513" w:rsidP="0090351C">
            <w:pPr>
              <w:spacing w:before="40" w:after="40" w:line="252" w:lineRule="auto"/>
              <w:rPr>
                <w:rStyle w:val="Guidance"/>
              </w:rPr>
            </w:pPr>
            <w:r w:rsidRPr="003909CA">
              <w:rPr>
                <w:rStyle w:val="Guidance"/>
              </w:rPr>
              <w:t xml:space="preserve">In accordance with FRD 103, the Department will apply Appendix F </w:t>
            </w:r>
            <w:r w:rsidR="00FB4471" w:rsidRPr="003909CA">
              <w:rPr>
                <w:rStyle w:val="Guidance"/>
              </w:rPr>
              <w:t>of AASB</w:t>
            </w:r>
            <w:r w:rsidR="003909CA">
              <w:rPr>
                <w:rStyle w:val="Guidance"/>
              </w:rPr>
              <w:t> </w:t>
            </w:r>
            <w:r w:rsidR="00FB4471" w:rsidRPr="003909CA">
              <w:rPr>
                <w:rStyle w:val="Guidance"/>
              </w:rPr>
              <w:t xml:space="preserve">13 </w:t>
            </w:r>
            <w:r w:rsidRPr="003909CA">
              <w:rPr>
                <w:rStyle w:val="Guidance"/>
              </w:rPr>
              <w:t>prospectively in its next scheduled formal revaluation in 20X</w:t>
            </w:r>
            <w:r w:rsidR="003534A8" w:rsidRPr="003909CA">
              <w:rPr>
                <w:rStyle w:val="Guidance"/>
              </w:rPr>
              <w:t>5</w:t>
            </w:r>
            <w:r w:rsidRPr="003909CA">
              <w:rPr>
                <w:rStyle w:val="Guidance"/>
              </w:rPr>
              <w:t xml:space="preserve"> or interim revaluation process (whichever is earlier). </w:t>
            </w:r>
            <w:r w:rsidR="00893944" w:rsidRPr="003909CA">
              <w:rPr>
                <w:rStyle w:val="Guidance"/>
              </w:rPr>
              <w:t>[Depending on the assessment of the impacts of the amendment, entities should disclose the estimated impact. In case the impact is not known or reasonably estimable, a statement to that effect].</w:t>
            </w:r>
          </w:p>
        </w:tc>
      </w:tr>
    </w:tbl>
    <w:p w14:paraId="3E6711DB" w14:textId="27D99C70" w:rsidR="003719CD" w:rsidRPr="00CA6C04" w:rsidRDefault="003719CD" w:rsidP="007D536F">
      <w:pPr>
        <w:rPr>
          <w:rStyle w:val="Guidance"/>
        </w:rPr>
      </w:pPr>
      <w:r w:rsidRPr="00CA6C04">
        <w:rPr>
          <w:rStyle w:val="Guidance"/>
          <w:b/>
          <w:bCs/>
        </w:rPr>
        <w:t>Treatment of accumulated depreciation on revaluation</w:t>
      </w:r>
      <w:r w:rsidRPr="00CA6C04">
        <w:rPr>
          <w:rStyle w:val="Guidance"/>
        </w:rPr>
        <w:t>: To ensure consistency on a whole of State reporting basis, FRD 103 requires that when non-financial physical assets are revalued, an entity is to account for the accumulated depreciation at the date of the revaluation by eliminating the accumulated depreciation balance against the gross carrying amount of the asset and increasing the net carrying amount to the revalued amount of the asset (net approach).</w:t>
      </w:r>
    </w:p>
    <w:p w14:paraId="1324D0C2" w14:textId="77777777" w:rsidR="003719CD" w:rsidRPr="00CA6C04" w:rsidRDefault="003719CD" w:rsidP="007D536F">
      <w:pPr>
        <w:rPr>
          <w:rStyle w:val="Guidance"/>
        </w:rPr>
      </w:pPr>
      <w:r w:rsidRPr="00CA6C04">
        <w:rPr>
          <w:rStyle w:val="Guidance"/>
          <w:b/>
          <w:bCs/>
        </w:rPr>
        <w:t>Depreciation</w:t>
      </w:r>
      <w:r w:rsidRPr="00CA6C04">
        <w:rPr>
          <w:rStyle w:val="Guidance"/>
        </w:rPr>
        <w:t xml:space="preserve">: To align with whole of government reporting under AASB 1049, the consumption of physical or intangible produced assets by wear or overtime is classified as a transaction depreciation expense. The consumption of intangible non-produced assets is classified as an amortisation expense in the other economic flows. </w:t>
      </w:r>
    </w:p>
    <w:p w14:paraId="06695FEC" w14:textId="77777777" w:rsidR="003719CD" w:rsidRPr="00CA6C04" w:rsidRDefault="003719CD" w:rsidP="007D536F">
      <w:pPr>
        <w:rPr>
          <w:rStyle w:val="Guidance"/>
        </w:rPr>
      </w:pPr>
      <w:r w:rsidRPr="00CA6C04">
        <w:rPr>
          <w:rStyle w:val="Guidance"/>
        </w:rPr>
        <w:t xml:space="preserve">The depreciation method used shall reflect the pattern in which the asset’s future economic benefits are expected to be consumed by the entity. </w:t>
      </w:r>
      <w:r w:rsidRPr="00CA6C04">
        <w:rPr>
          <w:rStyle w:val="Reference"/>
        </w:rPr>
        <w:t>[AASB 116.60]</w:t>
      </w:r>
    </w:p>
    <w:p w14:paraId="1391921D" w14:textId="77777777" w:rsidR="003719CD" w:rsidRPr="00CA6C04" w:rsidRDefault="003719CD" w:rsidP="007D536F">
      <w:pPr>
        <w:rPr>
          <w:rStyle w:val="Guidance"/>
        </w:rPr>
      </w:pPr>
      <w:r w:rsidRPr="00CA6C04">
        <w:rPr>
          <w:rStyle w:val="Guidance"/>
        </w:rPr>
        <w:t xml:space="preserve">Depreciation rates and methods shall be reviewed at least annually and, where changed, shall be accounted for as a change in accounting estimate. Where depreciation rates or methods are changed, the net written down value of the asset is depreciated from the date of the change in accordance with the new depreciation rate or method. Depreciation recognised in prior financial years shall not be changed, that is, the change in depreciation rate or method shall be accounted for on a prospective basis. </w:t>
      </w:r>
      <w:r w:rsidRPr="00CA6C04">
        <w:rPr>
          <w:rStyle w:val="Reference"/>
        </w:rPr>
        <w:t>[AASB 116.51, 61]</w:t>
      </w:r>
    </w:p>
    <w:p w14:paraId="529F30E9" w14:textId="77777777" w:rsidR="003719CD" w:rsidRDefault="003719CD" w:rsidP="007D536F">
      <w:pPr>
        <w:pStyle w:val="GuidanceEnd"/>
      </w:pPr>
    </w:p>
    <w:p w14:paraId="1F50FB19" w14:textId="77777777" w:rsidR="0009452B" w:rsidRDefault="0009452B">
      <w:pPr>
        <w:keepLines w:val="0"/>
        <w:rPr>
          <w:rFonts w:asciiTheme="majorHAnsi" w:eastAsiaTheme="majorEastAsia" w:hAnsiTheme="majorHAnsi" w:cstheme="majorBidi"/>
          <w:b/>
          <w:sz w:val="26"/>
          <w:szCs w:val="26"/>
        </w:rPr>
      </w:pPr>
      <w:bookmarkStart w:id="58" w:name="_Toc96704904"/>
      <w:bookmarkStart w:id="59" w:name="_Toc64983156"/>
      <w:r>
        <w:br w:type="page"/>
      </w:r>
    </w:p>
    <w:p w14:paraId="40243456" w14:textId="208166C9" w:rsidR="003719CD" w:rsidRDefault="003719CD" w:rsidP="00A80494">
      <w:pPr>
        <w:pStyle w:val="Heading2numbered"/>
      </w:pPr>
      <w:bookmarkStart w:id="60" w:name="_Toc130225965"/>
      <w:r>
        <w:lastRenderedPageBreak/>
        <w:t>Investment properties</w:t>
      </w:r>
      <w:bookmarkEnd w:id="58"/>
      <w:bookmarkEnd w:id="59"/>
      <w:bookmarkEnd w:id="60"/>
    </w:p>
    <w:p w14:paraId="47F88AF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B53D76" w14:paraId="46D6AF37" w14:textId="77777777" w:rsidTr="00B53D76">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4B810B81" w14:textId="77777777" w:rsidR="00B53D76" w:rsidRDefault="00B53D76" w:rsidP="00B53D76">
            <w:pPr>
              <w:keepNext/>
              <w:jc w:val="left"/>
            </w:pPr>
            <w:r>
              <w:rPr>
                <w:color w:val="4472C4"/>
                <w:sz w:val="13"/>
              </w:rPr>
              <w:t>Source reference</w:t>
            </w:r>
          </w:p>
        </w:tc>
        <w:tc>
          <w:tcPr>
            <w:tcW w:w="6558" w:type="dxa"/>
          </w:tcPr>
          <w:p w14:paraId="30A3217E" w14:textId="77777777" w:rsidR="00B53D76" w:rsidRDefault="00B53D76" w:rsidP="00B53D76">
            <w:pPr>
              <w:keepNext/>
              <w:jc w:val="left"/>
            </w:pPr>
          </w:p>
        </w:tc>
        <w:tc>
          <w:tcPr>
            <w:tcW w:w="866" w:type="dxa"/>
          </w:tcPr>
          <w:p w14:paraId="7D489924" w14:textId="2720A067" w:rsidR="00B53D76" w:rsidRPr="00B53D76" w:rsidRDefault="00B53D76" w:rsidP="00B53D76">
            <w:pPr>
              <w:keepNext/>
            </w:pPr>
            <w:fldSimple w:instr="DOCPROPERTY  YearCurrent \* MERGEFORMAT">
              <w:r w:rsidRPr="00B53D76">
                <w:t>20X2</w:t>
              </w:r>
            </w:fldSimple>
          </w:p>
        </w:tc>
        <w:tc>
          <w:tcPr>
            <w:tcW w:w="866" w:type="dxa"/>
          </w:tcPr>
          <w:p w14:paraId="6527E706" w14:textId="539255EF" w:rsidR="00B53D76" w:rsidRPr="00B53D76" w:rsidRDefault="00B53D76" w:rsidP="00B53D76">
            <w:pPr>
              <w:keepNext/>
            </w:pPr>
            <w:fldSimple w:instr="DOCPROPERTY  YearPrevious  \* MERGEFORMAT">
              <w:r w:rsidRPr="00B53D76">
                <w:t>20X1</w:t>
              </w:r>
            </w:fldSimple>
          </w:p>
        </w:tc>
      </w:tr>
      <w:tr w:rsidR="00182709" w14:paraId="70749764" w14:textId="77777777" w:rsidTr="00B53D76">
        <w:tc>
          <w:tcPr>
            <w:tcW w:w="1349" w:type="dxa"/>
          </w:tcPr>
          <w:p w14:paraId="350CA93F" w14:textId="77777777" w:rsidR="00182709" w:rsidRDefault="0044097C">
            <w:pPr>
              <w:jc w:val="left"/>
            </w:pPr>
            <w:r>
              <w:rPr>
                <w:color w:val="4472C4"/>
                <w:sz w:val="13"/>
              </w:rPr>
              <w:t>AASB 140.76</w:t>
            </w:r>
          </w:p>
        </w:tc>
        <w:tc>
          <w:tcPr>
            <w:tcW w:w="6558" w:type="dxa"/>
          </w:tcPr>
          <w:p w14:paraId="41C5AEAD" w14:textId="77777777" w:rsidR="00182709" w:rsidRDefault="0044097C">
            <w:pPr>
              <w:jc w:val="left"/>
              <w:rPr>
                <w:b/>
              </w:rPr>
            </w:pPr>
            <w:r>
              <w:rPr>
                <w:b/>
              </w:rPr>
              <w:t>Balance at beginning of financial year</w:t>
            </w:r>
          </w:p>
        </w:tc>
        <w:tc>
          <w:tcPr>
            <w:tcW w:w="866" w:type="dxa"/>
          </w:tcPr>
          <w:p w14:paraId="57CB060D" w14:textId="77777777" w:rsidR="00182709" w:rsidRDefault="0044097C">
            <w:r>
              <w:rPr>
                <w:b/>
              </w:rPr>
              <w:t>5 029</w:t>
            </w:r>
          </w:p>
        </w:tc>
        <w:tc>
          <w:tcPr>
            <w:tcW w:w="866" w:type="dxa"/>
          </w:tcPr>
          <w:p w14:paraId="22B40D72" w14:textId="77777777" w:rsidR="00182709" w:rsidRDefault="0044097C">
            <w:r>
              <w:rPr>
                <w:b/>
              </w:rPr>
              <w:t>5 233</w:t>
            </w:r>
          </w:p>
        </w:tc>
      </w:tr>
      <w:tr w:rsidR="00182709" w14:paraId="6384F782" w14:textId="77777777" w:rsidTr="00B53D76">
        <w:tc>
          <w:tcPr>
            <w:tcW w:w="1349" w:type="dxa"/>
          </w:tcPr>
          <w:p w14:paraId="43E0D462" w14:textId="3E7E6C72" w:rsidR="00182709" w:rsidRDefault="0044097C">
            <w:pPr>
              <w:jc w:val="left"/>
            </w:pPr>
            <w:r>
              <w:rPr>
                <w:color w:val="4472C4"/>
                <w:sz w:val="13"/>
              </w:rPr>
              <w:t>AASB 140.76 (a)</w:t>
            </w:r>
          </w:p>
        </w:tc>
        <w:tc>
          <w:tcPr>
            <w:tcW w:w="6558" w:type="dxa"/>
          </w:tcPr>
          <w:p w14:paraId="23409396" w14:textId="77777777" w:rsidR="00182709" w:rsidRDefault="0044097C">
            <w:pPr>
              <w:jc w:val="left"/>
            </w:pPr>
            <w:r>
              <w:t>Additions from subsequent expenditure</w:t>
            </w:r>
          </w:p>
        </w:tc>
        <w:tc>
          <w:tcPr>
            <w:tcW w:w="866" w:type="dxa"/>
          </w:tcPr>
          <w:p w14:paraId="7F6AAF1D" w14:textId="77777777" w:rsidR="00182709" w:rsidRDefault="0044097C">
            <w:r>
              <w:t>282</w:t>
            </w:r>
          </w:p>
        </w:tc>
        <w:tc>
          <w:tcPr>
            <w:tcW w:w="866" w:type="dxa"/>
          </w:tcPr>
          <w:p w14:paraId="3ACCF2A2" w14:textId="77777777" w:rsidR="00182709" w:rsidRDefault="0044097C">
            <w:r>
              <w:t>1 838</w:t>
            </w:r>
          </w:p>
        </w:tc>
      </w:tr>
      <w:tr w:rsidR="00182709" w14:paraId="70B258B5" w14:textId="77777777" w:rsidTr="00B53D76">
        <w:tc>
          <w:tcPr>
            <w:tcW w:w="1349" w:type="dxa"/>
          </w:tcPr>
          <w:p w14:paraId="7F181B14" w14:textId="77777777" w:rsidR="00182709" w:rsidRDefault="0044097C">
            <w:pPr>
              <w:jc w:val="left"/>
            </w:pPr>
            <w:r>
              <w:rPr>
                <w:color w:val="4472C4"/>
                <w:sz w:val="13"/>
              </w:rPr>
              <w:t>AASB 140.76 (b)</w:t>
            </w:r>
          </w:p>
        </w:tc>
        <w:tc>
          <w:tcPr>
            <w:tcW w:w="6558" w:type="dxa"/>
          </w:tcPr>
          <w:p w14:paraId="5AD3BAD6" w14:textId="77777777" w:rsidR="00182709" w:rsidRDefault="0044097C">
            <w:pPr>
              <w:jc w:val="left"/>
            </w:pPr>
            <w:r>
              <w:t>Acquisitions/transfers in of businesses</w:t>
            </w:r>
          </w:p>
        </w:tc>
        <w:tc>
          <w:tcPr>
            <w:tcW w:w="866" w:type="dxa"/>
          </w:tcPr>
          <w:p w14:paraId="07B3853A" w14:textId="77777777" w:rsidR="00182709" w:rsidRDefault="0044097C">
            <w:r>
              <w:t>1 287</w:t>
            </w:r>
          </w:p>
        </w:tc>
        <w:tc>
          <w:tcPr>
            <w:tcW w:w="866" w:type="dxa"/>
          </w:tcPr>
          <w:p w14:paraId="0D0AC19D" w14:textId="77777777" w:rsidR="00182709" w:rsidRDefault="0044097C">
            <w:r>
              <w:t>..</w:t>
            </w:r>
          </w:p>
        </w:tc>
      </w:tr>
      <w:tr w:rsidR="00182709" w14:paraId="75C1FC30" w14:textId="77777777" w:rsidTr="00B53D76">
        <w:tc>
          <w:tcPr>
            <w:tcW w:w="1349" w:type="dxa"/>
          </w:tcPr>
          <w:p w14:paraId="05020C32" w14:textId="77777777" w:rsidR="00182709" w:rsidRDefault="0044097C">
            <w:pPr>
              <w:jc w:val="left"/>
            </w:pPr>
            <w:r>
              <w:rPr>
                <w:color w:val="4472C4"/>
                <w:sz w:val="13"/>
              </w:rPr>
              <w:t>AASB 140.76 (c)</w:t>
            </w:r>
          </w:p>
        </w:tc>
        <w:tc>
          <w:tcPr>
            <w:tcW w:w="6558" w:type="dxa"/>
          </w:tcPr>
          <w:p w14:paraId="3A9A9821" w14:textId="77777777" w:rsidR="00182709" w:rsidRDefault="0044097C">
            <w:pPr>
              <w:jc w:val="left"/>
            </w:pPr>
            <w:r>
              <w:t>Disposals and property held for sale</w:t>
            </w:r>
          </w:p>
        </w:tc>
        <w:tc>
          <w:tcPr>
            <w:tcW w:w="866" w:type="dxa"/>
          </w:tcPr>
          <w:p w14:paraId="57CB0C25" w14:textId="77777777" w:rsidR="00182709" w:rsidRDefault="0044097C">
            <w:r>
              <w:t>(1 822)</w:t>
            </w:r>
          </w:p>
        </w:tc>
        <w:tc>
          <w:tcPr>
            <w:tcW w:w="866" w:type="dxa"/>
          </w:tcPr>
          <w:p w14:paraId="239DBF56" w14:textId="77777777" w:rsidR="00182709" w:rsidRDefault="0044097C">
            <w:r>
              <w:t>(998)</w:t>
            </w:r>
          </w:p>
        </w:tc>
      </w:tr>
      <w:tr w:rsidR="00182709" w14:paraId="20DE3477" w14:textId="77777777" w:rsidTr="00B53D76">
        <w:tc>
          <w:tcPr>
            <w:tcW w:w="1349" w:type="dxa"/>
          </w:tcPr>
          <w:p w14:paraId="2DF4B540" w14:textId="77777777" w:rsidR="00182709" w:rsidRDefault="0044097C">
            <w:pPr>
              <w:jc w:val="left"/>
            </w:pPr>
            <w:r>
              <w:rPr>
                <w:color w:val="4472C4"/>
                <w:sz w:val="13"/>
              </w:rPr>
              <w:t>AASB 140.76 (d)</w:t>
            </w:r>
          </w:p>
        </w:tc>
        <w:tc>
          <w:tcPr>
            <w:tcW w:w="6558" w:type="dxa"/>
          </w:tcPr>
          <w:p w14:paraId="1FDA1CD0" w14:textId="77777777" w:rsidR="00182709" w:rsidRDefault="0044097C">
            <w:pPr>
              <w:jc w:val="left"/>
            </w:pPr>
            <w:r>
              <w:t>Net gain/(loss) from fair value adjustments</w:t>
            </w:r>
          </w:p>
        </w:tc>
        <w:tc>
          <w:tcPr>
            <w:tcW w:w="866" w:type="dxa"/>
          </w:tcPr>
          <w:p w14:paraId="0D9012C2" w14:textId="77777777" w:rsidR="00182709" w:rsidRDefault="0044097C">
            <w:r>
              <w:t>(3 485)</w:t>
            </w:r>
          </w:p>
        </w:tc>
        <w:tc>
          <w:tcPr>
            <w:tcW w:w="866" w:type="dxa"/>
          </w:tcPr>
          <w:p w14:paraId="6B2C62FB" w14:textId="77777777" w:rsidR="00182709" w:rsidRDefault="0044097C">
            <w:r>
              <w:t>450</w:t>
            </w:r>
          </w:p>
        </w:tc>
      </w:tr>
      <w:tr w:rsidR="00182709" w14:paraId="3C77BE4E" w14:textId="77777777" w:rsidTr="00B53D76">
        <w:tc>
          <w:tcPr>
            <w:tcW w:w="1349" w:type="dxa"/>
          </w:tcPr>
          <w:p w14:paraId="078F87AF" w14:textId="77777777" w:rsidR="00182709" w:rsidRDefault="0044097C">
            <w:pPr>
              <w:jc w:val="left"/>
            </w:pPr>
            <w:r>
              <w:rPr>
                <w:color w:val="4472C4"/>
                <w:sz w:val="13"/>
              </w:rPr>
              <w:t>AASB 140.76 (f)</w:t>
            </w:r>
          </w:p>
        </w:tc>
        <w:tc>
          <w:tcPr>
            <w:tcW w:w="6558" w:type="dxa"/>
          </w:tcPr>
          <w:p w14:paraId="2854FEDF" w14:textId="77777777" w:rsidR="00182709" w:rsidRDefault="0044097C">
            <w:pPr>
              <w:jc w:val="left"/>
            </w:pPr>
            <w:r>
              <w:t>Transfers to owner occupied</w:t>
            </w:r>
          </w:p>
        </w:tc>
        <w:tc>
          <w:tcPr>
            <w:tcW w:w="866" w:type="dxa"/>
          </w:tcPr>
          <w:p w14:paraId="5FC270A0" w14:textId="77777777" w:rsidR="00182709" w:rsidRDefault="0044097C">
            <w:r>
              <w:t>..</w:t>
            </w:r>
          </w:p>
        </w:tc>
        <w:tc>
          <w:tcPr>
            <w:tcW w:w="866" w:type="dxa"/>
          </w:tcPr>
          <w:p w14:paraId="41678C22" w14:textId="77777777" w:rsidR="00182709" w:rsidRDefault="0044097C">
            <w:r>
              <w:t>(1 494)</w:t>
            </w:r>
          </w:p>
        </w:tc>
      </w:tr>
      <w:tr w:rsidR="00182709" w14:paraId="75506C33" w14:textId="77777777" w:rsidTr="00B53D76">
        <w:tc>
          <w:tcPr>
            <w:tcW w:w="1349" w:type="dxa"/>
          </w:tcPr>
          <w:p w14:paraId="58CC9AE3" w14:textId="77777777" w:rsidR="00182709" w:rsidRDefault="0044097C">
            <w:pPr>
              <w:jc w:val="left"/>
            </w:pPr>
            <w:r>
              <w:rPr>
                <w:color w:val="4472C4"/>
                <w:sz w:val="13"/>
              </w:rPr>
              <w:t>AASB 140.76 (f)</w:t>
            </w:r>
          </w:p>
        </w:tc>
        <w:tc>
          <w:tcPr>
            <w:tcW w:w="6558" w:type="dxa"/>
            <w:tcBorders>
              <w:bottom w:val="single" w:sz="12" w:space="0" w:color="auto"/>
            </w:tcBorders>
          </w:tcPr>
          <w:p w14:paraId="3C5EED87" w14:textId="77777777" w:rsidR="00182709" w:rsidRDefault="0044097C">
            <w:pPr>
              <w:jc w:val="left"/>
            </w:pPr>
            <w:r>
              <w:t>Transfers to investment property</w:t>
            </w:r>
          </w:p>
        </w:tc>
        <w:tc>
          <w:tcPr>
            <w:tcW w:w="866" w:type="dxa"/>
            <w:tcBorders>
              <w:bottom w:val="single" w:sz="12" w:space="0" w:color="auto"/>
            </w:tcBorders>
          </w:tcPr>
          <w:p w14:paraId="20CB1F93" w14:textId="77777777" w:rsidR="00182709" w:rsidRDefault="0044097C">
            <w:r>
              <w:t>1 063</w:t>
            </w:r>
          </w:p>
        </w:tc>
        <w:tc>
          <w:tcPr>
            <w:tcW w:w="866" w:type="dxa"/>
            <w:tcBorders>
              <w:bottom w:val="single" w:sz="12" w:space="0" w:color="auto"/>
            </w:tcBorders>
          </w:tcPr>
          <w:p w14:paraId="2B87017A" w14:textId="77777777" w:rsidR="00182709" w:rsidRDefault="0044097C">
            <w:r>
              <w:t>..</w:t>
            </w:r>
          </w:p>
        </w:tc>
      </w:tr>
      <w:tr w:rsidR="00671D55" w14:paraId="0D05917C" w14:textId="77777777" w:rsidTr="00B53D76">
        <w:tc>
          <w:tcPr>
            <w:tcW w:w="1349" w:type="dxa"/>
            <w:tcBorders>
              <w:bottom w:val="nil"/>
            </w:tcBorders>
          </w:tcPr>
          <w:p w14:paraId="2953DA4A" w14:textId="77777777" w:rsidR="00182709" w:rsidRDefault="00182709">
            <w:pPr>
              <w:jc w:val="left"/>
            </w:pPr>
          </w:p>
        </w:tc>
        <w:tc>
          <w:tcPr>
            <w:tcW w:w="6558" w:type="dxa"/>
          </w:tcPr>
          <w:p w14:paraId="10EA02CE" w14:textId="77777777" w:rsidR="00182709" w:rsidRDefault="0044097C">
            <w:pPr>
              <w:jc w:val="left"/>
              <w:rPr>
                <w:b/>
              </w:rPr>
            </w:pPr>
            <w:r>
              <w:rPr>
                <w:b/>
              </w:rPr>
              <w:t>Balance at end of financial year</w:t>
            </w:r>
          </w:p>
        </w:tc>
        <w:tc>
          <w:tcPr>
            <w:tcW w:w="866" w:type="dxa"/>
          </w:tcPr>
          <w:p w14:paraId="7C7A5BF8" w14:textId="77777777" w:rsidR="00182709" w:rsidRDefault="0044097C">
            <w:r>
              <w:rPr>
                <w:b/>
              </w:rPr>
              <w:t>2 354</w:t>
            </w:r>
          </w:p>
        </w:tc>
        <w:tc>
          <w:tcPr>
            <w:tcW w:w="866" w:type="dxa"/>
          </w:tcPr>
          <w:p w14:paraId="7D272FB4" w14:textId="77777777" w:rsidR="00182709" w:rsidRDefault="0044097C">
            <w:r>
              <w:rPr>
                <w:b/>
              </w:rPr>
              <w:t>5 029</w:t>
            </w:r>
          </w:p>
        </w:tc>
      </w:tr>
    </w:tbl>
    <w:p w14:paraId="78E992B2" w14:textId="4998470F" w:rsidR="003719CD" w:rsidRDefault="003719CD" w:rsidP="00DC39DE">
      <w:r w:rsidRPr="00CF070E">
        <w:rPr>
          <w:b/>
          <w:bCs/>
        </w:rPr>
        <w:t>Investment properties</w:t>
      </w:r>
      <w:r>
        <w:t xml:space="preserve"> represent properties held to earn rentals or for capital appreciation, or both. Investment properties exclude properties held to meet service delivery objectives of the Department. Investment properties are initially recognised at cost. Costs incurred subsequent to </w:t>
      </w:r>
      <w:r w:rsidR="001A5CA8">
        <w:t xml:space="preserve">the </w:t>
      </w:r>
      <w:r>
        <w:t xml:space="preserve">initial acquisition are capitalised when it is probable that future economic benefits in excess of the originally assessed performance of the asset will flow to the Department. </w:t>
      </w:r>
    </w:p>
    <w:p w14:paraId="33AD9EAA" w14:textId="2C100AFC" w:rsidR="003719CD" w:rsidRDefault="003719CD" w:rsidP="00DC39DE">
      <w:r>
        <w:t xml:space="preserve">Subsequent to initial recognition at cost, investment properties are revalued to fair value with changes in the fair value recognised as other economic flows in the comprehensive operating statement in the period that they arise. Fair values are determined based on a market comparable approach that reflects recent transaction prices for similar properties. These properties are neither depreciated nor tested for impairment. </w:t>
      </w:r>
      <w:r w:rsidRPr="008841F0">
        <w:rPr>
          <w:rStyle w:val="Reference"/>
        </w:rPr>
        <w:t>[AASB 140.20, 140.30, 140.32A, 140.33, 140.75; FRD</w:t>
      </w:r>
      <w:r>
        <w:rPr>
          <w:rStyle w:val="Reference"/>
        </w:rPr>
        <w:t> </w:t>
      </w:r>
      <w:r w:rsidRPr="008841F0">
        <w:rPr>
          <w:rStyle w:val="Reference"/>
        </w:rPr>
        <w:t>107]</w:t>
      </w:r>
    </w:p>
    <w:p w14:paraId="26ACBE18" w14:textId="77777777" w:rsidR="003719CD" w:rsidRDefault="003719CD" w:rsidP="00DC39DE"/>
    <w:p w14:paraId="4C056C7E" w14:textId="77777777" w:rsidR="003719CD" w:rsidRDefault="003719CD" w:rsidP="007D536F">
      <w:pPr>
        <w:pStyle w:val="GuidanceBlockHeading"/>
      </w:pPr>
      <w:r>
        <w:t>Guidance – Investment properties</w:t>
      </w:r>
    </w:p>
    <w:p w14:paraId="07200C72" w14:textId="77777777" w:rsidR="003719CD" w:rsidRPr="00082E7A" w:rsidRDefault="003719CD" w:rsidP="007D536F">
      <w:pPr>
        <w:rPr>
          <w:rStyle w:val="Guidance"/>
        </w:rPr>
      </w:pPr>
      <w:r w:rsidRPr="00082E7A">
        <w:rPr>
          <w:rStyle w:val="Guidance"/>
          <w:b/>
          <w:bCs/>
        </w:rPr>
        <w:t>Property held to meet service delivery objectives</w:t>
      </w:r>
      <w:r w:rsidRPr="00082E7A">
        <w:rPr>
          <w:rStyle w:val="Guidance"/>
        </w:rPr>
        <w:t>: In respect of not-for-profit entities, property may be held to meet service delivery objectives rather than to earn rent or for capital appreciation. In such situations the property will not meet the definition of investment property and will be accounted for under AASB 116. For example:</w:t>
      </w:r>
    </w:p>
    <w:p w14:paraId="738A2FC0" w14:textId="3F74D295" w:rsidR="003719CD" w:rsidRPr="00082E7A" w:rsidRDefault="003719CD" w:rsidP="00310F12">
      <w:pPr>
        <w:pStyle w:val="ListBullet"/>
        <w:rPr>
          <w:rStyle w:val="Guidance"/>
        </w:rPr>
      </w:pPr>
      <w:r w:rsidRPr="00082E7A">
        <w:rPr>
          <w:rStyle w:val="Guidance"/>
        </w:rPr>
        <w:t>property held for strategic purposes</w:t>
      </w:r>
      <w:r w:rsidR="002916EE">
        <w:rPr>
          <w:rStyle w:val="Guidance"/>
        </w:rPr>
        <w:t xml:space="preserve"> </w:t>
      </w:r>
    </w:p>
    <w:p w14:paraId="1756DDC0" w14:textId="77777777" w:rsidR="003719CD" w:rsidRPr="00082E7A" w:rsidRDefault="003719CD" w:rsidP="00310F12">
      <w:pPr>
        <w:pStyle w:val="ListBullet"/>
        <w:rPr>
          <w:rStyle w:val="Guidance"/>
        </w:rPr>
      </w:pPr>
      <w:r w:rsidRPr="00082E7A">
        <w:rPr>
          <w:rStyle w:val="Guidance"/>
        </w:rPr>
        <w:t xml:space="preserve">property held to provide a social service, including those which generate cash inflows where the rental income is incidental to the purpose for holding the property. </w:t>
      </w:r>
      <w:r w:rsidRPr="00082E7A">
        <w:rPr>
          <w:rStyle w:val="Reference"/>
        </w:rPr>
        <w:t>[AASB 140.Aus9.1]</w:t>
      </w:r>
    </w:p>
    <w:p w14:paraId="7A85D21B" w14:textId="646ABA49" w:rsidR="003719CD" w:rsidRPr="00082E7A" w:rsidRDefault="003719CD" w:rsidP="007D536F">
      <w:pPr>
        <w:rPr>
          <w:rStyle w:val="Guidance"/>
        </w:rPr>
      </w:pPr>
      <w:r w:rsidRPr="00082E7A">
        <w:rPr>
          <w:rStyle w:val="Guidance"/>
        </w:rPr>
        <w:t xml:space="preserve">The reason for classifying a property that would otherwise satisfy the definition of investment property as property, plant and equipment must be documented and approved by the entity’s Responsible Body. </w:t>
      </w:r>
      <w:r w:rsidRPr="00082E7A">
        <w:rPr>
          <w:rStyle w:val="Reference"/>
        </w:rPr>
        <w:t>[FRD 107]</w:t>
      </w:r>
    </w:p>
    <w:p w14:paraId="7ADA6152" w14:textId="77777777" w:rsidR="003719CD" w:rsidRPr="00082E7A" w:rsidRDefault="003719CD" w:rsidP="007D536F">
      <w:pPr>
        <w:rPr>
          <w:rStyle w:val="Guidance"/>
        </w:rPr>
      </w:pPr>
      <w:r w:rsidRPr="00082E7A">
        <w:rPr>
          <w:rStyle w:val="Guidance"/>
          <w:b/>
          <w:bCs/>
        </w:rPr>
        <w:t>Responsible Body</w:t>
      </w:r>
      <w:r w:rsidRPr="00082E7A">
        <w:rPr>
          <w:rStyle w:val="Guidance"/>
        </w:rPr>
        <w:t xml:space="preserve"> means:</w:t>
      </w:r>
    </w:p>
    <w:p w14:paraId="26D48F63" w14:textId="6D795BE8" w:rsidR="003719CD" w:rsidRPr="00082E7A" w:rsidRDefault="003719CD" w:rsidP="00310F12">
      <w:pPr>
        <w:pStyle w:val="ListBullet"/>
        <w:rPr>
          <w:rStyle w:val="Guidance"/>
        </w:rPr>
      </w:pPr>
      <w:r w:rsidRPr="00082E7A">
        <w:rPr>
          <w:rStyle w:val="Guidance"/>
        </w:rPr>
        <w:t>in relation to an agency with a statutory board or equivalent governing body, that board or governing body</w:t>
      </w:r>
    </w:p>
    <w:p w14:paraId="438D8189" w14:textId="77777777" w:rsidR="003719CD" w:rsidRPr="00082E7A" w:rsidRDefault="003719CD" w:rsidP="00310F12">
      <w:pPr>
        <w:pStyle w:val="ListBullet"/>
        <w:rPr>
          <w:rStyle w:val="Guidance"/>
        </w:rPr>
      </w:pPr>
      <w:r w:rsidRPr="00082E7A">
        <w:rPr>
          <w:rStyle w:val="Guidance"/>
        </w:rPr>
        <w:t xml:space="preserve">in relation to an agency without a statutory board or governing body, that agency’s Accountable Officer. </w:t>
      </w:r>
      <w:r w:rsidRPr="00082E7A">
        <w:rPr>
          <w:rStyle w:val="Reference"/>
        </w:rPr>
        <w:t>[SD1.6]</w:t>
      </w:r>
    </w:p>
    <w:p w14:paraId="26AF43EE" w14:textId="77777777" w:rsidR="003719CD" w:rsidRPr="00082E7A" w:rsidRDefault="003719CD" w:rsidP="007D536F">
      <w:pPr>
        <w:rPr>
          <w:rStyle w:val="Guidance"/>
        </w:rPr>
      </w:pPr>
      <w:r w:rsidRPr="00526DC4">
        <w:rPr>
          <w:rStyle w:val="Guidance"/>
          <w:b/>
          <w:bCs/>
        </w:rPr>
        <w:t>Classification</w:t>
      </w:r>
      <w:r w:rsidRPr="00082E7A">
        <w:rPr>
          <w:rStyle w:val="Guidance"/>
        </w:rPr>
        <w:t xml:space="preserve">: When classification of investment property is difficult, an entity shall disclose the criteria it uses to distinguish investment property from owner-occupied property and from property held for sale in the ordinary course of business. </w:t>
      </w:r>
      <w:r w:rsidRPr="00526DC4">
        <w:rPr>
          <w:rStyle w:val="Reference"/>
        </w:rPr>
        <w:t>[AASB 140.75(c)]</w:t>
      </w:r>
    </w:p>
    <w:p w14:paraId="6E913F98" w14:textId="10259D12" w:rsidR="003719CD" w:rsidRPr="00082E7A" w:rsidRDefault="003719CD" w:rsidP="007D536F">
      <w:pPr>
        <w:rPr>
          <w:rStyle w:val="Guidance"/>
        </w:rPr>
      </w:pPr>
      <w:r w:rsidRPr="00526DC4">
        <w:rPr>
          <w:rStyle w:val="Guidance"/>
          <w:b/>
          <w:bCs/>
        </w:rPr>
        <w:t>Inability to determine fair value reliably</w:t>
      </w:r>
      <w:r w:rsidRPr="00082E7A">
        <w:rPr>
          <w:rStyle w:val="Guidance"/>
        </w:rPr>
        <w:t xml:space="preserve">: An entity must measure its investment property (after recognition) using the fair value model unless the entity has received prior written approval from the </w:t>
      </w:r>
      <w:r w:rsidR="0046343B">
        <w:rPr>
          <w:rStyle w:val="Guidance"/>
        </w:rPr>
        <w:t>Minister for Finance</w:t>
      </w:r>
      <w:r w:rsidRPr="00082E7A">
        <w:rPr>
          <w:rStyle w:val="Guidance"/>
        </w:rPr>
        <w:t xml:space="preserve"> to use the cost model. </w:t>
      </w:r>
      <w:r w:rsidRPr="00526DC4">
        <w:rPr>
          <w:rStyle w:val="Reference"/>
        </w:rPr>
        <w:t>[FRD 107]</w:t>
      </w:r>
    </w:p>
    <w:p w14:paraId="5541930B" w14:textId="77777777" w:rsidR="003719CD" w:rsidRPr="00082E7A" w:rsidRDefault="003719CD" w:rsidP="007D536F">
      <w:pPr>
        <w:rPr>
          <w:rStyle w:val="Guidance"/>
        </w:rPr>
      </w:pPr>
      <w:r w:rsidRPr="00082E7A">
        <w:rPr>
          <w:rStyle w:val="Guidance"/>
        </w:rPr>
        <w:t xml:space="preserve">In the exceptional cases where an entity is unable to reliably determine the fair value of an investment property, and accordingly measures that investment property using the cost model, the reconciliation illustrated in this note shall disclose amounts relating to that investment property separately from amounts relating to other investment property. </w:t>
      </w:r>
    </w:p>
    <w:p w14:paraId="549CC195" w14:textId="77777777" w:rsidR="0009452B" w:rsidRDefault="0009452B">
      <w:pPr>
        <w:keepLines w:val="0"/>
        <w:rPr>
          <w:rStyle w:val="Guidance"/>
        </w:rPr>
      </w:pPr>
      <w:r>
        <w:rPr>
          <w:rStyle w:val="Guidance"/>
        </w:rPr>
        <w:br w:type="page"/>
      </w:r>
    </w:p>
    <w:p w14:paraId="4FB2EB55" w14:textId="6996ADF7" w:rsidR="003719CD" w:rsidRPr="00082E7A" w:rsidRDefault="003719CD" w:rsidP="007D536F">
      <w:pPr>
        <w:rPr>
          <w:rStyle w:val="Guidance"/>
        </w:rPr>
      </w:pPr>
      <w:r w:rsidRPr="00082E7A">
        <w:rPr>
          <w:rStyle w:val="Guidance"/>
        </w:rPr>
        <w:lastRenderedPageBreak/>
        <w:t>In addition, an entity shall disclose:</w:t>
      </w:r>
    </w:p>
    <w:p w14:paraId="1DFAE9A8" w14:textId="0E0764AE" w:rsidR="003719CD" w:rsidRPr="00082E7A" w:rsidRDefault="003719CD" w:rsidP="00310F12">
      <w:pPr>
        <w:pStyle w:val="ListBullet"/>
        <w:rPr>
          <w:rStyle w:val="Guidance"/>
        </w:rPr>
      </w:pPr>
      <w:r w:rsidRPr="00082E7A">
        <w:rPr>
          <w:rStyle w:val="Guidance"/>
        </w:rPr>
        <w:t>a description of the investment property</w:t>
      </w:r>
    </w:p>
    <w:p w14:paraId="3DE29A56" w14:textId="4CAE0FF9" w:rsidR="003719CD" w:rsidRPr="00082E7A" w:rsidRDefault="003719CD" w:rsidP="00310F12">
      <w:pPr>
        <w:pStyle w:val="ListBullet"/>
        <w:rPr>
          <w:rStyle w:val="Guidance"/>
        </w:rPr>
      </w:pPr>
      <w:r w:rsidRPr="00082E7A">
        <w:rPr>
          <w:rStyle w:val="Guidance"/>
        </w:rPr>
        <w:t>an explanation of why fair value cannot be determined reliably</w:t>
      </w:r>
    </w:p>
    <w:p w14:paraId="3947B9F2" w14:textId="4CA7961A" w:rsidR="003719CD" w:rsidRPr="00082E7A" w:rsidRDefault="003719CD" w:rsidP="00310F12">
      <w:pPr>
        <w:pStyle w:val="ListBullet"/>
        <w:rPr>
          <w:rStyle w:val="Guidance"/>
        </w:rPr>
      </w:pPr>
      <w:r w:rsidRPr="00082E7A">
        <w:rPr>
          <w:rStyle w:val="Guidance"/>
        </w:rPr>
        <w:t>if possible, the range of estimates in which fair value is highly likely to lie</w:t>
      </w:r>
    </w:p>
    <w:p w14:paraId="0FB5578D" w14:textId="25BE082F" w:rsidR="003719CD" w:rsidRPr="00082E7A" w:rsidRDefault="00542A44" w:rsidP="00310F12">
      <w:pPr>
        <w:pStyle w:val="ListBullet"/>
        <w:rPr>
          <w:rStyle w:val="Guidance"/>
        </w:rPr>
      </w:pPr>
      <w:r>
        <w:rPr>
          <w:rStyle w:val="Guidance"/>
        </w:rPr>
        <w:t>O</w:t>
      </w:r>
      <w:r w:rsidR="003719CD" w:rsidRPr="00082E7A">
        <w:rPr>
          <w:rStyle w:val="Guidance"/>
        </w:rPr>
        <w:t>n disposal of investment property not carried at fair value</w:t>
      </w:r>
      <w:r>
        <w:rPr>
          <w:rStyle w:val="Guidance"/>
        </w:rPr>
        <w:t>, an entity must also disclose</w:t>
      </w:r>
      <w:r w:rsidR="003719CD" w:rsidRPr="00082E7A">
        <w:rPr>
          <w:rStyle w:val="Guidance"/>
        </w:rPr>
        <w:t>:</w:t>
      </w:r>
    </w:p>
    <w:p w14:paraId="3AEC7F82" w14:textId="064CAD99" w:rsidR="003719CD" w:rsidRPr="00082E7A" w:rsidRDefault="003719CD" w:rsidP="005B5C77">
      <w:pPr>
        <w:pStyle w:val="ListBullet2"/>
        <w:rPr>
          <w:rStyle w:val="Guidance"/>
        </w:rPr>
      </w:pPr>
      <w:r w:rsidRPr="00082E7A">
        <w:rPr>
          <w:rStyle w:val="Guidance"/>
        </w:rPr>
        <w:t>the fact that the entity has disposed of investment property not carried at fair value</w:t>
      </w:r>
    </w:p>
    <w:p w14:paraId="1DE47C6A" w14:textId="46AC8BBE" w:rsidR="003719CD" w:rsidRPr="00082E7A" w:rsidRDefault="003719CD" w:rsidP="005B5C77">
      <w:pPr>
        <w:pStyle w:val="ListBullet2"/>
        <w:rPr>
          <w:rStyle w:val="Guidance"/>
        </w:rPr>
      </w:pPr>
      <w:r w:rsidRPr="00082E7A">
        <w:rPr>
          <w:rStyle w:val="Guidance"/>
        </w:rPr>
        <w:t>the carrying amount of that investment property at the time of sale</w:t>
      </w:r>
    </w:p>
    <w:p w14:paraId="6185AE58" w14:textId="77777777" w:rsidR="003719CD" w:rsidRPr="00082E7A" w:rsidRDefault="003719CD" w:rsidP="005B5C77">
      <w:pPr>
        <w:pStyle w:val="ListBullet2"/>
        <w:rPr>
          <w:rStyle w:val="Guidance"/>
        </w:rPr>
      </w:pPr>
      <w:r w:rsidRPr="00082E7A">
        <w:rPr>
          <w:rStyle w:val="Guidance"/>
        </w:rPr>
        <w:t xml:space="preserve">the amount of gain or loss recognised. </w:t>
      </w:r>
      <w:r w:rsidRPr="00526DC4">
        <w:rPr>
          <w:rStyle w:val="Reference"/>
        </w:rPr>
        <w:t>[AASB 140.78]</w:t>
      </w:r>
    </w:p>
    <w:p w14:paraId="607E5CE1" w14:textId="41DC740B" w:rsidR="003719CD" w:rsidRPr="00082E7A" w:rsidRDefault="003719CD" w:rsidP="007D536F">
      <w:pPr>
        <w:rPr>
          <w:rStyle w:val="Guidance"/>
        </w:rPr>
      </w:pPr>
      <w:r w:rsidRPr="00526DC4">
        <w:rPr>
          <w:rStyle w:val="Guidance"/>
          <w:b/>
          <w:bCs/>
        </w:rPr>
        <w:t>Adjustment for recognised assets and liabilities</w:t>
      </w:r>
      <w:r w:rsidRPr="00082E7A">
        <w:rPr>
          <w:rStyle w:val="Guidance"/>
        </w:rPr>
        <w:t>: When a valuation obtained for investment property is adjusted significantly for the purpose of the financial statements (</w:t>
      </w:r>
      <w:r w:rsidR="009B02AB">
        <w:rPr>
          <w:rStyle w:val="Guidance"/>
        </w:rPr>
        <w:t>e.g.</w:t>
      </w:r>
      <w:r w:rsidRPr="00082E7A">
        <w:rPr>
          <w:rStyle w:val="Guidance"/>
        </w:rPr>
        <w:t xml:space="preserve"> to avoid double counting of assets or liabilities that are recognised as separate assets and liabilities as described in paragraph 50 of AASB 140), the entity shall disclose a reconciliation between the valuation obtained and the adjusted valuation included in the financial statements, showing separately the aggregate amount of any recognised lease obligations that have been added back, and any other significant adjustments. </w:t>
      </w:r>
      <w:r w:rsidRPr="00526DC4">
        <w:rPr>
          <w:rStyle w:val="Reference"/>
        </w:rPr>
        <w:t>[AASB 140.77]</w:t>
      </w:r>
    </w:p>
    <w:p w14:paraId="6ABE07B1" w14:textId="77777777" w:rsidR="003719CD" w:rsidRPr="00082E7A" w:rsidRDefault="003719CD" w:rsidP="007D536F">
      <w:pPr>
        <w:rPr>
          <w:rStyle w:val="Guidance"/>
        </w:rPr>
      </w:pPr>
      <w:r w:rsidRPr="00526DC4">
        <w:rPr>
          <w:rStyle w:val="Guidance"/>
          <w:b/>
          <w:bCs/>
        </w:rPr>
        <w:t>Disclosure requirements</w:t>
      </w:r>
      <w:r w:rsidRPr="00082E7A">
        <w:rPr>
          <w:rStyle w:val="Guidance"/>
        </w:rPr>
        <w:t>: Entities are required to disclose:</w:t>
      </w:r>
    </w:p>
    <w:p w14:paraId="25C4C152" w14:textId="77777777" w:rsidR="003719CD" w:rsidRPr="00082E7A" w:rsidRDefault="003719CD" w:rsidP="00310F12">
      <w:pPr>
        <w:pStyle w:val="ListBullet"/>
        <w:rPr>
          <w:rStyle w:val="Guidance"/>
        </w:rPr>
      </w:pPr>
      <w:r w:rsidRPr="00082E7A">
        <w:rPr>
          <w:rStyle w:val="Guidance"/>
        </w:rPr>
        <w:t>the amounts recognised in the net result for:</w:t>
      </w:r>
    </w:p>
    <w:p w14:paraId="08391ADE" w14:textId="13BD4649" w:rsidR="003719CD" w:rsidRPr="00082E7A" w:rsidRDefault="003719CD" w:rsidP="005B5C77">
      <w:pPr>
        <w:pStyle w:val="ListBullet2"/>
        <w:rPr>
          <w:rStyle w:val="Guidance"/>
        </w:rPr>
      </w:pPr>
      <w:r w:rsidRPr="00082E7A">
        <w:rPr>
          <w:rStyle w:val="Guidance"/>
        </w:rPr>
        <w:t>rental income from investment property</w:t>
      </w:r>
      <w:r w:rsidR="008A1334">
        <w:rPr>
          <w:rStyle w:val="Guidance"/>
        </w:rPr>
        <w:t xml:space="preserve"> </w:t>
      </w:r>
      <w:r w:rsidR="008A1334" w:rsidRPr="000373B0">
        <w:rPr>
          <w:rStyle w:val="Reference"/>
        </w:rPr>
        <w:t>[AASB 140.75(f)</w:t>
      </w:r>
      <w:r w:rsidR="008A1334">
        <w:rPr>
          <w:rStyle w:val="Reference"/>
        </w:rPr>
        <w:t>(i)</w:t>
      </w:r>
      <w:r w:rsidR="008A1334" w:rsidRPr="000373B0">
        <w:rPr>
          <w:rStyle w:val="Reference"/>
        </w:rPr>
        <w:t>]</w:t>
      </w:r>
    </w:p>
    <w:p w14:paraId="11C87358" w14:textId="7680A0A8" w:rsidR="003719CD" w:rsidRPr="00082E7A" w:rsidRDefault="003719CD" w:rsidP="005B5C77">
      <w:pPr>
        <w:pStyle w:val="ListBullet2"/>
        <w:rPr>
          <w:rStyle w:val="Guidance"/>
        </w:rPr>
      </w:pPr>
      <w:r w:rsidRPr="00082E7A">
        <w:rPr>
          <w:rStyle w:val="Guidance"/>
        </w:rPr>
        <w:t>direct operating expenses (including repairs and maintenance) arising from investment property that generated rental income during the period</w:t>
      </w:r>
      <w:r w:rsidR="008A1334">
        <w:rPr>
          <w:rStyle w:val="Guidance"/>
        </w:rPr>
        <w:t xml:space="preserve"> </w:t>
      </w:r>
      <w:r w:rsidR="00090BF8" w:rsidRPr="000373B0">
        <w:rPr>
          <w:rStyle w:val="Reference"/>
        </w:rPr>
        <w:t>[AASB 140.75(f)</w:t>
      </w:r>
      <w:r w:rsidR="00090BF8">
        <w:rPr>
          <w:rStyle w:val="Reference"/>
        </w:rPr>
        <w:t>(ii)</w:t>
      </w:r>
      <w:r w:rsidR="00090BF8" w:rsidRPr="000373B0">
        <w:rPr>
          <w:rStyle w:val="Reference"/>
        </w:rPr>
        <w:t>]</w:t>
      </w:r>
    </w:p>
    <w:p w14:paraId="51FDAF64" w14:textId="3874A45A" w:rsidR="003719CD" w:rsidRPr="00082E7A" w:rsidRDefault="003719CD" w:rsidP="005B5C77">
      <w:pPr>
        <w:pStyle w:val="ListBullet2"/>
        <w:rPr>
          <w:rStyle w:val="Guidance"/>
        </w:rPr>
      </w:pPr>
      <w:r w:rsidRPr="00082E7A">
        <w:rPr>
          <w:rStyle w:val="Guidance"/>
        </w:rPr>
        <w:t>direct operating expenses (including repairs and maintenance) arising from investment property that did not generate rental income during the period</w:t>
      </w:r>
      <w:r w:rsidR="002B0974">
        <w:rPr>
          <w:rStyle w:val="Guidance"/>
        </w:rPr>
        <w:t xml:space="preserve"> </w:t>
      </w:r>
      <w:r w:rsidRPr="000373B0">
        <w:rPr>
          <w:rStyle w:val="Reference"/>
        </w:rPr>
        <w:t>[AASB 140.75(f)</w:t>
      </w:r>
      <w:r w:rsidR="00090BF8">
        <w:rPr>
          <w:rStyle w:val="Reference"/>
        </w:rPr>
        <w:t>(iii</w:t>
      </w:r>
      <w:r w:rsidRPr="000373B0">
        <w:rPr>
          <w:rStyle w:val="Reference"/>
        </w:rPr>
        <w:t>)]</w:t>
      </w:r>
    </w:p>
    <w:p w14:paraId="0C3E608E" w14:textId="7823A6CF" w:rsidR="003719CD" w:rsidRPr="00082E7A" w:rsidRDefault="003719CD" w:rsidP="00310F12">
      <w:pPr>
        <w:pStyle w:val="ListBullet"/>
        <w:rPr>
          <w:rStyle w:val="Guidance"/>
        </w:rPr>
      </w:pPr>
      <w:r w:rsidRPr="00082E7A">
        <w:rPr>
          <w:rStyle w:val="Guidance"/>
        </w:rPr>
        <w:t xml:space="preserve">the existence and amounts of restrictions on the realisability of investment property or the remittance of income and proceeds of disposal </w:t>
      </w:r>
      <w:r w:rsidRPr="000373B0">
        <w:rPr>
          <w:rStyle w:val="Reference"/>
        </w:rPr>
        <w:t>[AASB 140.75(g)]</w:t>
      </w:r>
    </w:p>
    <w:p w14:paraId="500AD72A" w14:textId="77777777" w:rsidR="003719CD" w:rsidRPr="00082E7A" w:rsidRDefault="003719CD" w:rsidP="00310F12">
      <w:pPr>
        <w:pStyle w:val="ListBullet"/>
        <w:rPr>
          <w:rStyle w:val="Guidance"/>
        </w:rPr>
      </w:pPr>
      <w:r w:rsidRPr="00082E7A">
        <w:rPr>
          <w:rStyle w:val="Guidance"/>
        </w:rPr>
        <w:t xml:space="preserve">contractual obligations to purchase, construct or develop investment property or for repairs, maintenance or enhancements. </w:t>
      </w:r>
      <w:r w:rsidRPr="000373B0">
        <w:rPr>
          <w:rStyle w:val="Reference"/>
        </w:rPr>
        <w:t>[AASB 140.75(h)]</w:t>
      </w:r>
    </w:p>
    <w:p w14:paraId="4AED4D35" w14:textId="77777777" w:rsidR="003719CD" w:rsidRPr="00082E7A" w:rsidRDefault="003719CD" w:rsidP="007D536F">
      <w:pPr>
        <w:rPr>
          <w:rStyle w:val="Guidance"/>
        </w:rPr>
      </w:pPr>
      <w:r w:rsidRPr="00082E7A">
        <w:rPr>
          <w:rStyle w:val="Guidance"/>
        </w:rPr>
        <w:t>Entities shall disclose reconciliation between the carrying amounts of investment property at the beginning and end of the period, showing the following:</w:t>
      </w:r>
    </w:p>
    <w:p w14:paraId="0CB7DA20" w14:textId="415C9A9F" w:rsidR="003719CD" w:rsidRPr="00082E7A" w:rsidRDefault="00FC0382" w:rsidP="00310F12">
      <w:pPr>
        <w:pStyle w:val="ListBullet"/>
        <w:rPr>
          <w:rStyle w:val="Guidance"/>
        </w:rPr>
      </w:pPr>
      <w:r>
        <w:rPr>
          <w:rStyle w:val="Guidance"/>
        </w:rPr>
        <w:t>A</w:t>
      </w:r>
      <w:r w:rsidR="003719CD" w:rsidRPr="00082E7A">
        <w:rPr>
          <w:rStyle w:val="Guidance"/>
        </w:rPr>
        <w:t>dditions, disclosing separately those additions resulting from acquisitions and those resulting from subsequent expenditure recognised in the carrying amount of an asset</w:t>
      </w:r>
    </w:p>
    <w:p w14:paraId="0437B85F" w14:textId="18A48A53" w:rsidR="003719CD" w:rsidRPr="00082E7A" w:rsidRDefault="00FC0382" w:rsidP="00310F12">
      <w:pPr>
        <w:pStyle w:val="ListBullet"/>
        <w:rPr>
          <w:rStyle w:val="Guidance"/>
        </w:rPr>
      </w:pPr>
      <w:r>
        <w:rPr>
          <w:rStyle w:val="Guidance"/>
        </w:rPr>
        <w:t>A</w:t>
      </w:r>
      <w:r w:rsidR="003719CD" w:rsidRPr="00082E7A">
        <w:rPr>
          <w:rStyle w:val="Guidance"/>
        </w:rPr>
        <w:t>dditions resulting from acquisitions through business combinations</w:t>
      </w:r>
    </w:p>
    <w:p w14:paraId="68A8D792" w14:textId="7B5B4D58" w:rsidR="003719CD" w:rsidRPr="00082E7A" w:rsidRDefault="00FC0382" w:rsidP="00310F12">
      <w:pPr>
        <w:pStyle w:val="ListBullet"/>
        <w:rPr>
          <w:rStyle w:val="Guidance"/>
        </w:rPr>
      </w:pPr>
      <w:r>
        <w:rPr>
          <w:rStyle w:val="Guidance"/>
        </w:rPr>
        <w:t>A</w:t>
      </w:r>
      <w:r w:rsidR="003719CD" w:rsidRPr="00082E7A">
        <w:rPr>
          <w:rStyle w:val="Guidance"/>
        </w:rPr>
        <w:t>ssets classified as held for sale or included in a disposal group in accordance with AASB 5 and other disposals</w:t>
      </w:r>
    </w:p>
    <w:p w14:paraId="3062EBAF" w14:textId="78B315D6" w:rsidR="003719CD" w:rsidRPr="00082E7A" w:rsidRDefault="00FC0382" w:rsidP="00310F12">
      <w:pPr>
        <w:pStyle w:val="ListBullet"/>
        <w:rPr>
          <w:rStyle w:val="Guidance"/>
        </w:rPr>
      </w:pPr>
      <w:r>
        <w:rPr>
          <w:rStyle w:val="Guidance"/>
        </w:rPr>
        <w:t>N</w:t>
      </w:r>
      <w:r w:rsidR="003719CD" w:rsidRPr="00082E7A">
        <w:rPr>
          <w:rStyle w:val="Guidance"/>
        </w:rPr>
        <w:t>et gains or losses from fair value adjustments</w:t>
      </w:r>
    </w:p>
    <w:p w14:paraId="5DF864C6" w14:textId="0959B01A" w:rsidR="003719CD" w:rsidRPr="00082E7A" w:rsidRDefault="00FC0382" w:rsidP="00310F12">
      <w:pPr>
        <w:pStyle w:val="ListBullet"/>
        <w:rPr>
          <w:rStyle w:val="Guidance"/>
        </w:rPr>
      </w:pPr>
      <w:r>
        <w:rPr>
          <w:rStyle w:val="Guidance"/>
        </w:rPr>
        <w:t>T</w:t>
      </w:r>
      <w:r w:rsidR="003719CD" w:rsidRPr="00082E7A">
        <w:rPr>
          <w:rStyle w:val="Guidance"/>
        </w:rPr>
        <w:t>he net exchange differences arising on the translation of the financial statements into a different presentation currency, and on translation of a foreign operation into the presentation currency of the reporting entity</w:t>
      </w:r>
    </w:p>
    <w:p w14:paraId="1D3EF5B8" w14:textId="50C58493" w:rsidR="003719CD" w:rsidRPr="00082E7A" w:rsidRDefault="00FC0382" w:rsidP="00310F12">
      <w:pPr>
        <w:pStyle w:val="ListBullet"/>
        <w:rPr>
          <w:rStyle w:val="Guidance"/>
        </w:rPr>
      </w:pPr>
      <w:r>
        <w:rPr>
          <w:rStyle w:val="Guidance"/>
        </w:rPr>
        <w:t>T</w:t>
      </w:r>
      <w:r w:rsidR="003719CD" w:rsidRPr="00082E7A">
        <w:rPr>
          <w:rStyle w:val="Guidance"/>
        </w:rPr>
        <w:t>ransfers to and from inventories and owner-occupied property</w:t>
      </w:r>
    </w:p>
    <w:p w14:paraId="328742C5" w14:textId="447BDEE8" w:rsidR="003719CD" w:rsidRPr="001871C4" w:rsidRDefault="00FC0382" w:rsidP="007D536F">
      <w:pPr>
        <w:pStyle w:val="ListBullet"/>
        <w:rPr>
          <w:rStyle w:val="Reference"/>
          <w:color w:val="4472C4" w:themeColor="accent1"/>
          <w:sz w:val="18"/>
        </w:rPr>
      </w:pPr>
      <w:r>
        <w:rPr>
          <w:rStyle w:val="Guidance"/>
        </w:rPr>
        <w:t>O</w:t>
      </w:r>
      <w:r w:rsidR="003719CD" w:rsidRPr="00082E7A">
        <w:rPr>
          <w:rStyle w:val="Guidance"/>
        </w:rPr>
        <w:t>ther changes</w:t>
      </w:r>
      <w:r w:rsidR="001871C4">
        <w:rPr>
          <w:rStyle w:val="Guidance"/>
        </w:rPr>
        <w:t xml:space="preserve"> </w:t>
      </w:r>
      <w:r w:rsidR="003719CD" w:rsidRPr="000373B0">
        <w:rPr>
          <w:rStyle w:val="Reference"/>
        </w:rPr>
        <w:t>[AASB 140.76]</w:t>
      </w:r>
    </w:p>
    <w:p w14:paraId="0A194015" w14:textId="77777777" w:rsidR="003719CD" w:rsidRDefault="003719CD" w:rsidP="007D536F">
      <w:pPr>
        <w:pStyle w:val="GuidanceEnd"/>
      </w:pPr>
    </w:p>
    <w:p w14:paraId="6F4315B0" w14:textId="77777777" w:rsidR="0009452B" w:rsidRDefault="0009452B">
      <w:pPr>
        <w:keepLines w:val="0"/>
        <w:rPr>
          <w:rFonts w:asciiTheme="majorHAnsi" w:eastAsiaTheme="majorEastAsia" w:hAnsiTheme="majorHAnsi" w:cstheme="majorBidi"/>
          <w:b/>
          <w:sz w:val="26"/>
          <w:szCs w:val="26"/>
        </w:rPr>
      </w:pPr>
      <w:bookmarkStart w:id="61" w:name="_Toc96704905"/>
      <w:bookmarkStart w:id="62" w:name="_Toc64983157"/>
      <w:r>
        <w:br w:type="page"/>
      </w:r>
    </w:p>
    <w:p w14:paraId="1E5DB87D" w14:textId="61E6D33F" w:rsidR="003719CD" w:rsidRDefault="003719CD" w:rsidP="00A80494">
      <w:pPr>
        <w:pStyle w:val="Heading2numbered"/>
      </w:pPr>
      <w:bookmarkStart w:id="63" w:name="_Toc130225966"/>
      <w:r>
        <w:lastRenderedPageBreak/>
        <w:t>Biological assets</w:t>
      </w:r>
      <w:bookmarkEnd w:id="61"/>
      <w:bookmarkEnd w:id="62"/>
      <w:bookmarkEnd w:id="63"/>
    </w:p>
    <w:p w14:paraId="0C7B561A" w14:textId="77777777" w:rsidR="003719CD" w:rsidRDefault="003719CD" w:rsidP="007D536F">
      <w:r>
        <w:t>Biological assets comprise nature forests and livestock. Their quantities and measurement bases are disclosed below.</w:t>
      </w:r>
    </w:p>
    <w:tbl>
      <w:tblPr>
        <w:tblStyle w:val="DTFTable"/>
        <w:tblW w:w="9639" w:type="dxa"/>
        <w:tblLayout w:type="fixed"/>
        <w:tblLook w:val="0620" w:firstRow="1" w:lastRow="0" w:firstColumn="0" w:lastColumn="0" w:noHBand="1" w:noVBand="1"/>
      </w:tblPr>
      <w:tblGrid>
        <w:gridCol w:w="1347"/>
        <w:gridCol w:w="2339"/>
        <w:gridCol w:w="2497"/>
        <w:gridCol w:w="864"/>
        <w:gridCol w:w="864"/>
        <w:gridCol w:w="864"/>
        <w:gridCol w:w="864"/>
      </w:tblGrid>
      <w:tr w:rsidR="00182709" w14:paraId="7677C460"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276F937D" w14:textId="77777777" w:rsidR="00182709" w:rsidRDefault="0044097C">
            <w:pPr>
              <w:keepNext/>
              <w:jc w:val="left"/>
            </w:pPr>
            <w:r>
              <w:rPr>
                <w:color w:val="4472C4"/>
                <w:sz w:val="13"/>
              </w:rPr>
              <w:t>Source reference</w:t>
            </w:r>
          </w:p>
        </w:tc>
        <w:tc>
          <w:tcPr>
            <w:tcW w:w="2339" w:type="dxa"/>
          </w:tcPr>
          <w:p w14:paraId="7E79E9E3" w14:textId="77777777" w:rsidR="00182709" w:rsidRDefault="00182709">
            <w:pPr>
              <w:keepNext/>
              <w:jc w:val="left"/>
            </w:pPr>
          </w:p>
        </w:tc>
        <w:tc>
          <w:tcPr>
            <w:tcW w:w="2497" w:type="dxa"/>
          </w:tcPr>
          <w:p w14:paraId="260EB49C" w14:textId="77777777" w:rsidR="00182709" w:rsidRDefault="00182709">
            <w:pPr>
              <w:keepNext/>
              <w:jc w:val="left"/>
            </w:pPr>
          </w:p>
        </w:tc>
        <w:tc>
          <w:tcPr>
            <w:tcW w:w="864" w:type="dxa"/>
          </w:tcPr>
          <w:p w14:paraId="1D3383FD" w14:textId="77777777" w:rsidR="00182709" w:rsidRDefault="00182709">
            <w:pPr>
              <w:keepNext/>
            </w:pPr>
          </w:p>
        </w:tc>
        <w:tc>
          <w:tcPr>
            <w:tcW w:w="864" w:type="dxa"/>
          </w:tcPr>
          <w:p w14:paraId="5C5B470B" w14:textId="77777777" w:rsidR="00182709" w:rsidRDefault="00182709">
            <w:pPr>
              <w:keepNext/>
            </w:pPr>
          </w:p>
        </w:tc>
        <w:tc>
          <w:tcPr>
            <w:tcW w:w="1728" w:type="dxa"/>
            <w:gridSpan w:val="2"/>
          </w:tcPr>
          <w:p w14:paraId="34C14B70" w14:textId="77777777" w:rsidR="00182709" w:rsidRDefault="0044097C">
            <w:pPr>
              <w:keepNext/>
              <w:jc w:val="center"/>
            </w:pPr>
            <w:r>
              <w:t>Carrying amount</w:t>
            </w:r>
          </w:p>
        </w:tc>
      </w:tr>
      <w:tr w:rsidR="00182709" w14:paraId="674E00E9"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6BB59C05" w14:textId="77777777" w:rsidR="00182709" w:rsidRDefault="00182709">
            <w:pPr>
              <w:keepNext/>
              <w:jc w:val="left"/>
            </w:pPr>
          </w:p>
        </w:tc>
        <w:tc>
          <w:tcPr>
            <w:tcW w:w="2339" w:type="dxa"/>
          </w:tcPr>
          <w:p w14:paraId="312F637A" w14:textId="77777777" w:rsidR="00182709" w:rsidRDefault="00182709">
            <w:pPr>
              <w:keepNext/>
              <w:jc w:val="left"/>
            </w:pPr>
          </w:p>
        </w:tc>
        <w:tc>
          <w:tcPr>
            <w:tcW w:w="2497" w:type="dxa"/>
          </w:tcPr>
          <w:p w14:paraId="02081C4F" w14:textId="77777777" w:rsidR="00182709" w:rsidRDefault="00182709">
            <w:pPr>
              <w:keepNext/>
              <w:jc w:val="left"/>
            </w:pPr>
          </w:p>
        </w:tc>
        <w:tc>
          <w:tcPr>
            <w:tcW w:w="1728" w:type="dxa"/>
            <w:gridSpan w:val="2"/>
          </w:tcPr>
          <w:p w14:paraId="0C32C623" w14:textId="77777777" w:rsidR="00182709" w:rsidRDefault="0044097C">
            <w:pPr>
              <w:keepNext/>
              <w:jc w:val="center"/>
            </w:pPr>
            <w:r>
              <w:t>Quantities</w:t>
            </w:r>
          </w:p>
        </w:tc>
        <w:tc>
          <w:tcPr>
            <w:tcW w:w="1728" w:type="dxa"/>
            <w:gridSpan w:val="2"/>
          </w:tcPr>
          <w:p w14:paraId="12E7F27A" w14:textId="77777777" w:rsidR="00182709" w:rsidRDefault="0044097C">
            <w:pPr>
              <w:keepNext/>
              <w:jc w:val="center"/>
            </w:pPr>
            <w:r>
              <w:t>($ thousand)</w:t>
            </w:r>
          </w:p>
        </w:tc>
      </w:tr>
      <w:tr w:rsidR="00B53D76" w14:paraId="3F161581" w14:textId="77777777" w:rsidTr="0009452B">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3685C9FE" w14:textId="77777777" w:rsidR="00B53D76" w:rsidRDefault="00B53D76" w:rsidP="00B53D76">
            <w:pPr>
              <w:keepNext/>
              <w:jc w:val="left"/>
            </w:pPr>
          </w:p>
        </w:tc>
        <w:tc>
          <w:tcPr>
            <w:tcW w:w="2339" w:type="dxa"/>
          </w:tcPr>
          <w:p w14:paraId="45A2E140" w14:textId="77777777" w:rsidR="00B53D76" w:rsidRDefault="00B53D76" w:rsidP="00B53D76">
            <w:pPr>
              <w:keepNext/>
              <w:jc w:val="left"/>
            </w:pPr>
            <w:r>
              <w:t xml:space="preserve"> Biological asset</w:t>
            </w:r>
          </w:p>
        </w:tc>
        <w:tc>
          <w:tcPr>
            <w:tcW w:w="2497" w:type="dxa"/>
          </w:tcPr>
          <w:p w14:paraId="14A83523" w14:textId="77777777" w:rsidR="00B53D76" w:rsidRDefault="00B53D76" w:rsidP="00B53D76">
            <w:pPr>
              <w:keepNext/>
              <w:jc w:val="left"/>
            </w:pPr>
            <w:r>
              <w:t>Measurement basis</w:t>
            </w:r>
          </w:p>
        </w:tc>
        <w:tc>
          <w:tcPr>
            <w:tcW w:w="864" w:type="dxa"/>
          </w:tcPr>
          <w:p w14:paraId="140B2DE0" w14:textId="3452CAF7" w:rsidR="00B53D76" w:rsidRPr="00B53D76" w:rsidRDefault="00B53D76" w:rsidP="00B53D76">
            <w:pPr>
              <w:keepNext/>
            </w:pPr>
            <w:fldSimple w:instr="DOCPROPERTY  YearCurrent \* MERGEFORMAT">
              <w:r w:rsidRPr="00B53D76">
                <w:t>20X2</w:t>
              </w:r>
            </w:fldSimple>
          </w:p>
        </w:tc>
        <w:tc>
          <w:tcPr>
            <w:tcW w:w="864" w:type="dxa"/>
          </w:tcPr>
          <w:p w14:paraId="0BEB99A9" w14:textId="4CA97BCA" w:rsidR="00B53D76" w:rsidRPr="00B53D76" w:rsidRDefault="00B53D76" w:rsidP="00B53D76">
            <w:pPr>
              <w:keepNext/>
            </w:pPr>
            <w:fldSimple w:instr="DOCPROPERTY  YearPrevious  \* MERGEFORMAT">
              <w:r w:rsidRPr="00B53D76">
                <w:t>20X1</w:t>
              </w:r>
            </w:fldSimple>
          </w:p>
        </w:tc>
        <w:tc>
          <w:tcPr>
            <w:tcW w:w="864" w:type="dxa"/>
          </w:tcPr>
          <w:p w14:paraId="68728D1B" w14:textId="7670CFEB" w:rsidR="00B53D76" w:rsidRPr="00B53D76" w:rsidRDefault="00B53D76" w:rsidP="00B53D76">
            <w:pPr>
              <w:keepNext/>
            </w:pPr>
            <w:fldSimple w:instr="DOCPROPERTY  YearCurrent \* MERGEFORMAT">
              <w:r w:rsidRPr="00B53D76">
                <w:t>20X2</w:t>
              </w:r>
            </w:fldSimple>
          </w:p>
        </w:tc>
        <w:tc>
          <w:tcPr>
            <w:tcW w:w="864" w:type="dxa"/>
          </w:tcPr>
          <w:p w14:paraId="0D9C452A" w14:textId="5BE8BE91" w:rsidR="00B53D76" w:rsidRPr="00B53D76" w:rsidRDefault="00B53D76" w:rsidP="00B53D76">
            <w:pPr>
              <w:keepNext/>
            </w:pPr>
            <w:fldSimple w:instr="DOCPROPERTY  YearPrevious  \* MERGEFORMAT">
              <w:r w:rsidRPr="00B53D76">
                <w:t>20X1</w:t>
              </w:r>
            </w:fldSimple>
          </w:p>
        </w:tc>
      </w:tr>
      <w:tr w:rsidR="00182709" w14:paraId="36C4D1FC" w14:textId="77777777" w:rsidTr="0009452B">
        <w:tc>
          <w:tcPr>
            <w:tcW w:w="1347" w:type="dxa"/>
          </w:tcPr>
          <w:p w14:paraId="4D43C703" w14:textId="77777777" w:rsidR="00182709" w:rsidRDefault="0044097C">
            <w:pPr>
              <w:jc w:val="left"/>
            </w:pPr>
            <w:r>
              <w:rPr>
                <w:color w:val="4472C4"/>
                <w:sz w:val="13"/>
              </w:rPr>
              <w:t>AASB 141.41 and 42</w:t>
            </w:r>
          </w:p>
        </w:tc>
        <w:tc>
          <w:tcPr>
            <w:tcW w:w="2339" w:type="dxa"/>
          </w:tcPr>
          <w:p w14:paraId="3C368D11" w14:textId="77777777" w:rsidR="00182709" w:rsidRDefault="0044097C">
            <w:pPr>
              <w:jc w:val="left"/>
            </w:pPr>
            <w:r>
              <w:t>Timber volume</w:t>
            </w:r>
          </w:p>
        </w:tc>
        <w:tc>
          <w:tcPr>
            <w:tcW w:w="2497" w:type="dxa"/>
          </w:tcPr>
          <w:p w14:paraId="13CE89E3" w14:textId="77777777" w:rsidR="00182709" w:rsidRDefault="0044097C">
            <w:pPr>
              <w:jc w:val="left"/>
            </w:pPr>
            <w:r>
              <w:t>Cubic metres</w:t>
            </w:r>
          </w:p>
        </w:tc>
        <w:tc>
          <w:tcPr>
            <w:tcW w:w="864" w:type="dxa"/>
          </w:tcPr>
          <w:p w14:paraId="758C9298" w14:textId="77777777" w:rsidR="00182709" w:rsidRDefault="0044097C">
            <w:r>
              <w:t>5 000</w:t>
            </w:r>
          </w:p>
        </w:tc>
        <w:tc>
          <w:tcPr>
            <w:tcW w:w="864" w:type="dxa"/>
          </w:tcPr>
          <w:p w14:paraId="2CE0B5D9" w14:textId="77777777" w:rsidR="00182709" w:rsidRDefault="0044097C">
            <w:r>
              <w:t>..</w:t>
            </w:r>
          </w:p>
        </w:tc>
        <w:tc>
          <w:tcPr>
            <w:tcW w:w="864" w:type="dxa"/>
          </w:tcPr>
          <w:p w14:paraId="43AD1D93" w14:textId="77777777" w:rsidR="00182709" w:rsidRDefault="0044097C">
            <w:r>
              <w:t>2 749</w:t>
            </w:r>
          </w:p>
        </w:tc>
        <w:tc>
          <w:tcPr>
            <w:tcW w:w="864" w:type="dxa"/>
          </w:tcPr>
          <w:p w14:paraId="63545EC7" w14:textId="77777777" w:rsidR="00182709" w:rsidRDefault="0044097C">
            <w:r>
              <w:t>..</w:t>
            </w:r>
          </w:p>
        </w:tc>
      </w:tr>
      <w:tr w:rsidR="00182709" w14:paraId="5DCA98B1" w14:textId="77777777" w:rsidTr="0009452B">
        <w:tc>
          <w:tcPr>
            <w:tcW w:w="1347" w:type="dxa"/>
          </w:tcPr>
          <w:p w14:paraId="37B87448" w14:textId="77777777" w:rsidR="00182709" w:rsidRDefault="00182709">
            <w:pPr>
              <w:jc w:val="left"/>
            </w:pPr>
          </w:p>
        </w:tc>
        <w:tc>
          <w:tcPr>
            <w:tcW w:w="2339" w:type="dxa"/>
            <w:tcBorders>
              <w:bottom w:val="single" w:sz="12" w:space="0" w:color="auto"/>
            </w:tcBorders>
          </w:tcPr>
          <w:p w14:paraId="3A51CFCA" w14:textId="77777777" w:rsidR="00182709" w:rsidRDefault="0044097C">
            <w:pPr>
              <w:jc w:val="left"/>
            </w:pPr>
            <w:r>
              <w:t>Breeding livestock</w:t>
            </w:r>
          </w:p>
        </w:tc>
        <w:tc>
          <w:tcPr>
            <w:tcW w:w="2497" w:type="dxa"/>
            <w:tcBorders>
              <w:bottom w:val="single" w:sz="12" w:space="0" w:color="auto"/>
            </w:tcBorders>
          </w:tcPr>
          <w:p w14:paraId="6F9D45DB" w14:textId="77777777" w:rsidR="00182709" w:rsidRDefault="0044097C">
            <w:pPr>
              <w:jc w:val="left"/>
            </w:pPr>
            <w:r>
              <w:t>Headcount</w:t>
            </w:r>
          </w:p>
        </w:tc>
        <w:tc>
          <w:tcPr>
            <w:tcW w:w="864" w:type="dxa"/>
            <w:tcBorders>
              <w:bottom w:val="single" w:sz="12" w:space="0" w:color="auto"/>
            </w:tcBorders>
          </w:tcPr>
          <w:p w14:paraId="7F8DDBB7" w14:textId="77777777" w:rsidR="00182709" w:rsidRDefault="0044097C">
            <w:r>
              <w:t>236</w:t>
            </w:r>
          </w:p>
        </w:tc>
        <w:tc>
          <w:tcPr>
            <w:tcW w:w="864" w:type="dxa"/>
            <w:tcBorders>
              <w:bottom w:val="single" w:sz="12" w:space="0" w:color="auto"/>
            </w:tcBorders>
          </w:tcPr>
          <w:p w14:paraId="0032F0BF" w14:textId="77777777" w:rsidR="00182709" w:rsidRDefault="0044097C">
            <w:r>
              <w:t>..</w:t>
            </w:r>
          </w:p>
        </w:tc>
        <w:tc>
          <w:tcPr>
            <w:tcW w:w="864" w:type="dxa"/>
            <w:tcBorders>
              <w:bottom w:val="single" w:sz="12" w:space="0" w:color="auto"/>
            </w:tcBorders>
          </w:tcPr>
          <w:p w14:paraId="3D4A8D34" w14:textId="77777777" w:rsidR="00182709" w:rsidRDefault="0044097C">
            <w:r>
              <w:t>1 285</w:t>
            </w:r>
          </w:p>
        </w:tc>
        <w:tc>
          <w:tcPr>
            <w:tcW w:w="864" w:type="dxa"/>
            <w:tcBorders>
              <w:bottom w:val="single" w:sz="12" w:space="0" w:color="auto"/>
            </w:tcBorders>
          </w:tcPr>
          <w:p w14:paraId="7017D81C" w14:textId="77777777" w:rsidR="00182709" w:rsidRDefault="0044097C">
            <w:r>
              <w:t>..</w:t>
            </w:r>
          </w:p>
        </w:tc>
      </w:tr>
      <w:tr w:rsidR="00671D55" w14:paraId="1E82E863" w14:textId="77777777" w:rsidTr="0009452B">
        <w:tc>
          <w:tcPr>
            <w:tcW w:w="1347" w:type="dxa"/>
            <w:tcBorders>
              <w:bottom w:val="nil"/>
            </w:tcBorders>
          </w:tcPr>
          <w:p w14:paraId="40509525" w14:textId="77777777" w:rsidR="00182709" w:rsidRDefault="00182709">
            <w:pPr>
              <w:jc w:val="left"/>
            </w:pPr>
          </w:p>
        </w:tc>
        <w:tc>
          <w:tcPr>
            <w:tcW w:w="2339" w:type="dxa"/>
          </w:tcPr>
          <w:p w14:paraId="6E7673EC" w14:textId="77777777" w:rsidR="00182709" w:rsidRDefault="0044097C">
            <w:pPr>
              <w:jc w:val="left"/>
            </w:pPr>
            <w:r>
              <w:rPr>
                <w:b/>
              </w:rPr>
              <w:t>Total carrying amount</w:t>
            </w:r>
          </w:p>
        </w:tc>
        <w:tc>
          <w:tcPr>
            <w:tcW w:w="2497" w:type="dxa"/>
          </w:tcPr>
          <w:p w14:paraId="514A0983" w14:textId="77777777" w:rsidR="00182709" w:rsidRDefault="00182709">
            <w:pPr>
              <w:jc w:val="left"/>
            </w:pPr>
          </w:p>
        </w:tc>
        <w:tc>
          <w:tcPr>
            <w:tcW w:w="864" w:type="dxa"/>
          </w:tcPr>
          <w:p w14:paraId="205BCC45" w14:textId="77777777" w:rsidR="00182709" w:rsidRDefault="0044097C">
            <w:r>
              <w:rPr>
                <w:b/>
              </w:rPr>
              <w:t>n.a.</w:t>
            </w:r>
          </w:p>
        </w:tc>
        <w:tc>
          <w:tcPr>
            <w:tcW w:w="864" w:type="dxa"/>
          </w:tcPr>
          <w:p w14:paraId="7CB83932" w14:textId="77777777" w:rsidR="00182709" w:rsidRDefault="00182709"/>
        </w:tc>
        <w:tc>
          <w:tcPr>
            <w:tcW w:w="864" w:type="dxa"/>
          </w:tcPr>
          <w:p w14:paraId="427733F7" w14:textId="77777777" w:rsidR="00182709" w:rsidRDefault="0044097C">
            <w:r>
              <w:rPr>
                <w:b/>
              </w:rPr>
              <w:t>4 034</w:t>
            </w:r>
          </w:p>
        </w:tc>
        <w:tc>
          <w:tcPr>
            <w:tcW w:w="864" w:type="dxa"/>
          </w:tcPr>
          <w:p w14:paraId="72116DDC" w14:textId="3A032320" w:rsidR="00182709" w:rsidRDefault="0044097C">
            <w:r>
              <w:rPr>
                <w:b/>
              </w:rPr>
              <w:t>..</w:t>
            </w:r>
          </w:p>
        </w:tc>
      </w:tr>
    </w:tbl>
    <w:p w14:paraId="68C58EEC" w14:textId="77777777" w:rsidR="003719CD" w:rsidRDefault="003719CD" w:rsidP="00DC39DE">
      <w:r>
        <w:t>Biological assets are measured at fair value less costs to sell, with any changes recognised in the comprehensive operating statement –’other economic flows’. Costs to sell include all costs that would be necessary to sell the assets, including freight and direct selling costs.</w:t>
      </w:r>
    </w:p>
    <w:p w14:paraId="7E08E9BE" w14:textId="77777777" w:rsidR="003719CD" w:rsidRDefault="003719CD" w:rsidP="00DC39DE">
      <w:r>
        <w:t xml:space="preserve">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 then the most relevant market is referenced. </w:t>
      </w:r>
    </w:p>
    <w:p w14:paraId="36FC2173" w14:textId="77777777" w:rsidR="003719CD" w:rsidRDefault="003719CD" w:rsidP="00DC39DE">
      <w:r>
        <w:t>In the event market determined prices or values are not available for a biological asset in its present condition, the present value of the expected net cash flows from the asset, discounted at a current market determined rate, is utilised to determine fair value.</w:t>
      </w:r>
    </w:p>
    <w:p w14:paraId="019C0356" w14:textId="77777777" w:rsidR="003719CD" w:rsidRDefault="003719CD" w:rsidP="00DC39DE">
      <w:r>
        <w:t>The fair value less costs to sell of timber harvested during the period was $1.56 million.</w:t>
      </w:r>
    </w:p>
    <w:p w14:paraId="5938A374" w14:textId="462BFC61" w:rsidR="003719CD" w:rsidRDefault="003719CD" w:rsidP="00DC39DE">
      <w:r>
        <w:t>As at 30 June</w:t>
      </w:r>
      <w:r w:rsidR="00CD5575">
        <w:t xml:space="preserve"> </w:t>
      </w:r>
      <w:fldSimple w:instr="DOCPROPERTY  YearCurrent  \* MERGEFORMAT">
        <w:r w:rsidR="00A545BA">
          <w:t>20X2</w:t>
        </w:r>
      </w:fldSimple>
      <w:r>
        <w:t>, the Department had commitments for the acquisition of breeding livestock amounting to $150 000 (</w:t>
      </w:r>
      <w:fldSimple w:instr="DOCPROPERTY  YearPrevious  \* MERGEFORMAT">
        <w:r w:rsidR="00A545BA">
          <w:t>20X1</w:t>
        </w:r>
      </w:fldSimple>
      <w:r>
        <w:t>: $nil).</w:t>
      </w:r>
    </w:p>
    <w:p w14:paraId="6CE36F3B" w14:textId="77777777" w:rsidR="003719CD" w:rsidRDefault="003719CD" w:rsidP="00DC39DE">
      <w:r>
        <w:t>The Department is exposed to financial risks in respect of its biological activities, in particular, potential insufficient working capital for commercial native forests activities. The primary financial risk occurs due to the length of time between expending cash on the purchase, planting and maintenance of trees and on felling the adult trees and ultimately receiving the cash from the eventual sale to third parties. The Department manages these risks by actively reviewing and managing the working capital requirements of these activities.</w:t>
      </w:r>
    </w:p>
    <w:p w14:paraId="6C2F2AC9" w14:textId="77777777" w:rsidR="003719CD" w:rsidRDefault="003719CD" w:rsidP="007D536F">
      <w:pPr>
        <w:pStyle w:val="Caption"/>
      </w:pPr>
      <w:r>
        <w:t xml:space="preserve">Reconciliation of movement in carrying amounts </w:t>
      </w:r>
      <w:r w:rsidRPr="000B20D1">
        <w:rPr>
          <w:rStyle w:val="Reference"/>
        </w:rPr>
        <w:t>[AASB 141.50]</w:t>
      </w:r>
      <w:r>
        <w:t xml:space="preserve"> </w:t>
      </w:r>
      <w:r>
        <w:tab/>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19112D8E" w14:textId="77777777" w:rsidTr="00B53D76">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09C5981A" w14:textId="77777777" w:rsidR="00182709" w:rsidRDefault="0044097C">
            <w:pPr>
              <w:keepNext/>
              <w:jc w:val="left"/>
            </w:pPr>
            <w:r>
              <w:rPr>
                <w:color w:val="4472C4"/>
                <w:sz w:val="13"/>
              </w:rPr>
              <w:t>Source reference</w:t>
            </w:r>
          </w:p>
        </w:tc>
        <w:tc>
          <w:tcPr>
            <w:tcW w:w="3111" w:type="dxa"/>
          </w:tcPr>
          <w:p w14:paraId="7C68DB55" w14:textId="77777777" w:rsidR="00182709" w:rsidRDefault="00182709">
            <w:pPr>
              <w:keepNext/>
              <w:jc w:val="left"/>
            </w:pPr>
          </w:p>
        </w:tc>
        <w:tc>
          <w:tcPr>
            <w:tcW w:w="1728" w:type="dxa"/>
            <w:gridSpan w:val="2"/>
          </w:tcPr>
          <w:p w14:paraId="5DB34D6E" w14:textId="77777777" w:rsidR="00182709" w:rsidRDefault="0044097C">
            <w:pPr>
              <w:keepNext/>
              <w:jc w:val="center"/>
            </w:pPr>
            <w:r>
              <w:t>Livestock</w:t>
            </w:r>
          </w:p>
        </w:tc>
        <w:tc>
          <w:tcPr>
            <w:tcW w:w="1728" w:type="dxa"/>
            <w:gridSpan w:val="2"/>
          </w:tcPr>
          <w:p w14:paraId="42AE510C" w14:textId="77777777" w:rsidR="00182709" w:rsidRDefault="0044097C">
            <w:pPr>
              <w:keepNext/>
              <w:jc w:val="center"/>
            </w:pPr>
            <w:r>
              <w:t>Nature forests</w:t>
            </w:r>
          </w:p>
        </w:tc>
        <w:tc>
          <w:tcPr>
            <w:tcW w:w="1728" w:type="dxa"/>
            <w:gridSpan w:val="2"/>
          </w:tcPr>
          <w:p w14:paraId="34681C44" w14:textId="77777777" w:rsidR="00182709" w:rsidRDefault="0044097C">
            <w:pPr>
              <w:keepNext/>
              <w:jc w:val="center"/>
            </w:pPr>
            <w:r>
              <w:t>Total</w:t>
            </w:r>
          </w:p>
        </w:tc>
      </w:tr>
      <w:tr w:rsidR="00B53D76" w14:paraId="0819BC81" w14:textId="77777777" w:rsidTr="00B53D76">
        <w:trPr>
          <w:cnfStyle w:val="100000000000" w:firstRow="1" w:lastRow="0" w:firstColumn="0" w:lastColumn="0" w:oddVBand="0" w:evenVBand="0" w:oddHBand="0" w:evenHBand="0" w:firstRowFirstColumn="0" w:firstRowLastColumn="0" w:lastRowFirstColumn="0" w:lastRowLastColumn="0"/>
          <w:tblHeader/>
        </w:trPr>
        <w:tc>
          <w:tcPr>
            <w:tcW w:w="1344" w:type="dxa"/>
            <w:tcBorders>
              <w:top w:val="nil"/>
              <w:bottom w:val="nil"/>
            </w:tcBorders>
            <w:shd w:val="clear" w:color="auto" w:fill="FFFFFF" w:themeFill="background1"/>
          </w:tcPr>
          <w:p w14:paraId="430D53B0" w14:textId="77777777" w:rsidR="00B53D76" w:rsidRDefault="00B53D76" w:rsidP="00B53D76">
            <w:pPr>
              <w:keepNext/>
              <w:jc w:val="left"/>
            </w:pPr>
          </w:p>
        </w:tc>
        <w:tc>
          <w:tcPr>
            <w:tcW w:w="3111" w:type="dxa"/>
          </w:tcPr>
          <w:p w14:paraId="71505C21" w14:textId="77777777" w:rsidR="00B53D76" w:rsidRDefault="00B53D76" w:rsidP="00B53D76">
            <w:pPr>
              <w:keepNext/>
              <w:jc w:val="left"/>
            </w:pPr>
          </w:p>
        </w:tc>
        <w:tc>
          <w:tcPr>
            <w:tcW w:w="864" w:type="dxa"/>
          </w:tcPr>
          <w:p w14:paraId="32EB4BFC" w14:textId="0D154A56" w:rsidR="00B53D76" w:rsidRPr="00B53D76" w:rsidRDefault="00B53D76" w:rsidP="00B53D76">
            <w:pPr>
              <w:keepNext/>
            </w:pPr>
            <w:fldSimple w:instr="DOCPROPERTY  YearCurrent \* MERGEFORMAT">
              <w:r w:rsidRPr="00B53D76">
                <w:t>20X2</w:t>
              </w:r>
            </w:fldSimple>
          </w:p>
        </w:tc>
        <w:tc>
          <w:tcPr>
            <w:tcW w:w="864" w:type="dxa"/>
          </w:tcPr>
          <w:p w14:paraId="07CECEE7" w14:textId="755B6221" w:rsidR="00B53D76" w:rsidRPr="00B53D76" w:rsidRDefault="00B53D76" w:rsidP="00B53D76">
            <w:pPr>
              <w:keepNext/>
            </w:pPr>
            <w:fldSimple w:instr="DOCPROPERTY  YearPrevious  \* MERGEFORMAT">
              <w:r w:rsidRPr="00B53D76">
                <w:t>20X1</w:t>
              </w:r>
            </w:fldSimple>
          </w:p>
        </w:tc>
        <w:tc>
          <w:tcPr>
            <w:tcW w:w="864" w:type="dxa"/>
          </w:tcPr>
          <w:p w14:paraId="23E42AEB" w14:textId="550C40A2" w:rsidR="00B53D76" w:rsidRPr="00B53D76" w:rsidRDefault="00B53D76" w:rsidP="00B53D76">
            <w:pPr>
              <w:keepNext/>
            </w:pPr>
            <w:fldSimple w:instr="DOCPROPERTY  YearCurrent \* MERGEFORMAT">
              <w:r w:rsidRPr="00B53D76">
                <w:t>20X2</w:t>
              </w:r>
            </w:fldSimple>
          </w:p>
        </w:tc>
        <w:tc>
          <w:tcPr>
            <w:tcW w:w="864" w:type="dxa"/>
          </w:tcPr>
          <w:p w14:paraId="034F394A" w14:textId="0CC39228" w:rsidR="00B53D76" w:rsidRPr="00B53D76" w:rsidRDefault="00B53D76" w:rsidP="00B53D76">
            <w:pPr>
              <w:keepNext/>
            </w:pPr>
            <w:fldSimple w:instr="DOCPROPERTY  YearPrevious  \* MERGEFORMAT">
              <w:r w:rsidRPr="00B53D76">
                <w:t>20X1</w:t>
              </w:r>
            </w:fldSimple>
          </w:p>
        </w:tc>
        <w:tc>
          <w:tcPr>
            <w:tcW w:w="864" w:type="dxa"/>
          </w:tcPr>
          <w:p w14:paraId="11557D0A" w14:textId="0E7E802F" w:rsidR="00B53D76" w:rsidRPr="00B53D76" w:rsidRDefault="00B53D76" w:rsidP="00B53D76">
            <w:pPr>
              <w:keepNext/>
            </w:pPr>
            <w:fldSimple w:instr="DOCPROPERTY  YearCurrent \* MERGEFORMAT">
              <w:r w:rsidRPr="00B53D76">
                <w:t>20X2</w:t>
              </w:r>
            </w:fldSimple>
          </w:p>
        </w:tc>
        <w:tc>
          <w:tcPr>
            <w:tcW w:w="864" w:type="dxa"/>
          </w:tcPr>
          <w:p w14:paraId="17AAA21C" w14:textId="283737A9" w:rsidR="00B53D76" w:rsidRPr="00B53D76" w:rsidRDefault="00B53D76" w:rsidP="00B53D76">
            <w:pPr>
              <w:keepNext/>
            </w:pPr>
            <w:fldSimple w:instr="DOCPROPERTY  YearPrevious  \* MERGEFORMAT">
              <w:r w:rsidRPr="00B53D76">
                <w:t>20X1</w:t>
              </w:r>
            </w:fldSimple>
          </w:p>
        </w:tc>
      </w:tr>
      <w:tr w:rsidR="00182709" w14:paraId="790DECC3" w14:textId="77777777" w:rsidTr="00B53D76">
        <w:tc>
          <w:tcPr>
            <w:tcW w:w="1344" w:type="dxa"/>
          </w:tcPr>
          <w:p w14:paraId="5E615A68" w14:textId="77777777" w:rsidR="00182709" w:rsidRDefault="00182709">
            <w:pPr>
              <w:jc w:val="left"/>
            </w:pPr>
          </w:p>
        </w:tc>
        <w:tc>
          <w:tcPr>
            <w:tcW w:w="3111" w:type="dxa"/>
          </w:tcPr>
          <w:p w14:paraId="57D634CD" w14:textId="77777777" w:rsidR="00182709" w:rsidRDefault="0044097C">
            <w:pPr>
              <w:jc w:val="left"/>
            </w:pPr>
            <w:r>
              <w:t>Carrying amount at beginning of period</w:t>
            </w:r>
          </w:p>
        </w:tc>
        <w:tc>
          <w:tcPr>
            <w:tcW w:w="864" w:type="dxa"/>
          </w:tcPr>
          <w:p w14:paraId="4FB48153" w14:textId="77777777" w:rsidR="00182709" w:rsidRDefault="0044097C">
            <w:r>
              <w:t>..</w:t>
            </w:r>
          </w:p>
        </w:tc>
        <w:tc>
          <w:tcPr>
            <w:tcW w:w="864" w:type="dxa"/>
          </w:tcPr>
          <w:p w14:paraId="5AD239B9" w14:textId="77777777" w:rsidR="00182709" w:rsidRDefault="0044097C">
            <w:r>
              <w:t>..</w:t>
            </w:r>
          </w:p>
        </w:tc>
        <w:tc>
          <w:tcPr>
            <w:tcW w:w="864" w:type="dxa"/>
          </w:tcPr>
          <w:p w14:paraId="4DFD4F9D" w14:textId="77777777" w:rsidR="00182709" w:rsidRDefault="0044097C">
            <w:r>
              <w:t>..</w:t>
            </w:r>
          </w:p>
        </w:tc>
        <w:tc>
          <w:tcPr>
            <w:tcW w:w="864" w:type="dxa"/>
          </w:tcPr>
          <w:p w14:paraId="09E418F9" w14:textId="77777777" w:rsidR="00182709" w:rsidRDefault="0044097C">
            <w:r>
              <w:t>..</w:t>
            </w:r>
          </w:p>
        </w:tc>
        <w:tc>
          <w:tcPr>
            <w:tcW w:w="864" w:type="dxa"/>
          </w:tcPr>
          <w:p w14:paraId="0E9EC142" w14:textId="77777777" w:rsidR="00182709" w:rsidRDefault="0044097C">
            <w:r>
              <w:t>..</w:t>
            </w:r>
          </w:p>
        </w:tc>
        <w:tc>
          <w:tcPr>
            <w:tcW w:w="864" w:type="dxa"/>
          </w:tcPr>
          <w:p w14:paraId="7B68A850" w14:textId="77777777" w:rsidR="00182709" w:rsidRDefault="0044097C">
            <w:r>
              <w:t>..</w:t>
            </w:r>
          </w:p>
        </w:tc>
      </w:tr>
      <w:tr w:rsidR="00182709" w14:paraId="71F19BDC" w14:textId="77777777" w:rsidTr="00B53D76">
        <w:tc>
          <w:tcPr>
            <w:tcW w:w="1344" w:type="dxa"/>
          </w:tcPr>
          <w:p w14:paraId="2640DDAB" w14:textId="77777777" w:rsidR="00182709" w:rsidRDefault="0044097C">
            <w:pPr>
              <w:jc w:val="left"/>
            </w:pPr>
            <w:r>
              <w:rPr>
                <w:color w:val="4472C4"/>
                <w:sz w:val="13"/>
              </w:rPr>
              <w:t>AASB 141.50 (b)</w:t>
            </w:r>
          </w:p>
        </w:tc>
        <w:tc>
          <w:tcPr>
            <w:tcW w:w="3111" w:type="dxa"/>
          </w:tcPr>
          <w:p w14:paraId="2184A118" w14:textId="77777777" w:rsidR="00182709" w:rsidRDefault="0044097C">
            <w:pPr>
              <w:jc w:val="left"/>
            </w:pPr>
            <w:r>
              <w:t>Increases due to acquisition/transfers in</w:t>
            </w:r>
          </w:p>
        </w:tc>
        <w:tc>
          <w:tcPr>
            <w:tcW w:w="864" w:type="dxa"/>
          </w:tcPr>
          <w:p w14:paraId="7824E37E" w14:textId="77777777" w:rsidR="00182709" w:rsidRDefault="0044097C">
            <w:r>
              <w:t>2 545</w:t>
            </w:r>
          </w:p>
        </w:tc>
        <w:tc>
          <w:tcPr>
            <w:tcW w:w="864" w:type="dxa"/>
          </w:tcPr>
          <w:p w14:paraId="3A384771" w14:textId="77777777" w:rsidR="00182709" w:rsidRDefault="0044097C">
            <w:r>
              <w:t>..</w:t>
            </w:r>
          </w:p>
        </w:tc>
        <w:tc>
          <w:tcPr>
            <w:tcW w:w="864" w:type="dxa"/>
          </w:tcPr>
          <w:p w14:paraId="1C199ED5" w14:textId="77777777" w:rsidR="00182709" w:rsidRDefault="0044097C">
            <w:r>
              <w:t>657</w:t>
            </w:r>
          </w:p>
        </w:tc>
        <w:tc>
          <w:tcPr>
            <w:tcW w:w="864" w:type="dxa"/>
          </w:tcPr>
          <w:p w14:paraId="1DEF109F" w14:textId="77777777" w:rsidR="00182709" w:rsidRDefault="0044097C">
            <w:r>
              <w:t>..</w:t>
            </w:r>
          </w:p>
        </w:tc>
        <w:tc>
          <w:tcPr>
            <w:tcW w:w="864" w:type="dxa"/>
          </w:tcPr>
          <w:p w14:paraId="775D62EC" w14:textId="77777777" w:rsidR="00182709" w:rsidRDefault="0044097C">
            <w:r>
              <w:t>3 202</w:t>
            </w:r>
          </w:p>
        </w:tc>
        <w:tc>
          <w:tcPr>
            <w:tcW w:w="864" w:type="dxa"/>
          </w:tcPr>
          <w:p w14:paraId="54A8FCA8" w14:textId="77777777" w:rsidR="00182709" w:rsidRDefault="0044097C">
            <w:r>
              <w:t>..</w:t>
            </w:r>
          </w:p>
        </w:tc>
      </w:tr>
      <w:tr w:rsidR="00182709" w14:paraId="4343A675" w14:textId="77777777" w:rsidTr="00B53D76">
        <w:tc>
          <w:tcPr>
            <w:tcW w:w="1344" w:type="dxa"/>
          </w:tcPr>
          <w:p w14:paraId="5CF5372A" w14:textId="5DC9DC18" w:rsidR="00182709" w:rsidRDefault="0044097C">
            <w:pPr>
              <w:jc w:val="left"/>
            </w:pPr>
            <w:r>
              <w:rPr>
                <w:color w:val="4472C4"/>
                <w:sz w:val="13"/>
              </w:rPr>
              <w:t>AASB 141.50 (</w:t>
            </w:r>
            <w:r w:rsidR="003B1DAF">
              <w:rPr>
                <w:color w:val="4472C4"/>
                <w:sz w:val="13"/>
              </w:rPr>
              <w:t>b</w:t>
            </w:r>
            <w:r>
              <w:rPr>
                <w:color w:val="4472C4"/>
                <w:sz w:val="13"/>
              </w:rPr>
              <w:t>)</w:t>
            </w:r>
          </w:p>
        </w:tc>
        <w:tc>
          <w:tcPr>
            <w:tcW w:w="3111" w:type="dxa"/>
          </w:tcPr>
          <w:p w14:paraId="465223FE" w14:textId="77777777" w:rsidR="00182709" w:rsidRDefault="0044097C">
            <w:pPr>
              <w:jc w:val="left"/>
            </w:pPr>
            <w:r>
              <w:t>Increases due to purchases</w:t>
            </w:r>
          </w:p>
        </w:tc>
        <w:tc>
          <w:tcPr>
            <w:tcW w:w="864" w:type="dxa"/>
          </w:tcPr>
          <w:p w14:paraId="583BAA07" w14:textId="77777777" w:rsidR="00182709" w:rsidRDefault="0044097C">
            <w:r>
              <w:t>..</w:t>
            </w:r>
          </w:p>
        </w:tc>
        <w:tc>
          <w:tcPr>
            <w:tcW w:w="864" w:type="dxa"/>
          </w:tcPr>
          <w:p w14:paraId="03F6B7D2" w14:textId="77777777" w:rsidR="00182709" w:rsidRDefault="0044097C">
            <w:r>
              <w:t>..</w:t>
            </w:r>
          </w:p>
        </w:tc>
        <w:tc>
          <w:tcPr>
            <w:tcW w:w="864" w:type="dxa"/>
          </w:tcPr>
          <w:p w14:paraId="2AF6AEA2" w14:textId="77777777" w:rsidR="00182709" w:rsidRDefault="0044097C">
            <w:r>
              <w:t>856</w:t>
            </w:r>
          </w:p>
        </w:tc>
        <w:tc>
          <w:tcPr>
            <w:tcW w:w="864" w:type="dxa"/>
          </w:tcPr>
          <w:p w14:paraId="5496514B" w14:textId="77777777" w:rsidR="00182709" w:rsidRDefault="0044097C">
            <w:r>
              <w:t>..</w:t>
            </w:r>
          </w:p>
        </w:tc>
        <w:tc>
          <w:tcPr>
            <w:tcW w:w="864" w:type="dxa"/>
          </w:tcPr>
          <w:p w14:paraId="25B99F49" w14:textId="77777777" w:rsidR="00182709" w:rsidRDefault="0044097C">
            <w:r>
              <w:t>856</w:t>
            </w:r>
          </w:p>
        </w:tc>
        <w:tc>
          <w:tcPr>
            <w:tcW w:w="864" w:type="dxa"/>
          </w:tcPr>
          <w:p w14:paraId="5D2082B8" w14:textId="77777777" w:rsidR="00182709" w:rsidRDefault="0044097C">
            <w:r>
              <w:t>..</w:t>
            </w:r>
          </w:p>
        </w:tc>
      </w:tr>
      <w:tr w:rsidR="00182709" w14:paraId="69503AB2" w14:textId="77777777" w:rsidTr="00B53D76">
        <w:tc>
          <w:tcPr>
            <w:tcW w:w="1344" w:type="dxa"/>
          </w:tcPr>
          <w:p w14:paraId="1555B9A3" w14:textId="419C083B" w:rsidR="00182709" w:rsidRDefault="0044097C">
            <w:pPr>
              <w:jc w:val="left"/>
            </w:pPr>
            <w:r>
              <w:rPr>
                <w:color w:val="4472C4"/>
                <w:sz w:val="13"/>
              </w:rPr>
              <w:t>AASB 141.50 (</w:t>
            </w:r>
            <w:r w:rsidR="008A4999">
              <w:rPr>
                <w:color w:val="4472C4"/>
                <w:sz w:val="13"/>
              </w:rPr>
              <w:t>a</w:t>
            </w:r>
            <w:r>
              <w:rPr>
                <w:color w:val="4472C4"/>
                <w:sz w:val="13"/>
              </w:rPr>
              <w:t>)</w:t>
            </w:r>
          </w:p>
        </w:tc>
        <w:tc>
          <w:tcPr>
            <w:tcW w:w="3111" w:type="dxa"/>
          </w:tcPr>
          <w:p w14:paraId="14BF619B" w14:textId="77777777" w:rsidR="00182709" w:rsidRDefault="0044097C">
            <w:pPr>
              <w:jc w:val="left"/>
            </w:pPr>
            <w:r>
              <w:t>Increase/decrease due to fair value adjustment</w:t>
            </w:r>
          </w:p>
        </w:tc>
        <w:tc>
          <w:tcPr>
            <w:tcW w:w="864" w:type="dxa"/>
          </w:tcPr>
          <w:p w14:paraId="0D10446A" w14:textId="77777777" w:rsidR="00182709" w:rsidRDefault="0044097C">
            <w:r>
              <w:t>1 454</w:t>
            </w:r>
          </w:p>
        </w:tc>
        <w:tc>
          <w:tcPr>
            <w:tcW w:w="864" w:type="dxa"/>
          </w:tcPr>
          <w:p w14:paraId="441D4676" w14:textId="77777777" w:rsidR="00182709" w:rsidRDefault="0044097C">
            <w:r>
              <w:t>..</w:t>
            </w:r>
          </w:p>
        </w:tc>
        <w:tc>
          <w:tcPr>
            <w:tcW w:w="864" w:type="dxa"/>
          </w:tcPr>
          <w:p w14:paraId="3225004C" w14:textId="77777777" w:rsidR="00182709" w:rsidRDefault="0044097C">
            <w:r>
              <w:t>22</w:t>
            </w:r>
          </w:p>
        </w:tc>
        <w:tc>
          <w:tcPr>
            <w:tcW w:w="864" w:type="dxa"/>
          </w:tcPr>
          <w:p w14:paraId="50893EDF" w14:textId="77777777" w:rsidR="00182709" w:rsidRDefault="0044097C">
            <w:r>
              <w:t>..</w:t>
            </w:r>
          </w:p>
        </w:tc>
        <w:tc>
          <w:tcPr>
            <w:tcW w:w="864" w:type="dxa"/>
          </w:tcPr>
          <w:p w14:paraId="3C3DD3FE" w14:textId="77777777" w:rsidR="00182709" w:rsidRDefault="0044097C">
            <w:r>
              <w:t>1 476</w:t>
            </w:r>
          </w:p>
        </w:tc>
        <w:tc>
          <w:tcPr>
            <w:tcW w:w="864" w:type="dxa"/>
          </w:tcPr>
          <w:p w14:paraId="2AFA8F17" w14:textId="77777777" w:rsidR="00182709" w:rsidRDefault="0044097C">
            <w:r>
              <w:t>..</w:t>
            </w:r>
          </w:p>
        </w:tc>
      </w:tr>
      <w:tr w:rsidR="00182709" w14:paraId="053E3D55" w14:textId="77777777" w:rsidTr="00B53D76">
        <w:tc>
          <w:tcPr>
            <w:tcW w:w="1344" w:type="dxa"/>
          </w:tcPr>
          <w:p w14:paraId="45E8BA98" w14:textId="49BC8875" w:rsidR="00182709" w:rsidRDefault="0044097C">
            <w:pPr>
              <w:jc w:val="left"/>
            </w:pPr>
            <w:r>
              <w:rPr>
                <w:color w:val="4472C4"/>
                <w:sz w:val="13"/>
              </w:rPr>
              <w:t>AASB 141.50 (</w:t>
            </w:r>
            <w:r w:rsidR="005A70BE">
              <w:rPr>
                <w:color w:val="4472C4"/>
                <w:sz w:val="13"/>
              </w:rPr>
              <w:t>c</w:t>
            </w:r>
            <w:r>
              <w:rPr>
                <w:color w:val="4472C4"/>
                <w:sz w:val="13"/>
              </w:rPr>
              <w:t>)</w:t>
            </w:r>
          </w:p>
        </w:tc>
        <w:tc>
          <w:tcPr>
            <w:tcW w:w="3111" w:type="dxa"/>
          </w:tcPr>
          <w:p w14:paraId="0C4B43B2" w14:textId="77777777" w:rsidR="00182709" w:rsidRDefault="0044097C">
            <w:pPr>
              <w:jc w:val="left"/>
            </w:pPr>
            <w:r>
              <w:t>Decreases attributable to disposal/transfers out</w:t>
            </w:r>
          </w:p>
        </w:tc>
        <w:tc>
          <w:tcPr>
            <w:tcW w:w="864" w:type="dxa"/>
          </w:tcPr>
          <w:p w14:paraId="3E70BB69" w14:textId="77777777" w:rsidR="00182709" w:rsidRDefault="0044097C">
            <w:r>
              <w:t>..</w:t>
            </w:r>
          </w:p>
        </w:tc>
        <w:tc>
          <w:tcPr>
            <w:tcW w:w="864" w:type="dxa"/>
          </w:tcPr>
          <w:p w14:paraId="05D28A62" w14:textId="77777777" w:rsidR="00182709" w:rsidRDefault="0044097C">
            <w:r>
              <w:t>..</w:t>
            </w:r>
          </w:p>
        </w:tc>
        <w:tc>
          <w:tcPr>
            <w:tcW w:w="864" w:type="dxa"/>
          </w:tcPr>
          <w:p w14:paraId="79137FE7" w14:textId="77777777" w:rsidR="00182709" w:rsidRDefault="0044097C">
            <w:r>
              <w:t>(250)</w:t>
            </w:r>
          </w:p>
        </w:tc>
        <w:tc>
          <w:tcPr>
            <w:tcW w:w="864" w:type="dxa"/>
          </w:tcPr>
          <w:p w14:paraId="7C1ECADC" w14:textId="77777777" w:rsidR="00182709" w:rsidRDefault="0044097C">
            <w:r>
              <w:t>..</w:t>
            </w:r>
          </w:p>
        </w:tc>
        <w:tc>
          <w:tcPr>
            <w:tcW w:w="864" w:type="dxa"/>
          </w:tcPr>
          <w:p w14:paraId="44594332" w14:textId="77777777" w:rsidR="00182709" w:rsidRDefault="0044097C">
            <w:r>
              <w:t>(250)</w:t>
            </w:r>
          </w:p>
        </w:tc>
        <w:tc>
          <w:tcPr>
            <w:tcW w:w="864" w:type="dxa"/>
          </w:tcPr>
          <w:p w14:paraId="2F73B6F2" w14:textId="77777777" w:rsidR="00182709" w:rsidRDefault="0044097C">
            <w:r>
              <w:t>..</w:t>
            </w:r>
          </w:p>
        </w:tc>
      </w:tr>
      <w:tr w:rsidR="00182709" w14:paraId="6EA19A23" w14:textId="77777777" w:rsidTr="00B53D76">
        <w:tc>
          <w:tcPr>
            <w:tcW w:w="1344" w:type="dxa"/>
          </w:tcPr>
          <w:p w14:paraId="3FC38A12" w14:textId="14F9641C" w:rsidR="00182709" w:rsidRDefault="0044097C">
            <w:pPr>
              <w:jc w:val="left"/>
            </w:pPr>
            <w:r>
              <w:rPr>
                <w:color w:val="4472C4"/>
                <w:sz w:val="13"/>
              </w:rPr>
              <w:t>AASB 141.50 (</w:t>
            </w:r>
            <w:r w:rsidR="0081589D">
              <w:rPr>
                <w:color w:val="4472C4"/>
                <w:sz w:val="13"/>
              </w:rPr>
              <w:t>d</w:t>
            </w:r>
            <w:r>
              <w:rPr>
                <w:color w:val="4472C4"/>
                <w:sz w:val="13"/>
              </w:rPr>
              <w:t>)</w:t>
            </w:r>
          </w:p>
        </w:tc>
        <w:tc>
          <w:tcPr>
            <w:tcW w:w="3111" w:type="dxa"/>
          </w:tcPr>
          <w:p w14:paraId="4B94A41D" w14:textId="77777777" w:rsidR="00182709" w:rsidRDefault="0044097C">
            <w:pPr>
              <w:jc w:val="left"/>
            </w:pPr>
            <w:r>
              <w:t>Decreases due to harvest</w:t>
            </w:r>
          </w:p>
        </w:tc>
        <w:tc>
          <w:tcPr>
            <w:tcW w:w="864" w:type="dxa"/>
          </w:tcPr>
          <w:p w14:paraId="2068C2A1" w14:textId="77777777" w:rsidR="00182709" w:rsidRDefault="0044097C">
            <w:r>
              <w:t>(1 250)</w:t>
            </w:r>
          </w:p>
        </w:tc>
        <w:tc>
          <w:tcPr>
            <w:tcW w:w="864" w:type="dxa"/>
          </w:tcPr>
          <w:p w14:paraId="6DFF6903" w14:textId="77777777" w:rsidR="00182709" w:rsidRDefault="0044097C">
            <w:r>
              <w:t>..</w:t>
            </w:r>
          </w:p>
        </w:tc>
        <w:tc>
          <w:tcPr>
            <w:tcW w:w="864" w:type="dxa"/>
          </w:tcPr>
          <w:p w14:paraId="7A6C7FB6" w14:textId="77777777" w:rsidR="00182709" w:rsidRDefault="0044097C">
            <w:r>
              <w:t>..</w:t>
            </w:r>
          </w:p>
        </w:tc>
        <w:tc>
          <w:tcPr>
            <w:tcW w:w="864" w:type="dxa"/>
          </w:tcPr>
          <w:p w14:paraId="2F6C716A" w14:textId="77777777" w:rsidR="00182709" w:rsidRDefault="0044097C">
            <w:r>
              <w:t>..</w:t>
            </w:r>
          </w:p>
        </w:tc>
        <w:tc>
          <w:tcPr>
            <w:tcW w:w="864" w:type="dxa"/>
          </w:tcPr>
          <w:p w14:paraId="6E47B291" w14:textId="77777777" w:rsidR="00182709" w:rsidRDefault="0044097C">
            <w:r>
              <w:t>(1 250)</w:t>
            </w:r>
          </w:p>
        </w:tc>
        <w:tc>
          <w:tcPr>
            <w:tcW w:w="864" w:type="dxa"/>
          </w:tcPr>
          <w:p w14:paraId="4F9A5451" w14:textId="77777777" w:rsidR="00182709" w:rsidRDefault="0044097C">
            <w:r>
              <w:t>..</w:t>
            </w:r>
          </w:p>
        </w:tc>
      </w:tr>
      <w:tr w:rsidR="00182709" w14:paraId="4219C474" w14:textId="77777777" w:rsidTr="00B53D76">
        <w:tc>
          <w:tcPr>
            <w:tcW w:w="1344" w:type="dxa"/>
          </w:tcPr>
          <w:p w14:paraId="48A33470" w14:textId="77777777" w:rsidR="00182709" w:rsidRDefault="00182709">
            <w:pPr>
              <w:jc w:val="left"/>
            </w:pPr>
          </w:p>
        </w:tc>
        <w:tc>
          <w:tcPr>
            <w:tcW w:w="3111" w:type="dxa"/>
            <w:tcBorders>
              <w:bottom w:val="single" w:sz="12" w:space="0" w:color="auto"/>
            </w:tcBorders>
          </w:tcPr>
          <w:p w14:paraId="381F931E" w14:textId="77777777" w:rsidR="00182709" w:rsidRDefault="0044097C">
            <w:pPr>
              <w:jc w:val="left"/>
            </w:pPr>
            <w:r>
              <w:t>Other changes</w:t>
            </w:r>
          </w:p>
        </w:tc>
        <w:tc>
          <w:tcPr>
            <w:tcW w:w="864" w:type="dxa"/>
            <w:tcBorders>
              <w:bottom w:val="single" w:sz="12" w:space="0" w:color="auto"/>
            </w:tcBorders>
          </w:tcPr>
          <w:p w14:paraId="2E5BA4FD" w14:textId="77777777" w:rsidR="00182709" w:rsidRDefault="0044097C">
            <w:r>
              <w:t>..</w:t>
            </w:r>
          </w:p>
        </w:tc>
        <w:tc>
          <w:tcPr>
            <w:tcW w:w="864" w:type="dxa"/>
            <w:tcBorders>
              <w:bottom w:val="single" w:sz="12" w:space="0" w:color="auto"/>
            </w:tcBorders>
          </w:tcPr>
          <w:p w14:paraId="0CD55581" w14:textId="77777777" w:rsidR="00182709" w:rsidRDefault="0044097C">
            <w:r>
              <w:t>..</w:t>
            </w:r>
          </w:p>
        </w:tc>
        <w:tc>
          <w:tcPr>
            <w:tcW w:w="864" w:type="dxa"/>
            <w:tcBorders>
              <w:bottom w:val="single" w:sz="12" w:space="0" w:color="auto"/>
            </w:tcBorders>
          </w:tcPr>
          <w:p w14:paraId="6F3DF64D" w14:textId="77777777" w:rsidR="00182709" w:rsidRDefault="0044097C">
            <w:r>
              <w:t>..</w:t>
            </w:r>
          </w:p>
        </w:tc>
        <w:tc>
          <w:tcPr>
            <w:tcW w:w="864" w:type="dxa"/>
            <w:tcBorders>
              <w:bottom w:val="single" w:sz="12" w:space="0" w:color="auto"/>
            </w:tcBorders>
          </w:tcPr>
          <w:p w14:paraId="371EC9E8" w14:textId="77777777" w:rsidR="00182709" w:rsidRDefault="0044097C">
            <w:r>
              <w:t>..</w:t>
            </w:r>
          </w:p>
        </w:tc>
        <w:tc>
          <w:tcPr>
            <w:tcW w:w="864" w:type="dxa"/>
            <w:tcBorders>
              <w:bottom w:val="single" w:sz="12" w:space="0" w:color="auto"/>
            </w:tcBorders>
          </w:tcPr>
          <w:p w14:paraId="33348C58" w14:textId="77777777" w:rsidR="00182709" w:rsidRDefault="0044097C">
            <w:r>
              <w:t>..</w:t>
            </w:r>
          </w:p>
        </w:tc>
        <w:tc>
          <w:tcPr>
            <w:tcW w:w="864" w:type="dxa"/>
            <w:tcBorders>
              <w:bottom w:val="single" w:sz="12" w:space="0" w:color="auto"/>
            </w:tcBorders>
          </w:tcPr>
          <w:p w14:paraId="01F8D541" w14:textId="77777777" w:rsidR="00182709" w:rsidRDefault="0044097C">
            <w:r>
              <w:t>..</w:t>
            </w:r>
          </w:p>
        </w:tc>
      </w:tr>
      <w:tr w:rsidR="00671D55" w14:paraId="41643598" w14:textId="77777777" w:rsidTr="00B53D76">
        <w:tc>
          <w:tcPr>
            <w:tcW w:w="1344" w:type="dxa"/>
            <w:tcBorders>
              <w:bottom w:val="nil"/>
            </w:tcBorders>
          </w:tcPr>
          <w:p w14:paraId="71926590" w14:textId="77777777" w:rsidR="00182709" w:rsidRDefault="00182709">
            <w:pPr>
              <w:jc w:val="left"/>
            </w:pPr>
          </w:p>
        </w:tc>
        <w:tc>
          <w:tcPr>
            <w:tcW w:w="3111" w:type="dxa"/>
          </w:tcPr>
          <w:p w14:paraId="184F4AD6" w14:textId="77777777" w:rsidR="00182709" w:rsidRDefault="0044097C">
            <w:pPr>
              <w:jc w:val="left"/>
            </w:pPr>
            <w:r>
              <w:rPr>
                <w:b/>
              </w:rPr>
              <w:t>Carrying amount at end of period</w:t>
            </w:r>
          </w:p>
        </w:tc>
        <w:tc>
          <w:tcPr>
            <w:tcW w:w="864" w:type="dxa"/>
          </w:tcPr>
          <w:p w14:paraId="34F6C198" w14:textId="77777777" w:rsidR="00182709" w:rsidRDefault="0044097C">
            <w:r>
              <w:rPr>
                <w:b/>
              </w:rPr>
              <w:t>2 749</w:t>
            </w:r>
          </w:p>
        </w:tc>
        <w:tc>
          <w:tcPr>
            <w:tcW w:w="864" w:type="dxa"/>
          </w:tcPr>
          <w:p w14:paraId="796DB37D" w14:textId="77777777" w:rsidR="00182709" w:rsidRDefault="0044097C">
            <w:r>
              <w:rPr>
                <w:b/>
              </w:rPr>
              <w:t>..</w:t>
            </w:r>
          </w:p>
        </w:tc>
        <w:tc>
          <w:tcPr>
            <w:tcW w:w="864" w:type="dxa"/>
          </w:tcPr>
          <w:p w14:paraId="008BC95C" w14:textId="77777777" w:rsidR="00182709" w:rsidRDefault="0044097C">
            <w:r>
              <w:rPr>
                <w:b/>
              </w:rPr>
              <w:t>1 285</w:t>
            </w:r>
          </w:p>
        </w:tc>
        <w:tc>
          <w:tcPr>
            <w:tcW w:w="864" w:type="dxa"/>
          </w:tcPr>
          <w:p w14:paraId="0DB88725" w14:textId="77777777" w:rsidR="00182709" w:rsidRDefault="0044097C">
            <w:r>
              <w:rPr>
                <w:b/>
              </w:rPr>
              <w:t>..</w:t>
            </w:r>
          </w:p>
        </w:tc>
        <w:tc>
          <w:tcPr>
            <w:tcW w:w="864" w:type="dxa"/>
          </w:tcPr>
          <w:p w14:paraId="7B255D2C" w14:textId="77777777" w:rsidR="00182709" w:rsidRDefault="0044097C">
            <w:r>
              <w:rPr>
                <w:b/>
              </w:rPr>
              <w:t>4 034</w:t>
            </w:r>
          </w:p>
        </w:tc>
        <w:tc>
          <w:tcPr>
            <w:tcW w:w="864" w:type="dxa"/>
          </w:tcPr>
          <w:p w14:paraId="6374584E" w14:textId="77777777" w:rsidR="00182709" w:rsidRDefault="0044097C">
            <w:r>
              <w:rPr>
                <w:b/>
              </w:rPr>
              <w:t>..</w:t>
            </w:r>
          </w:p>
        </w:tc>
      </w:tr>
    </w:tbl>
    <w:p w14:paraId="1D3C4489" w14:textId="77777777" w:rsidR="003719CD" w:rsidRDefault="003719CD" w:rsidP="007D536F"/>
    <w:p w14:paraId="2C1E0B92" w14:textId="77777777" w:rsidR="003719CD" w:rsidRDefault="003719CD" w:rsidP="007D536F"/>
    <w:p w14:paraId="23A68FF6" w14:textId="77777777" w:rsidR="001F2260" w:rsidRDefault="001F2260">
      <w:pPr>
        <w:keepLines w:val="0"/>
        <w:rPr>
          <w:rFonts w:asciiTheme="majorHAnsi" w:eastAsiaTheme="majorEastAsia" w:hAnsiTheme="majorHAnsi" w:cstheme="majorBidi"/>
          <w:b/>
          <w:bCs/>
          <w:iCs/>
          <w:color w:val="FFFFFF" w:themeColor="background1"/>
          <w:sz w:val="20"/>
          <w:szCs w:val="24"/>
        </w:rPr>
      </w:pPr>
      <w:r>
        <w:br w:type="page"/>
      </w:r>
    </w:p>
    <w:p w14:paraId="17AEA4AD" w14:textId="2EBCFF9A" w:rsidR="003719CD" w:rsidRDefault="003719CD" w:rsidP="007D536F">
      <w:pPr>
        <w:pStyle w:val="GuidanceBlockHeading"/>
      </w:pPr>
      <w:r>
        <w:lastRenderedPageBreak/>
        <w:t>Guidance – Biological assets</w:t>
      </w:r>
    </w:p>
    <w:p w14:paraId="21F04303" w14:textId="77777777" w:rsidR="003719CD" w:rsidRPr="00F75A84" w:rsidRDefault="003719CD" w:rsidP="00DC39DE">
      <w:pPr>
        <w:rPr>
          <w:rStyle w:val="Guidance"/>
        </w:rPr>
      </w:pPr>
      <w:r w:rsidRPr="00F75A84">
        <w:rPr>
          <w:rStyle w:val="Guidance"/>
        </w:rPr>
        <w:t>An entity shall disclose:</w:t>
      </w:r>
    </w:p>
    <w:p w14:paraId="19478C7B" w14:textId="4BA8F014" w:rsidR="003719CD" w:rsidRPr="00F75A84" w:rsidRDefault="003719CD" w:rsidP="00432865">
      <w:pPr>
        <w:pStyle w:val="ListBullet"/>
        <w:rPr>
          <w:rStyle w:val="Guidance"/>
        </w:rPr>
      </w:pPr>
      <w:r w:rsidRPr="00F75A84">
        <w:rPr>
          <w:rStyle w:val="Guidance"/>
        </w:rPr>
        <w:t xml:space="preserve">a description of each group of biological assets </w:t>
      </w:r>
      <w:r w:rsidRPr="00F75A84">
        <w:rPr>
          <w:rStyle w:val="Reference"/>
        </w:rPr>
        <w:t>[AASB 141.41]</w:t>
      </w:r>
    </w:p>
    <w:p w14:paraId="68E4FB9C" w14:textId="2B0F0669" w:rsidR="003719CD" w:rsidRDefault="003719CD" w:rsidP="00432865">
      <w:pPr>
        <w:pStyle w:val="ListBullet"/>
        <w:rPr>
          <w:rStyle w:val="Guidance"/>
        </w:rPr>
      </w:pPr>
      <w:r w:rsidRPr="00F75A84">
        <w:rPr>
          <w:rStyle w:val="Guidance"/>
        </w:rPr>
        <w:t xml:space="preserve">the methods and significant assumptions applied in determining the fair value of each group of agricultural produce </w:t>
      </w:r>
      <w:r w:rsidRPr="00B12926">
        <w:rPr>
          <w:rStyle w:val="Guidance"/>
        </w:rPr>
        <w:t xml:space="preserve">at the point of harvest and each group of biological assets </w:t>
      </w:r>
      <w:r w:rsidRPr="00B12926">
        <w:rPr>
          <w:rStyle w:val="Reference"/>
          <w:color w:val="4472C4" w:themeColor="accent1"/>
        </w:rPr>
        <w:t>[now captured by AASB13.93]</w:t>
      </w:r>
      <w:r w:rsidR="00BD26E1" w:rsidRPr="00B12926">
        <w:rPr>
          <w:rStyle w:val="Guidance"/>
        </w:rPr>
        <w:t xml:space="preserve"> </w:t>
      </w:r>
    </w:p>
    <w:p w14:paraId="756E8A15" w14:textId="5F234C83" w:rsidR="00B12926" w:rsidRPr="00B12926" w:rsidRDefault="00B12926" w:rsidP="00432865">
      <w:pPr>
        <w:pStyle w:val="ListBullet"/>
        <w:rPr>
          <w:rStyle w:val="Guidance"/>
        </w:rPr>
      </w:pPr>
      <w:r>
        <w:rPr>
          <w:rStyle w:val="Guidance"/>
        </w:rPr>
        <w:t xml:space="preserve">the fair value </w:t>
      </w:r>
      <w:r w:rsidRPr="00B12926">
        <w:rPr>
          <w:rStyle w:val="Guidance"/>
        </w:rPr>
        <w:t xml:space="preserve">less costs to sell of agricultural produce harvested during the period, determined at the point of harvest </w:t>
      </w:r>
      <w:r w:rsidRPr="00E820A7">
        <w:rPr>
          <w:rStyle w:val="Guidance"/>
          <w:color w:val="C00000"/>
          <w:sz w:val="16"/>
          <w:szCs w:val="16"/>
        </w:rPr>
        <w:t>[AASB</w:t>
      </w:r>
      <w:r w:rsidR="00244030" w:rsidRPr="00E820A7">
        <w:rPr>
          <w:rStyle w:val="Guidance"/>
          <w:color w:val="C00000"/>
          <w:sz w:val="16"/>
          <w:szCs w:val="16"/>
        </w:rPr>
        <w:t xml:space="preserve"> </w:t>
      </w:r>
      <w:r w:rsidRPr="00E820A7">
        <w:rPr>
          <w:rStyle w:val="Guidance"/>
          <w:color w:val="C00000"/>
          <w:sz w:val="16"/>
          <w:szCs w:val="16"/>
        </w:rPr>
        <w:t>13.93]</w:t>
      </w:r>
    </w:p>
    <w:p w14:paraId="09814FC9" w14:textId="0E99BE03" w:rsidR="003719CD" w:rsidRPr="00F75A84" w:rsidRDefault="003719CD" w:rsidP="00432865">
      <w:pPr>
        <w:pStyle w:val="ListBullet"/>
        <w:rPr>
          <w:rStyle w:val="Guidance"/>
        </w:rPr>
      </w:pPr>
      <w:r w:rsidRPr="00F75A84">
        <w:rPr>
          <w:rStyle w:val="Guidance"/>
        </w:rPr>
        <w:t>the existence and carrying amounts of biological assets whose title is restricted, and the carrying amounts of biological assets pledged as security for liabilities</w:t>
      </w:r>
      <w:r w:rsidRPr="00F75A84">
        <w:rPr>
          <w:rStyle w:val="Reference"/>
        </w:rPr>
        <w:t xml:space="preserve"> [AASB 141.49(a)]</w:t>
      </w:r>
    </w:p>
    <w:p w14:paraId="40DE9382" w14:textId="3B1B39E7" w:rsidR="003719CD" w:rsidRPr="00F75A84" w:rsidRDefault="003719CD" w:rsidP="00432865">
      <w:pPr>
        <w:pStyle w:val="ListBullet"/>
        <w:rPr>
          <w:rStyle w:val="Guidance"/>
        </w:rPr>
      </w:pPr>
      <w:r w:rsidRPr="00F75A84">
        <w:rPr>
          <w:rStyle w:val="Guidance"/>
        </w:rPr>
        <w:t xml:space="preserve">the amount of commitments for the development or acquisition of biological assets </w:t>
      </w:r>
      <w:r w:rsidRPr="00F75A84">
        <w:rPr>
          <w:rStyle w:val="Reference"/>
        </w:rPr>
        <w:t>[AASB 141.49(b)]</w:t>
      </w:r>
    </w:p>
    <w:p w14:paraId="216DBB5B" w14:textId="37F51154" w:rsidR="00F309AE" w:rsidRPr="00F75A84" w:rsidRDefault="003719CD" w:rsidP="00432865">
      <w:pPr>
        <w:pStyle w:val="ListBullet"/>
        <w:rPr>
          <w:rStyle w:val="Guidance"/>
        </w:rPr>
      </w:pPr>
      <w:r w:rsidRPr="00F75A84">
        <w:rPr>
          <w:rStyle w:val="Guidance"/>
        </w:rPr>
        <w:t>financial risk management strategies related to agricultural activity</w:t>
      </w:r>
      <w:r w:rsidR="00F309AE">
        <w:rPr>
          <w:rStyle w:val="Guidance"/>
        </w:rPr>
        <w:t>.</w:t>
      </w:r>
      <w:r w:rsidRPr="00F75A84">
        <w:rPr>
          <w:rStyle w:val="Guidance"/>
        </w:rPr>
        <w:t xml:space="preserve"> </w:t>
      </w:r>
      <w:r w:rsidR="00B74E0D" w:rsidRPr="00F75A84">
        <w:rPr>
          <w:rStyle w:val="Reference"/>
        </w:rPr>
        <w:t>[AASB 141.49(</w:t>
      </w:r>
      <w:r w:rsidR="00B74E0D">
        <w:rPr>
          <w:rStyle w:val="Reference"/>
        </w:rPr>
        <w:t>c</w:t>
      </w:r>
      <w:r w:rsidR="00B74E0D" w:rsidRPr="00F75A84">
        <w:rPr>
          <w:rStyle w:val="Reference"/>
        </w:rPr>
        <w:t>)]</w:t>
      </w:r>
    </w:p>
    <w:p w14:paraId="2F4A7A25" w14:textId="7CE73896" w:rsidR="003719CD" w:rsidRPr="00F75A84" w:rsidRDefault="00F309AE" w:rsidP="00A9698A">
      <w:pPr>
        <w:ind w:left="66"/>
        <w:rPr>
          <w:rStyle w:val="Guidance"/>
        </w:rPr>
      </w:pPr>
      <w:r>
        <w:rPr>
          <w:rStyle w:val="Guidance"/>
        </w:rPr>
        <w:t>I</w:t>
      </w:r>
      <w:r w:rsidR="003719CD" w:rsidRPr="00F75A84">
        <w:rPr>
          <w:rStyle w:val="Guidance"/>
        </w:rPr>
        <w:t xml:space="preserve">f not disclosed elsewhere in the financial statements, an entity shall </w:t>
      </w:r>
      <w:r>
        <w:rPr>
          <w:rStyle w:val="Guidance"/>
        </w:rPr>
        <w:t xml:space="preserve">also </w:t>
      </w:r>
      <w:r w:rsidR="003719CD" w:rsidRPr="00F75A84">
        <w:rPr>
          <w:rStyle w:val="Guidance"/>
        </w:rPr>
        <w:t>provide a description of:</w:t>
      </w:r>
    </w:p>
    <w:p w14:paraId="573CA4FF" w14:textId="16F6D6B9" w:rsidR="003719CD" w:rsidRPr="00F75A84" w:rsidRDefault="003719CD" w:rsidP="00432865">
      <w:pPr>
        <w:pStyle w:val="ListBullet"/>
        <w:rPr>
          <w:rStyle w:val="Guidance"/>
        </w:rPr>
      </w:pPr>
      <w:r w:rsidRPr="00F75A84">
        <w:rPr>
          <w:rStyle w:val="Guidance"/>
        </w:rPr>
        <w:t>the nature of its activities involving each group of biological assets</w:t>
      </w:r>
      <w:r w:rsidR="007818D6">
        <w:rPr>
          <w:rStyle w:val="Guidance"/>
        </w:rPr>
        <w:t xml:space="preserve"> </w:t>
      </w:r>
      <w:r w:rsidR="007818D6" w:rsidRPr="00F75A84">
        <w:rPr>
          <w:rStyle w:val="Reference"/>
        </w:rPr>
        <w:t>[AASB 141.46</w:t>
      </w:r>
      <w:r w:rsidR="007818D6">
        <w:rPr>
          <w:rStyle w:val="Reference"/>
        </w:rPr>
        <w:t>(a)</w:t>
      </w:r>
      <w:r w:rsidR="007818D6" w:rsidRPr="00F75A84">
        <w:rPr>
          <w:rStyle w:val="Reference"/>
        </w:rPr>
        <w:t>]</w:t>
      </w:r>
      <w:r w:rsidR="007818D6">
        <w:rPr>
          <w:rStyle w:val="Reference"/>
        </w:rPr>
        <w:t>.</w:t>
      </w:r>
    </w:p>
    <w:p w14:paraId="4C92B662" w14:textId="16CEBDCA" w:rsidR="003719CD" w:rsidRPr="00F75A84" w:rsidRDefault="003719CD" w:rsidP="00432865">
      <w:pPr>
        <w:pStyle w:val="ListBullet"/>
        <w:rPr>
          <w:rStyle w:val="Guidance"/>
        </w:rPr>
      </w:pPr>
      <w:r w:rsidRPr="00F75A84">
        <w:rPr>
          <w:rStyle w:val="Guidance"/>
        </w:rPr>
        <w:t xml:space="preserve">non-financial measures or estimates of the physical quantities of each group of the entity’s biological assets at the end of the period and output of agricultural produce during the period. </w:t>
      </w:r>
      <w:r w:rsidRPr="00F75A84">
        <w:rPr>
          <w:rStyle w:val="Reference"/>
        </w:rPr>
        <w:t>[AASB 141.46</w:t>
      </w:r>
      <w:r w:rsidR="007818D6">
        <w:rPr>
          <w:rStyle w:val="Reference"/>
        </w:rPr>
        <w:t>(b)</w:t>
      </w:r>
      <w:r w:rsidRPr="00F75A84">
        <w:rPr>
          <w:rStyle w:val="Reference"/>
        </w:rPr>
        <w:t>]</w:t>
      </w:r>
      <w:r w:rsidR="007818D6">
        <w:rPr>
          <w:rStyle w:val="Reference"/>
        </w:rPr>
        <w:t>.</w:t>
      </w:r>
    </w:p>
    <w:p w14:paraId="336BAF16" w14:textId="77777777" w:rsidR="003719CD" w:rsidRPr="00F75A84" w:rsidRDefault="003719CD" w:rsidP="007D536F">
      <w:pPr>
        <w:pStyle w:val="GuidanceHeading"/>
        <w:rPr>
          <w:rStyle w:val="Guidance"/>
        </w:rPr>
      </w:pPr>
      <w:r w:rsidRPr="00F75A84">
        <w:rPr>
          <w:rStyle w:val="Guidance"/>
        </w:rPr>
        <w:t>Disclosure for gain arising from changes in fair value</w:t>
      </w:r>
    </w:p>
    <w:p w14:paraId="45289E88" w14:textId="77777777" w:rsidR="003719CD" w:rsidRPr="00F75A84" w:rsidRDefault="003719CD" w:rsidP="00DC39DE">
      <w:pPr>
        <w:rPr>
          <w:rStyle w:val="Reference"/>
        </w:rPr>
      </w:pPr>
      <w:r w:rsidRPr="00F75A84">
        <w:rPr>
          <w:rStyle w:val="Guidance"/>
        </w:rPr>
        <w:t xml:space="preserve">Gain arising from changes in fair value less costs to sell attributable to physical and price changes may relate to changes in the market. Separate disclosure of physical and price changes is useful in appraising current period performance and future prospects, particularly when there is a production cycle of more than one year. In such cases, an entity is encouraged to disclose, by group or otherwise, the amount of change in fair value less costs to sell recognised in the net result as an ‘other economic flow’ due to physical changes and due to price changes. This information is generally less useful when the production cycle is less than one year (for example, when raising chickens or growing cereal crops). </w:t>
      </w:r>
      <w:r w:rsidRPr="00F75A84">
        <w:rPr>
          <w:rStyle w:val="Reference"/>
        </w:rPr>
        <w:t>[AASB 141.51]</w:t>
      </w:r>
    </w:p>
    <w:p w14:paraId="4256A272" w14:textId="77777777" w:rsidR="003719CD" w:rsidRPr="00F75A84" w:rsidRDefault="003719CD" w:rsidP="007D536F">
      <w:pPr>
        <w:pStyle w:val="GuidanceHeading"/>
        <w:rPr>
          <w:rStyle w:val="Guidance"/>
        </w:rPr>
      </w:pPr>
      <w:r w:rsidRPr="00F75A84">
        <w:rPr>
          <w:rStyle w:val="Guidance"/>
        </w:rPr>
        <w:t>Additional disclosures for biological assets where fair value cannot be measured reliably</w:t>
      </w:r>
    </w:p>
    <w:p w14:paraId="10A2BD7E" w14:textId="77777777" w:rsidR="003719CD" w:rsidRPr="00F75A84" w:rsidRDefault="003719CD" w:rsidP="00367D84">
      <w:pPr>
        <w:pStyle w:val="ListParagraph"/>
        <w:numPr>
          <w:ilvl w:val="0"/>
          <w:numId w:val="42"/>
        </w:numPr>
        <w:ind w:left="426"/>
        <w:rPr>
          <w:rStyle w:val="Guidance"/>
        </w:rPr>
      </w:pPr>
      <w:r w:rsidRPr="00F75A84">
        <w:rPr>
          <w:rStyle w:val="Guidance"/>
        </w:rPr>
        <w:t>If an entity measures biological assets at their cost less any accumulated depreciation and any accumulated impairment losses at the end of the period, the entity shall disclose for such biological assets:</w:t>
      </w:r>
    </w:p>
    <w:p w14:paraId="4E4C4897" w14:textId="683B1C72" w:rsidR="003719CD" w:rsidRPr="00F75A84" w:rsidRDefault="00F772EE" w:rsidP="00367D84">
      <w:pPr>
        <w:pStyle w:val="ListBullet"/>
        <w:numPr>
          <w:ilvl w:val="0"/>
          <w:numId w:val="42"/>
        </w:numPr>
        <w:ind w:left="426"/>
        <w:rPr>
          <w:rStyle w:val="Guidance"/>
        </w:rPr>
      </w:pPr>
      <w:r>
        <w:rPr>
          <w:rStyle w:val="Guidance"/>
        </w:rPr>
        <w:t>A</w:t>
      </w:r>
      <w:r w:rsidR="003719CD" w:rsidRPr="00F75A84">
        <w:rPr>
          <w:rStyle w:val="Guidance"/>
        </w:rPr>
        <w:t xml:space="preserve"> description of the biological assets</w:t>
      </w:r>
    </w:p>
    <w:p w14:paraId="5F899D13" w14:textId="3EBF3FF8" w:rsidR="003719CD" w:rsidRPr="00F75A84" w:rsidRDefault="00F772EE" w:rsidP="00367D84">
      <w:pPr>
        <w:pStyle w:val="ListBullet"/>
        <w:numPr>
          <w:ilvl w:val="0"/>
          <w:numId w:val="42"/>
        </w:numPr>
        <w:ind w:left="426"/>
        <w:rPr>
          <w:rStyle w:val="Guidance"/>
        </w:rPr>
      </w:pPr>
      <w:r>
        <w:rPr>
          <w:rStyle w:val="Guidance"/>
        </w:rPr>
        <w:t>A</w:t>
      </w:r>
      <w:r w:rsidR="003719CD" w:rsidRPr="00F75A84">
        <w:rPr>
          <w:rStyle w:val="Guidance"/>
        </w:rPr>
        <w:t>n explanation of why fair value cannot be measured reliably</w:t>
      </w:r>
    </w:p>
    <w:p w14:paraId="3D5BC209" w14:textId="4A05DEEA" w:rsidR="003719CD" w:rsidRPr="00F75A84" w:rsidRDefault="00F772EE" w:rsidP="00367D84">
      <w:pPr>
        <w:pStyle w:val="ListBullet"/>
        <w:numPr>
          <w:ilvl w:val="0"/>
          <w:numId w:val="42"/>
        </w:numPr>
        <w:ind w:left="426"/>
        <w:rPr>
          <w:rStyle w:val="Guidance"/>
        </w:rPr>
      </w:pPr>
      <w:r>
        <w:rPr>
          <w:rStyle w:val="Guidance"/>
        </w:rPr>
        <w:t>I</w:t>
      </w:r>
      <w:r w:rsidR="003719CD" w:rsidRPr="00F75A84">
        <w:rPr>
          <w:rStyle w:val="Guidance"/>
        </w:rPr>
        <w:t>f possible, the range of estimates in which fair value is highly likely to lie</w:t>
      </w:r>
    </w:p>
    <w:p w14:paraId="042FAED6" w14:textId="5E459E55" w:rsidR="003719CD" w:rsidRPr="00F75A84" w:rsidRDefault="00F772EE" w:rsidP="00367D84">
      <w:pPr>
        <w:pStyle w:val="ListBullet"/>
        <w:numPr>
          <w:ilvl w:val="0"/>
          <w:numId w:val="42"/>
        </w:numPr>
        <w:ind w:left="426"/>
        <w:rPr>
          <w:rStyle w:val="Guidance"/>
        </w:rPr>
      </w:pPr>
      <w:r>
        <w:rPr>
          <w:rStyle w:val="Guidance"/>
        </w:rPr>
        <w:t>T</w:t>
      </w:r>
      <w:r w:rsidR="003719CD" w:rsidRPr="00F75A84">
        <w:rPr>
          <w:rStyle w:val="Guidance"/>
        </w:rPr>
        <w:t>he depreciation method used</w:t>
      </w:r>
    </w:p>
    <w:p w14:paraId="3452F9DF" w14:textId="2FD80F3A" w:rsidR="003719CD" w:rsidRPr="00F75A84" w:rsidRDefault="00F772EE" w:rsidP="00367D84">
      <w:pPr>
        <w:pStyle w:val="ListBullet"/>
        <w:numPr>
          <w:ilvl w:val="0"/>
          <w:numId w:val="42"/>
        </w:numPr>
        <w:ind w:left="426"/>
        <w:rPr>
          <w:rStyle w:val="Guidance"/>
        </w:rPr>
      </w:pPr>
      <w:r>
        <w:rPr>
          <w:rStyle w:val="Guidance"/>
        </w:rPr>
        <w:t>T</w:t>
      </w:r>
      <w:r w:rsidR="003719CD" w:rsidRPr="00F75A84">
        <w:rPr>
          <w:rStyle w:val="Guidance"/>
        </w:rPr>
        <w:t>he useful lives or the depreciation rates used</w:t>
      </w:r>
    </w:p>
    <w:p w14:paraId="7448B1CF" w14:textId="0ECCF093" w:rsidR="003719CD" w:rsidRPr="001871C4" w:rsidRDefault="00F772EE" w:rsidP="00367D84">
      <w:pPr>
        <w:pStyle w:val="ListBullet"/>
        <w:numPr>
          <w:ilvl w:val="0"/>
          <w:numId w:val="42"/>
        </w:numPr>
        <w:ind w:left="426"/>
        <w:rPr>
          <w:rStyle w:val="Reference"/>
          <w:color w:val="4472C4" w:themeColor="accent1"/>
          <w:sz w:val="18"/>
        </w:rPr>
      </w:pPr>
      <w:r>
        <w:rPr>
          <w:rStyle w:val="Guidance"/>
        </w:rPr>
        <w:t>T</w:t>
      </w:r>
      <w:r w:rsidR="003719CD" w:rsidRPr="00F75A84">
        <w:rPr>
          <w:rStyle w:val="Guidance"/>
        </w:rPr>
        <w:t>he gross carrying amount and the accumulated depreciation (aggregated with accumulated impairment losses) at the beginning and end of the period.</w:t>
      </w:r>
      <w:r w:rsidR="001871C4">
        <w:rPr>
          <w:rStyle w:val="Guidance"/>
        </w:rPr>
        <w:t xml:space="preserve"> </w:t>
      </w:r>
      <w:r w:rsidR="003719CD" w:rsidRPr="00F75A84">
        <w:rPr>
          <w:rStyle w:val="Reference"/>
        </w:rPr>
        <w:t>[AASB 141.54]</w:t>
      </w:r>
    </w:p>
    <w:p w14:paraId="23DA401F" w14:textId="77777777" w:rsidR="003719CD" w:rsidRPr="00F75A84" w:rsidRDefault="003719CD" w:rsidP="00DC39DE">
      <w:pPr>
        <w:rPr>
          <w:rStyle w:val="Guidance"/>
        </w:rPr>
      </w:pPr>
      <w:r w:rsidRPr="00F75A84">
        <w:rPr>
          <w:rStyle w:val="Guidance"/>
        </w:rPr>
        <w:t xml:space="preserve">If, during the current period, an entity measures biological assets at their cost less any accumulated depreciation and any accumulated impairment losses, an entity shall disclose: </w:t>
      </w:r>
    </w:p>
    <w:p w14:paraId="06DAAAB9" w14:textId="58EA74A6" w:rsidR="003719CD" w:rsidRPr="00F75A84" w:rsidRDefault="003719CD" w:rsidP="00367D84">
      <w:pPr>
        <w:pStyle w:val="ListBullet"/>
        <w:numPr>
          <w:ilvl w:val="0"/>
          <w:numId w:val="43"/>
        </w:numPr>
        <w:ind w:left="426"/>
        <w:rPr>
          <w:rStyle w:val="Guidance"/>
        </w:rPr>
      </w:pPr>
      <w:r w:rsidRPr="00F75A84">
        <w:rPr>
          <w:rStyle w:val="Guidance"/>
        </w:rPr>
        <w:t>any gain or loss recognised on disposal of such biological assets</w:t>
      </w:r>
    </w:p>
    <w:p w14:paraId="0FDDF7AE" w14:textId="632226F9" w:rsidR="00F309AE" w:rsidRPr="00F75A84" w:rsidRDefault="003719CD" w:rsidP="00367D84">
      <w:pPr>
        <w:pStyle w:val="ListBullet"/>
        <w:numPr>
          <w:ilvl w:val="0"/>
          <w:numId w:val="43"/>
        </w:numPr>
        <w:ind w:left="426"/>
        <w:rPr>
          <w:rStyle w:val="Guidance"/>
        </w:rPr>
      </w:pPr>
      <w:r w:rsidRPr="00F75A84">
        <w:rPr>
          <w:rStyle w:val="Guidance"/>
        </w:rPr>
        <w:t xml:space="preserve">the related reconciliation (paragraph 50 of AASB 141 </w:t>
      </w:r>
      <w:r w:rsidRPr="00FB6318">
        <w:rPr>
          <w:rStyle w:val="Guidance"/>
        </w:rPr>
        <w:t>Agriculture</w:t>
      </w:r>
      <w:r w:rsidRPr="00F75A84">
        <w:rPr>
          <w:rStyle w:val="Guidance"/>
        </w:rPr>
        <w:t xml:space="preserve">). </w:t>
      </w:r>
    </w:p>
    <w:p w14:paraId="22404808" w14:textId="77777777" w:rsidR="003719CD" w:rsidRPr="00F75A84" w:rsidRDefault="003719CD" w:rsidP="00DC39DE">
      <w:pPr>
        <w:rPr>
          <w:rStyle w:val="Guidance"/>
        </w:rPr>
      </w:pPr>
      <w:r w:rsidRPr="00F75A84">
        <w:rPr>
          <w:rStyle w:val="Guidance"/>
        </w:rPr>
        <w:t>In addition, the reconciliation shall include the following amounts recognised in the net result related to those biological assets:</w:t>
      </w:r>
    </w:p>
    <w:p w14:paraId="17180FF5" w14:textId="3589E916" w:rsidR="003719CD" w:rsidRPr="00F75A84" w:rsidRDefault="003719CD" w:rsidP="00367D84">
      <w:pPr>
        <w:pStyle w:val="ListBullet"/>
        <w:numPr>
          <w:ilvl w:val="0"/>
          <w:numId w:val="44"/>
        </w:numPr>
        <w:ind w:left="426"/>
        <w:rPr>
          <w:rStyle w:val="Guidance"/>
        </w:rPr>
      </w:pPr>
      <w:r w:rsidRPr="00F75A84">
        <w:rPr>
          <w:rStyle w:val="Guidance"/>
        </w:rPr>
        <w:t>impairment losses</w:t>
      </w:r>
    </w:p>
    <w:p w14:paraId="1128F490" w14:textId="06BFB03C" w:rsidR="003719CD" w:rsidRPr="00F75A84" w:rsidRDefault="003719CD" w:rsidP="00367D84">
      <w:pPr>
        <w:pStyle w:val="ListBullet"/>
        <w:numPr>
          <w:ilvl w:val="0"/>
          <w:numId w:val="44"/>
        </w:numPr>
        <w:ind w:left="426"/>
        <w:rPr>
          <w:rStyle w:val="Guidance"/>
        </w:rPr>
      </w:pPr>
      <w:r w:rsidRPr="00F75A84">
        <w:rPr>
          <w:rStyle w:val="Guidance"/>
        </w:rPr>
        <w:t>reversals of impairment losses</w:t>
      </w:r>
    </w:p>
    <w:p w14:paraId="4CEAA7C6" w14:textId="4269B0A8" w:rsidR="003719CD" w:rsidRPr="001871C4" w:rsidRDefault="003719CD" w:rsidP="00367D84">
      <w:pPr>
        <w:pStyle w:val="ListBullet"/>
        <w:numPr>
          <w:ilvl w:val="0"/>
          <w:numId w:val="44"/>
        </w:numPr>
        <w:ind w:left="426"/>
        <w:rPr>
          <w:rStyle w:val="Reference"/>
          <w:color w:val="4472C4" w:themeColor="accent1"/>
          <w:sz w:val="18"/>
        </w:rPr>
      </w:pPr>
      <w:r w:rsidRPr="00F75A84">
        <w:rPr>
          <w:rStyle w:val="Guidance"/>
        </w:rPr>
        <w:t>depreciation</w:t>
      </w:r>
      <w:r w:rsidR="001871C4">
        <w:rPr>
          <w:rStyle w:val="Guidance"/>
        </w:rPr>
        <w:t xml:space="preserve"> </w:t>
      </w:r>
      <w:r w:rsidRPr="00267D91">
        <w:rPr>
          <w:rStyle w:val="Reference"/>
        </w:rPr>
        <w:t>[AASB 141.55]</w:t>
      </w:r>
    </w:p>
    <w:p w14:paraId="32A64EB5" w14:textId="77777777" w:rsidR="001F2260" w:rsidRDefault="001F2260">
      <w:pPr>
        <w:keepLines w:val="0"/>
        <w:rPr>
          <w:rStyle w:val="Guidance"/>
        </w:rPr>
      </w:pPr>
      <w:r>
        <w:rPr>
          <w:rStyle w:val="Guidance"/>
        </w:rPr>
        <w:br w:type="page"/>
      </w:r>
    </w:p>
    <w:p w14:paraId="61332587" w14:textId="5024E65D" w:rsidR="003719CD" w:rsidRPr="00F75A84" w:rsidRDefault="003719CD" w:rsidP="00DC39DE">
      <w:pPr>
        <w:rPr>
          <w:rStyle w:val="Guidance"/>
        </w:rPr>
      </w:pPr>
      <w:r w:rsidRPr="00F75A84">
        <w:rPr>
          <w:rStyle w:val="Guidance"/>
        </w:rPr>
        <w:lastRenderedPageBreak/>
        <w:t>If the fair value of biological assets previously measured at their cost less any accumulated depreciation and any accumulated impairment losses becomes reliably measurable during the current period, an entity shall disclose for those biological assets:</w:t>
      </w:r>
    </w:p>
    <w:p w14:paraId="02339AA4" w14:textId="02D8ACF7" w:rsidR="003719CD" w:rsidRPr="00F75A84" w:rsidRDefault="003719CD" w:rsidP="00310F12">
      <w:pPr>
        <w:pStyle w:val="ListBullet"/>
        <w:rPr>
          <w:rStyle w:val="Guidance"/>
        </w:rPr>
      </w:pPr>
      <w:r w:rsidRPr="00F75A84">
        <w:rPr>
          <w:rStyle w:val="Guidance"/>
        </w:rPr>
        <w:t>a description of the biological assets</w:t>
      </w:r>
    </w:p>
    <w:p w14:paraId="10C03CF4" w14:textId="651E61C7" w:rsidR="003719CD" w:rsidRPr="00F75A84" w:rsidRDefault="003719CD" w:rsidP="00310F12">
      <w:pPr>
        <w:pStyle w:val="ListBullet"/>
        <w:rPr>
          <w:rStyle w:val="Guidance"/>
        </w:rPr>
      </w:pPr>
      <w:r w:rsidRPr="00F75A84">
        <w:rPr>
          <w:rStyle w:val="Guidance"/>
        </w:rPr>
        <w:t>an explanation of why fair value has become reliably measurable</w:t>
      </w:r>
    </w:p>
    <w:p w14:paraId="24A0482F" w14:textId="28210CD5" w:rsidR="003719CD" w:rsidRPr="001871C4" w:rsidRDefault="003719CD" w:rsidP="00DC39DE">
      <w:pPr>
        <w:pStyle w:val="ListBullet"/>
        <w:rPr>
          <w:rStyle w:val="Reference"/>
          <w:color w:val="4472C4" w:themeColor="accent1"/>
          <w:sz w:val="18"/>
        </w:rPr>
      </w:pPr>
      <w:r w:rsidRPr="00F75A84">
        <w:rPr>
          <w:rStyle w:val="Guidance"/>
        </w:rPr>
        <w:t>the effect of the change.</w:t>
      </w:r>
      <w:r w:rsidR="001871C4">
        <w:rPr>
          <w:rStyle w:val="Guidance"/>
        </w:rPr>
        <w:t xml:space="preserve"> </w:t>
      </w:r>
      <w:r w:rsidRPr="00267D91">
        <w:rPr>
          <w:rStyle w:val="Reference"/>
        </w:rPr>
        <w:t>[AASB 141.56]</w:t>
      </w:r>
    </w:p>
    <w:p w14:paraId="33FE0BB7" w14:textId="77777777" w:rsidR="003719CD" w:rsidRPr="00F75A84" w:rsidRDefault="003719CD" w:rsidP="007D536F">
      <w:pPr>
        <w:pStyle w:val="GuidanceHeading"/>
        <w:rPr>
          <w:rStyle w:val="Guidance"/>
        </w:rPr>
      </w:pPr>
      <w:r w:rsidRPr="00F75A84">
        <w:rPr>
          <w:rStyle w:val="Guidance"/>
        </w:rPr>
        <w:t>Government grants</w:t>
      </w:r>
    </w:p>
    <w:p w14:paraId="341440C0" w14:textId="1D1E4D48" w:rsidR="003719CD" w:rsidRPr="00F75A84" w:rsidRDefault="00314F80" w:rsidP="00DC39DE">
      <w:pPr>
        <w:rPr>
          <w:rStyle w:val="Guidance"/>
        </w:rPr>
      </w:pPr>
      <w:r>
        <w:rPr>
          <w:rStyle w:val="Guidance"/>
        </w:rPr>
        <w:t xml:space="preserve">In </w:t>
      </w:r>
      <w:r w:rsidR="003719CD" w:rsidRPr="00F75A84">
        <w:rPr>
          <w:rStyle w:val="Guidance"/>
        </w:rPr>
        <w:t>relat</w:t>
      </w:r>
      <w:r>
        <w:rPr>
          <w:rStyle w:val="Guidance"/>
        </w:rPr>
        <w:t>ion</w:t>
      </w:r>
      <w:r w:rsidR="003719CD" w:rsidRPr="00F75A84">
        <w:rPr>
          <w:rStyle w:val="Guidance"/>
        </w:rPr>
        <w:t xml:space="preserve"> to agricultural activity covered by this standard</w:t>
      </w:r>
      <w:r>
        <w:rPr>
          <w:rStyle w:val="Guidance"/>
        </w:rPr>
        <w:t>, a</w:t>
      </w:r>
      <w:r w:rsidRPr="00F75A84">
        <w:rPr>
          <w:rStyle w:val="Guidance"/>
        </w:rPr>
        <w:t>n entity shall disclose</w:t>
      </w:r>
      <w:r w:rsidR="003719CD" w:rsidRPr="00F75A84">
        <w:rPr>
          <w:rStyle w:val="Guidance"/>
        </w:rPr>
        <w:t>:</w:t>
      </w:r>
    </w:p>
    <w:p w14:paraId="0804D45B" w14:textId="599A089A" w:rsidR="003719CD" w:rsidRPr="00F75A84" w:rsidRDefault="003719CD" w:rsidP="00310F12">
      <w:pPr>
        <w:pStyle w:val="ListBullet"/>
        <w:rPr>
          <w:rStyle w:val="Guidance"/>
        </w:rPr>
      </w:pPr>
      <w:r w:rsidRPr="00F75A84">
        <w:rPr>
          <w:rStyle w:val="Guidance"/>
        </w:rPr>
        <w:t>the nature and extent of government grants recognised in the financial statements</w:t>
      </w:r>
    </w:p>
    <w:p w14:paraId="3C5348ED" w14:textId="0548D8B6" w:rsidR="003719CD" w:rsidRPr="00F75A84" w:rsidRDefault="003719CD" w:rsidP="00310F12">
      <w:pPr>
        <w:pStyle w:val="ListBullet"/>
        <w:rPr>
          <w:rStyle w:val="Guidance"/>
        </w:rPr>
      </w:pPr>
      <w:r w:rsidRPr="00F75A84">
        <w:rPr>
          <w:rStyle w:val="Guidance"/>
        </w:rPr>
        <w:t>unfulfilled conditions and other contingencies attaching to government grants</w:t>
      </w:r>
    </w:p>
    <w:p w14:paraId="3BB19323" w14:textId="419944E9" w:rsidR="003719CD" w:rsidRPr="001871C4" w:rsidRDefault="003719CD" w:rsidP="00DC39DE">
      <w:pPr>
        <w:pStyle w:val="ListBullet"/>
        <w:rPr>
          <w:rStyle w:val="Reference"/>
          <w:color w:val="4472C4" w:themeColor="accent1"/>
          <w:sz w:val="18"/>
        </w:rPr>
      </w:pPr>
      <w:r w:rsidRPr="00F75A84">
        <w:rPr>
          <w:rStyle w:val="Guidance"/>
        </w:rPr>
        <w:t>significant decreases expected in the level of government grants.</w:t>
      </w:r>
      <w:r w:rsidR="001871C4">
        <w:rPr>
          <w:rStyle w:val="Guidance"/>
        </w:rPr>
        <w:t xml:space="preserve"> </w:t>
      </w:r>
      <w:r w:rsidRPr="00267D91">
        <w:rPr>
          <w:rStyle w:val="Reference"/>
        </w:rPr>
        <w:t>[AASB 141.57]</w:t>
      </w:r>
    </w:p>
    <w:p w14:paraId="266668A1" w14:textId="77777777" w:rsidR="003719CD" w:rsidRDefault="003719CD" w:rsidP="007D536F">
      <w:pPr>
        <w:pStyle w:val="GuidanceEnd"/>
      </w:pPr>
    </w:p>
    <w:p w14:paraId="41C8A3D5" w14:textId="77777777" w:rsidR="003719CD" w:rsidRDefault="003719CD" w:rsidP="00DC39DE"/>
    <w:p w14:paraId="4941F6D3" w14:textId="3320E1BA" w:rsidR="003719CD" w:rsidRDefault="003719CD" w:rsidP="00A80494">
      <w:pPr>
        <w:pStyle w:val="Heading2numbered"/>
      </w:pPr>
      <w:bookmarkStart w:id="64" w:name="_Toc96704906"/>
      <w:bookmarkStart w:id="65" w:name="_Toc130225967"/>
      <w:bookmarkStart w:id="66" w:name="_Toc64983158"/>
      <w:r>
        <w:t>Intangible assets</w:t>
      </w:r>
      <w:bookmarkEnd w:id="64"/>
      <w:bookmarkEnd w:id="65"/>
      <w:bookmarkEnd w:id="66"/>
    </w:p>
    <w:p w14:paraId="02A6CB55"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182709" w14:paraId="0AAE2123" w14:textId="77777777" w:rsidTr="00B53D76">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3F319753" w14:textId="77777777" w:rsidR="00182709" w:rsidRDefault="0044097C">
            <w:pPr>
              <w:keepNext/>
              <w:jc w:val="left"/>
            </w:pPr>
            <w:r>
              <w:rPr>
                <w:color w:val="4472C4"/>
                <w:sz w:val="13"/>
              </w:rPr>
              <w:t>Source reference</w:t>
            </w:r>
          </w:p>
        </w:tc>
        <w:tc>
          <w:tcPr>
            <w:tcW w:w="4832" w:type="dxa"/>
          </w:tcPr>
          <w:p w14:paraId="6C872058" w14:textId="77777777" w:rsidR="00182709" w:rsidRDefault="00182709">
            <w:pPr>
              <w:keepNext/>
              <w:jc w:val="left"/>
            </w:pPr>
          </w:p>
        </w:tc>
        <w:tc>
          <w:tcPr>
            <w:tcW w:w="1730" w:type="dxa"/>
            <w:gridSpan w:val="2"/>
          </w:tcPr>
          <w:p w14:paraId="16F0C96E" w14:textId="77777777" w:rsidR="00182709" w:rsidRDefault="0044097C">
            <w:pPr>
              <w:keepNext/>
              <w:jc w:val="center"/>
            </w:pPr>
            <w:r>
              <w:t>Computer software</w:t>
            </w:r>
          </w:p>
        </w:tc>
        <w:tc>
          <w:tcPr>
            <w:tcW w:w="1730" w:type="dxa"/>
            <w:gridSpan w:val="2"/>
          </w:tcPr>
          <w:p w14:paraId="2E6C455F" w14:textId="77777777" w:rsidR="00182709" w:rsidRDefault="0044097C">
            <w:pPr>
              <w:keepNext/>
              <w:jc w:val="center"/>
            </w:pPr>
            <w:r>
              <w:t>Total</w:t>
            </w:r>
          </w:p>
        </w:tc>
      </w:tr>
      <w:tr w:rsidR="00B53D76" w14:paraId="39491D2C" w14:textId="77777777" w:rsidTr="00B53D76">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5539E41A" w14:textId="77777777" w:rsidR="00B53D76" w:rsidRDefault="00B53D76" w:rsidP="00B53D76">
            <w:pPr>
              <w:keepNext/>
              <w:jc w:val="left"/>
            </w:pPr>
          </w:p>
        </w:tc>
        <w:tc>
          <w:tcPr>
            <w:tcW w:w="4832" w:type="dxa"/>
          </w:tcPr>
          <w:p w14:paraId="28F08F9D" w14:textId="77777777" w:rsidR="00B53D76" w:rsidRDefault="00B53D76" w:rsidP="00B53D76">
            <w:pPr>
              <w:keepNext/>
              <w:jc w:val="left"/>
            </w:pPr>
          </w:p>
        </w:tc>
        <w:tc>
          <w:tcPr>
            <w:tcW w:w="865" w:type="dxa"/>
          </w:tcPr>
          <w:p w14:paraId="2FC24F88" w14:textId="41F227E8" w:rsidR="00B53D76" w:rsidRPr="00B53D76" w:rsidRDefault="00B53D76" w:rsidP="00B53D76">
            <w:pPr>
              <w:keepNext/>
            </w:pPr>
            <w:fldSimple w:instr="DOCPROPERTY  YearCurrent \* MERGEFORMAT">
              <w:r w:rsidRPr="00B53D76">
                <w:t>20X2</w:t>
              </w:r>
            </w:fldSimple>
          </w:p>
        </w:tc>
        <w:tc>
          <w:tcPr>
            <w:tcW w:w="865" w:type="dxa"/>
          </w:tcPr>
          <w:p w14:paraId="4C71D18C" w14:textId="32DD4606" w:rsidR="00B53D76" w:rsidRPr="00B53D76" w:rsidRDefault="00B53D76" w:rsidP="00B53D76">
            <w:pPr>
              <w:keepNext/>
            </w:pPr>
            <w:fldSimple w:instr="DOCPROPERTY  YearPrevious  \* MERGEFORMAT">
              <w:r w:rsidRPr="00B53D76">
                <w:t>20X1</w:t>
              </w:r>
            </w:fldSimple>
          </w:p>
        </w:tc>
        <w:tc>
          <w:tcPr>
            <w:tcW w:w="865" w:type="dxa"/>
          </w:tcPr>
          <w:p w14:paraId="4580CA17" w14:textId="7C530864" w:rsidR="00B53D76" w:rsidRPr="00B53D76" w:rsidRDefault="00B53D76" w:rsidP="00B53D76">
            <w:pPr>
              <w:keepNext/>
            </w:pPr>
            <w:fldSimple w:instr="DOCPROPERTY  YearCurrent \* MERGEFORMAT">
              <w:r w:rsidRPr="00B53D76">
                <w:t>20X2</w:t>
              </w:r>
            </w:fldSimple>
          </w:p>
        </w:tc>
        <w:tc>
          <w:tcPr>
            <w:tcW w:w="865" w:type="dxa"/>
          </w:tcPr>
          <w:p w14:paraId="78D5B336" w14:textId="7B436461" w:rsidR="00B53D76" w:rsidRPr="00B53D76" w:rsidRDefault="00B53D76" w:rsidP="00B53D76">
            <w:pPr>
              <w:keepNext/>
            </w:pPr>
            <w:fldSimple w:instr="DOCPROPERTY  YearPrevious  \* MERGEFORMAT">
              <w:r w:rsidRPr="00B53D76">
                <w:t>20X1</w:t>
              </w:r>
            </w:fldSimple>
          </w:p>
        </w:tc>
      </w:tr>
      <w:tr w:rsidR="00182709" w14:paraId="0CBB3A43" w14:textId="77777777" w:rsidTr="00B53D76">
        <w:tc>
          <w:tcPr>
            <w:tcW w:w="1347" w:type="dxa"/>
          </w:tcPr>
          <w:p w14:paraId="44F0F2E2" w14:textId="77777777" w:rsidR="00182709" w:rsidRDefault="00182709">
            <w:pPr>
              <w:jc w:val="left"/>
            </w:pPr>
          </w:p>
        </w:tc>
        <w:tc>
          <w:tcPr>
            <w:tcW w:w="4832" w:type="dxa"/>
          </w:tcPr>
          <w:p w14:paraId="6AA29008" w14:textId="77777777" w:rsidR="00182709" w:rsidRDefault="0044097C">
            <w:pPr>
              <w:jc w:val="left"/>
            </w:pPr>
            <w:r>
              <w:rPr>
                <w:b/>
              </w:rPr>
              <w:t>Gross carrying amount</w:t>
            </w:r>
          </w:p>
        </w:tc>
        <w:tc>
          <w:tcPr>
            <w:tcW w:w="865" w:type="dxa"/>
          </w:tcPr>
          <w:p w14:paraId="797C6B21" w14:textId="77777777" w:rsidR="00182709" w:rsidRDefault="00182709"/>
        </w:tc>
        <w:tc>
          <w:tcPr>
            <w:tcW w:w="865" w:type="dxa"/>
          </w:tcPr>
          <w:p w14:paraId="3526C43B" w14:textId="77777777" w:rsidR="00182709" w:rsidRDefault="00182709"/>
        </w:tc>
        <w:tc>
          <w:tcPr>
            <w:tcW w:w="865" w:type="dxa"/>
          </w:tcPr>
          <w:p w14:paraId="2B42CCFF" w14:textId="77777777" w:rsidR="00182709" w:rsidRDefault="00182709"/>
        </w:tc>
        <w:tc>
          <w:tcPr>
            <w:tcW w:w="865" w:type="dxa"/>
          </w:tcPr>
          <w:p w14:paraId="3CBF2A01" w14:textId="77777777" w:rsidR="00182709" w:rsidRDefault="00182709"/>
        </w:tc>
      </w:tr>
      <w:tr w:rsidR="00182709" w14:paraId="083D0DD4" w14:textId="77777777" w:rsidTr="00B53D76">
        <w:tc>
          <w:tcPr>
            <w:tcW w:w="1347" w:type="dxa"/>
          </w:tcPr>
          <w:p w14:paraId="05B6E446" w14:textId="77777777" w:rsidR="00182709" w:rsidRDefault="0044097C">
            <w:pPr>
              <w:jc w:val="left"/>
            </w:pPr>
            <w:r>
              <w:rPr>
                <w:color w:val="4472C4"/>
                <w:sz w:val="13"/>
              </w:rPr>
              <w:t>AASB 138.118 (c)</w:t>
            </w:r>
          </w:p>
        </w:tc>
        <w:tc>
          <w:tcPr>
            <w:tcW w:w="4832" w:type="dxa"/>
          </w:tcPr>
          <w:p w14:paraId="5460134A" w14:textId="77777777" w:rsidR="00182709" w:rsidRDefault="0044097C">
            <w:pPr>
              <w:jc w:val="left"/>
            </w:pPr>
            <w:r>
              <w:rPr>
                <w:b/>
              </w:rPr>
              <w:t>Opening balance</w:t>
            </w:r>
          </w:p>
        </w:tc>
        <w:tc>
          <w:tcPr>
            <w:tcW w:w="865" w:type="dxa"/>
          </w:tcPr>
          <w:p w14:paraId="04D0F120" w14:textId="77777777" w:rsidR="00182709" w:rsidRDefault="0044097C">
            <w:r>
              <w:rPr>
                <w:b/>
              </w:rPr>
              <w:t>12 295</w:t>
            </w:r>
          </w:p>
        </w:tc>
        <w:tc>
          <w:tcPr>
            <w:tcW w:w="865" w:type="dxa"/>
          </w:tcPr>
          <w:p w14:paraId="5EBF1A09" w14:textId="77777777" w:rsidR="00182709" w:rsidRDefault="0044097C">
            <w:r>
              <w:rPr>
                <w:b/>
              </w:rPr>
              <w:t>10 875</w:t>
            </w:r>
          </w:p>
        </w:tc>
        <w:tc>
          <w:tcPr>
            <w:tcW w:w="865" w:type="dxa"/>
          </w:tcPr>
          <w:p w14:paraId="6456BB10" w14:textId="77777777" w:rsidR="00182709" w:rsidRDefault="0044097C">
            <w:r>
              <w:rPr>
                <w:b/>
              </w:rPr>
              <w:t>12 295</w:t>
            </w:r>
          </w:p>
        </w:tc>
        <w:tc>
          <w:tcPr>
            <w:tcW w:w="865" w:type="dxa"/>
          </w:tcPr>
          <w:p w14:paraId="6E532EF3" w14:textId="77777777" w:rsidR="00182709" w:rsidRDefault="0044097C">
            <w:r>
              <w:rPr>
                <w:b/>
              </w:rPr>
              <w:t>10 875</w:t>
            </w:r>
          </w:p>
        </w:tc>
      </w:tr>
      <w:tr w:rsidR="00182709" w14:paraId="48641AF4" w14:textId="77777777" w:rsidTr="00B53D76">
        <w:tc>
          <w:tcPr>
            <w:tcW w:w="1347" w:type="dxa"/>
          </w:tcPr>
          <w:p w14:paraId="294820B6" w14:textId="22126AEA" w:rsidR="00182709" w:rsidRDefault="0044097C">
            <w:pPr>
              <w:jc w:val="left"/>
            </w:pPr>
            <w:r w:rsidRPr="2856114A">
              <w:rPr>
                <w:color w:val="4472C4" w:themeColor="accent1"/>
                <w:sz w:val="13"/>
                <w:szCs w:val="13"/>
              </w:rPr>
              <w:t>AASB 138.118 (</w:t>
            </w:r>
            <w:r w:rsidR="00CC356F" w:rsidRPr="2856114A">
              <w:rPr>
                <w:color w:val="4472C4" w:themeColor="accent1"/>
                <w:sz w:val="13"/>
                <w:szCs w:val="13"/>
              </w:rPr>
              <w:t>e</w:t>
            </w:r>
            <w:r w:rsidRPr="2856114A">
              <w:rPr>
                <w:color w:val="4472C4" w:themeColor="accent1"/>
                <w:sz w:val="13"/>
                <w:szCs w:val="13"/>
              </w:rPr>
              <w:t>)</w:t>
            </w:r>
            <w:r w:rsidR="007F6499" w:rsidRPr="2856114A">
              <w:rPr>
                <w:color w:val="4472C4" w:themeColor="accent1"/>
                <w:sz w:val="13"/>
                <w:szCs w:val="13"/>
              </w:rPr>
              <w:t>(i</w:t>
            </w:r>
            <w:r w:rsidRPr="2856114A">
              <w:rPr>
                <w:color w:val="4472C4" w:themeColor="accent1"/>
                <w:sz w:val="13"/>
                <w:szCs w:val="13"/>
              </w:rPr>
              <w:t>)</w:t>
            </w:r>
          </w:p>
        </w:tc>
        <w:tc>
          <w:tcPr>
            <w:tcW w:w="4832" w:type="dxa"/>
          </w:tcPr>
          <w:p w14:paraId="4F1B9D6A" w14:textId="77777777" w:rsidR="00182709" w:rsidRDefault="0044097C">
            <w:pPr>
              <w:jc w:val="left"/>
            </w:pPr>
            <w:r>
              <w:t>Additions</w:t>
            </w:r>
          </w:p>
        </w:tc>
        <w:tc>
          <w:tcPr>
            <w:tcW w:w="865" w:type="dxa"/>
          </w:tcPr>
          <w:p w14:paraId="7172C74B" w14:textId="77777777" w:rsidR="00182709" w:rsidRDefault="0044097C">
            <w:r>
              <w:t>2 655</w:t>
            </w:r>
          </w:p>
        </w:tc>
        <w:tc>
          <w:tcPr>
            <w:tcW w:w="865" w:type="dxa"/>
          </w:tcPr>
          <w:p w14:paraId="5B5475A4" w14:textId="77777777" w:rsidR="00182709" w:rsidRDefault="0044097C">
            <w:r>
              <w:t>2 540</w:t>
            </w:r>
          </w:p>
        </w:tc>
        <w:tc>
          <w:tcPr>
            <w:tcW w:w="865" w:type="dxa"/>
          </w:tcPr>
          <w:p w14:paraId="5231F5E9" w14:textId="77777777" w:rsidR="00182709" w:rsidRDefault="0044097C">
            <w:r>
              <w:t>2 655</w:t>
            </w:r>
          </w:p>
        </w:tc>
        <w:tc>
          <w:tcPr>
            <w:tcW w:w="865" w:type="dxa"/>
          </w:tcPr>
          <w:p w14:paraId="61B3C39C" w14:textId="77777777" w:rsidR="00182709" w:rsidRDefault="0044097C">
            <w:r>
              <w:t>2 540</w:t>
            </w:r>
          </w:p>
        </w:tc>
      </w:tr>
      <w:tr w:rsidR="00182709" w14:paraId="6062869C" w14:textId="77777777" w:rsidTr="00B53D76">
        <w:tc>
          <w:tcPr>
            <w:tcW w:w="1347" w:type="dxa"/>
          </w:tcPr>
          <w:p w14:paraId="436ACFF7" w14:textId="77777777" w:rsidR="00182709" w:rsidRDefault="0044097C">
            <w:pPr>
              <w:jc w:val="left"/>
            </w:pPr>
            <w:r w:rsidRPr="2856114A">
              <w:rPr>
                <w:color w:val="4472C4" w:themeColor="accent1"/>
                <w:sz w:val="13"/>
                <w:szCs w:val="13"/>
              </w:rPr>
              <w:t>AASB 138.118 (e)(i)</w:t>
            </w:r>
          </w:p>
        </w:tc>
        <w:tc>
          <w:tcPr>
            <w:tcW w:w="4832" w:type="dxa"/>
          </w:tcPr>
          <w:p w14:paraId="73B921F3" w14:textId="77777777" w:rsidR="00182709" w:rsidRDefault="0044097C">
            <w:pPr>
              <w:jc w:val="left"/>
            </w:pPr>
            <w:r>
              <w:t>Additions from internal development</w:t>
            </w:r>
          </w:p>
        </w:tc>
        <w:tc>
          <w:tcPr>
            <w:tcW w:w="865" w:type="dxa"/>
          </w:tcPr>
          <w:p w14:paraId="205864B6" w14:textId="77777777" w:rsidR="00182709" w:rsidRDefault="0044097C">
            <w:r>
              <w:t>631</w:t>
            </w:r>
          </w:p>
        </w:tc>
        <w:tc>
          <w:tcPr>
            <w:tcW w:w="865" w:type="dxa"/>
          </w:tcPr>
          <w:p w14:paraId="7A1C504A" w14:textId="77777777" w:rsidR="00182709" w:rsidRDefault="0044097C">
            <w:r>
              <w:t>150</w:t>
            </w:r>
          </w:p>
        </w:tc>
        <w:tc>
          <w:tcPr>
            <w:tcW w:w="865" w:type="dxa"/>
          </w:tcPr>
          <w:p w14:paraId="2B410D3D" w14:textId="77777777" w:rsidR="00182709" w:rsidRDefault="0044097C">
            <w:r>
              <w:t>631</w:t>
            </w:r>
          </w:p>
        </w:tc>
        <w:tc>
          <w:tcPr>
            <w:tcW w:w="865" w:type="dxa"/>
          </w:tcPr>
          <w:p w14:paraId="79A5956E" w14:textId="77777777" w:rsidR="00182709" w:rsidRDefault="0044097C">
            <w:r>
              <w:t>150</w:t>
            </w:r>
          </w:p>
        </w:tc>
      </w:tr>
      <w:tr w:rsidR="00182709" w14:paraId="34423675" w14:textId="77777777" w:rsidTr="00B53D76">
        <w:tc>
          <w:tcPr>
            <w:tcW w:w="1347" w:type="dxa"/>
          </w:tcPr>
          <w:p w14:paraId="3ED2ED02" w14:textId="77777777" w:rsidR="00182709" w:rsidRDefault="0044097C">
            <w:pPr>
              <w:jc w:val="left"/>
            </w:pPr>
            <w:r w:rsidRPr="2856114A">
              <w:rPr>
                <w:color w:val="4472C4" w:themeColor="accent1"/>
                <w:sz w:val="13"/>
                <w:szCs w:val="13"/>
              </w:rPr>
              <w:t>AASB 138.118 (e)(i)</w:t>
            </w:r>
          </w:p>
        </w:tc>
        <w:tc>
          <w:tcPr>
            <w:tcW w:w="4832" w:type="dxa"/>
          </w:tcPr>
          <w:p w14:paraId="3CDB3381" w14:textId="77777777" w:rsidR="00182709" w:rsidRDefault="0044097C">
            <w:pPr>
              <w:jc w:val="left"/>
            </w:pPr>
            <w:r>
              <w:t>Acquisitions from business combinations</w:t>
            </w:r>
          </w:p>
        </w:tc>
        <w:tc>
          <w:tcPr>
            <w:tcW w:w="865" w:type="dxa"/>
          </w:tcPr>
          <w:p w14:paraId="4053A42B" w14:textId="77777777" w:rsidR="00182709" w:rsidRDefault="0044097C">
            <w:r>
              <w:t>3 650</w:t>
            </w:r>
          </w:p>
        </w:tc>
        <w:tc>
          <w:tcPr>
            <w:tcW w:w="865" w:type="dxa"/>
          </w:tcPr>
          <w:p w14:paraId="63CDEA53" w14:textId="77777777" w:rsidR="00182709" w:rsidRDefault="0044097C">
            <w:r>
              <w:t>..</w:t>
            </w:r>
          </w:p>
        </w:tc>
        <w:tc>
          <w:tcPr>
            <w:tcW w:w="865" w:type="dxa"/>
          </w:tcPr>
          <w:p w14:paraId="6DA350C9" w14:textId="77777777" w:rsidR="00182709" w:rsidRDefault="0044097C">
            <w:r>
              <w:t>3 650</w:t>
            </w:r>
          </w:p>
        </w:tc>
        <w:tc>
          <w:tcPr>
            <w:tcW w:w="865" w:type="dxa"/>
          </w:tcPr>
          <w:p w14:paraId="2D5F18AB" w14:textId="77777777" w:rsidR="00182709" w:rsidRDefault="0044097C">
            <w:r>
              <w:t>..</w:t>
            </w:r>
          </w:p>
        </w:tc>
      </w:tr>
      <w:tr w:rsidR="00182709" w14:paraId="10168F58" w14:textId="77777777" w:rsidTr="00B53D76">
        <w:tc>
          <w:tcPr>
            <w:tcW w:w="1347" w:type="dxa"/>
          </w:tcPr>
          <w:p w14:paraId="6B2FF447" w14:textId="77777777" w:rsidR="00182709" w:rsidRDefault="0044097C">
            <w:pPr>
              <w:jc w:val="left"/>
            </w:pPr>
            <w:r>
              <w:rPr>
                <w:color w:val="4472C4"/>
                <w:sz w:val="13"/>
              </w:rPr>
              <w:t>AASB 138.118 (e)(ii)</w:t>
            </w:r>
          </w:p>
        </w:tc>
        <w:tc>
          <w:tcPr>
            <w:tcW w:w="4832" w:type="dxa"/>
          </w:tcPr>
          <w:p w14:paraId="29BB3677" w14:textId="77777777" w:rsidR="00182709" w:rsidRDefault="0044097C">
            <w:pPr>
              <w:jc w:val="left"/>
            </w:pPr>
            <w:r>
              <w:t>Disposals or classified as held for sale</w:t>
            </w:r>
          </w:p>
        </w:tc>
        <w:tc>
          <w:tcPr>
            <w:tcW w:w="865" w:type="dxa"/>
          </w:tcPr>
          <w:p w14:paraId="0E2531A6" w14:textId="77777777" w:rsidR="00182709" w:rsidRDefault="0044097C">
            <w:r>
              <w:t>(7 015)</w:t>
            </w:r>
          </w:p>
        </w:tc>
        <w:tc>
          <w:tcPr>
            <w:tcW w:w="865" w:type="dxa"/>
          </w:tcPr>
          <w:p w14:paraId="43EE6C8B" w14:textId="77777777" w:rsidR="00182709" w:rsidRDefault="0044097C">
            <w:r>
              <w:t>(1 270)</w:t>
            </w:r>
          </w:p>
        </w:tc>
        <w:tc>
          <w:tcPr>
            <w:tcW w:w="865" w:type="dxa"/>
          </w:tcPr>
          <w:p w14:paraId="2CC6F607" w14:textId="77777777" w:rsidR="00182709" w:rsidRDefault="0044097C">
            <w:r>
              <w:t>(7 015)</w:t>
            </w:r>
          </w:p>
        </w:tc>
        <w:tc>
          <w:tcPr>
            <w:tcW w:w="865" w:type="dxa"/>
          </w:tcPr>
          <w:p w14:paraId="67D922BD" w14:textId="77777777" w:rsidR="00182709" w:rsidRDefault="0044097C">
            <w:r>
              <w:t>(1 270)</w:t>
            </w:r>
          </w:p>
        </w:tc>
      </w:tr>
      <w:tr w:rsidR="00182709" w14:paraId="78846AD4" w14:textId="77777777" w:rsidTr="00B53D76">
        <w:tc>
          <w:tcPr>
            <w:tcW w:w="1347" w:type="dxa"/>
          </w:tcPr>
          <w:p w14:paraId="4C85DEE9" w14:textId="77777777" w:rsidR="00182709" w:rsidRDefault="0044097C">
            <w:pPr>
              <w:jc w:val="left"/>
            </w:pPr>
            <w:r>
              <w:rPr>
                <w:color w:val="4472C4"/>
                <w:sz w:val="13"/>
              </w:rPr>
              <w:t>AASB 138.118 (c)</w:t>
            </w:r>
          </w:p>
        </w:tc>
        <w:tc>
          <w:tcPr>
            <w:tcW w:w="4832" w:type="dxa"/>
          </w:tcPr>
          <w:p w14:paraId="46C57679" w14:textId="77777777" w:rsidR="00182709" w:rsidRDefault="0044097C">
            <w:pPr>
              <w:jc w:val="left"/>
            </w:pPr>
            <w:r>
              <w:rPr>
                <w:b/>
              </w:rPr>
              <w:t>Closing balance</w:t>
            </w:r>
          </w:p>
        </w:tc>
        <w:tc>
          <w:tcPr>
            <w:tcW w:w="865" w:type="dxa"/>
          </w:tcPr>
          <w:p w14:paraId="205ED407" w14:textId="77777777" w:rsidR="00182709" w:rsidRDefault="0044097C">
            <w:r>
              <w:rPr>
                <w:b/>
              </w:rPr>
              <w:t>12 216</w:t>
            </w:r>
          </w:p>
        </w:tc>
        <w:tc>
          <w:tcPr>
            <w:tcW w:w="865" w:type="dxa"/>
          </w:tcPr>
          <w:p w14:paraId="70F8E2BD" w14:textId="77777777" w:rsidR="00182709" w:rsidRDefault="0044097C">
            <w:r>
              <w:rPr>
                <w:b/>
              </w:rPr>
              <w:t>12 295</w:t>
            </w:r>
          </w:p>
        </w:tc>
        <w:tc>
          <w:tcPr>
            <w:tcW w:w="865" w:type="dxa"/>
          </w:tcPr>
          <w:p w14:paraId="171F5078" w14:textId="77777777" w:rsidR="00182709" w:rsidRDefault="0044097C">
            <w:r>
              <w:rPr>
                <w:b/>
              </w:rPr>
              <w:t>12 216</w:t>
            </w:r>
          </w:p>
        </w:tc>
        <w:tc>
          <w:tcPr>
            <w:tcW w:w="865" w:type="dxa"/>
          </w:tcPr>
          <w:p w14:paraId="275EBCF9" w14:textId="77777777" w:rsidR="00182709" w:rsidRDefault="0044097C">
            <w:r>
              <w:rPr>
                <w:b/>
              </w:rPr>
              <w:t>12 295</w:t>
            </w:r>
          </w:p>
        </w:tc>
      </w:tr>
      <w:tr w:rsidR="00182709" w14:paraId="5B573F4F" w14:textId="77777777" w:rsidTr="00B53D76">
        <w:tc>
          <w:tcPr>
            <w:tcW w:w="1347" w:type="dxa"/>
          </w:tcPr>
          <w:p w14:paraId="0B034712" w14:textId="03A8E71E" w:rsidR="00182709" w:rsidRDefault="0044097C">
            <w:pPr>
              <w:jc w:val="left"/>
            </w:pPr>
            <w:r>
              <w:rPr>
                <w:color w:val="4472C4"/>
                <w:sz w:val="13"/>
              </w:rPr>
              <w:t>FRD 109</w:t>
            </w:r>
          </w:p>
        </w:tc>
        <w:tc>
          <w:tcPr>
            <w:tcW w:w="4832" w:type="dxa"/>
          </w:tcPr>
          <w:p w14:paraId="17CA415A" w14:textId="77777777" w:rsidR="00182709" w:rsidRDefault="0044097C">
            <w:pPr>
              <w:jc w:val="left"/>
            </w:pPr>
            <w:r>
              <w:rPr>
                <w:b/>
              </w:rPr>
              <w:t>Accumulated depreciation, amortisation and impairment</w:t>
            </w:r>
          </w:p>
        </w:tc>
        <w:tc>
          <w:tcPr>
            <w:tcW w:w="865" w:type="dxa"/>
          </w:tcPr>
          <w:p w14:paraId="4539DBEF" w14:textId="77777777" w:rsidR="00182709" w:rsidRDefault="00182709"/>
        </w:tc>
        <w:tc>
          <w:tcPr>
            <w:tcW w:w="865" w:type="dxa"/>
          </w:tcPr>
          <w:p w14:paraId="57B7292E" w14:textId="77777777" w:rsidR="00182709" w:rsidRDefault="00182709"/>
        </w:tc>
        <w:tc>
          <w:tcPr>
            <w:tcW w:w="865" w:type="dxa"/>
          </w:tcPr>
          <w:p w14:paraId="28B39CE2" w14:textId="77777777" w:rsidR="00182709" w:rsidRDefault="00182709"/>
        </w:tc>
        <w:tc>
          <w:tcPr>
            <w:tcW w:w="865" w:type="dxa"/>
          </w:tcPr>
          <w:p w14:paraId="0D965568" w14:textId="77777777" w:rsidR="00182709" w:rsidRDefault="00182709"/>
        </w:tc>
      </w:tr>
      <w:tr w:rsidR="00182709" w14:paraId="5555D236" w14:textId="77777777" w:rsidTr="00B53D76">
        <w:tc>
          <w:tcPr>
            <w:tcW w:w="1347" w:type="dxa"/>
          </w:tcPr>
          <w:p w14:paraId="3D24B34F" w14:textId="77777777" w:rsidR="00182709" w:rsidRDefault="00182709">
            <w:pPr>
              <w:jc w:val="left"/>
            </w:pPr>
          </w:p>
        </w:tc>
        <w:tc>
          <w:tcPr>
            <w:tcW w:w="4832" w:type="dxa"/>
          </w:tcPr>
          <w:p w14:paraId="43FFAFF8" w14:textId="77777777" w:rsidR="00182709" w:rsidRDefault="0044097C">
            <w:pPr>
              <w:jc w:val="left"/>
            </w:pPr>
            <w:r>
              <w:rPr>
                <w:b/>
              </w:rPr>
              <w:t>Opening balance</w:t>
            </w:r>
          </w:p>
        </w:tc>
        <w:tc>
          <w:tcPr>
            <w:tcW w:w="865" w:type="dxa"/>
          </w:tcPr>
          <w:p w14:paraId="430EA7DE" w14:textId="77777777" w:rsidR="00182709" w:rsidRDefault="0044097C">
            <w:r>
              <w:rPr>
                <w:b/>
              </w:rPr>
              <w:t>(2 848)</w:t>
            </w:r>
          </w:p>
        </w:tc>
        <w:tc>
          <w:tcPr>
            <w:tcW w:w="865" w:type="dxa"/>
          </w:tcPr>
          <w:p w14:paraId="244AC345" w14:textId="77777777" w:rsidR="00182709" w:rsidRDefault="0044097C">
            <w:r>
              <w:rPr>
                <w:b/>
              </w:rPr>
              <w:t>(3 129)</w:t>
            </w:r>
          </w:p>
        </w:tc>
        <w:tc>
          <w:tcPr>
            <w:tcW w:w="865" w:type="dxa"/>
          </w:tcPr>
          <w:p w14:paraId="6331FCD0" w14:textId="77777777" w:rsidR="00182709" w:rsidRDefault="0044097C">
            <w:r>
              <w:rPr>
                <w:b/>
              </w:rPr>
              <w:t>(2 848)</w:t>
            </w:r>
          </w:p>
        </w:tc>
        <w:tc>
          <w:tcPr>
            <w:tcW w:w="865" w:type="dxa"/>
          </w:tcPr>
          <w:p w14:paraId="0FBCB419" w14:textId="77777777" w:rsidR="00182709" w:rsidRDefault="0044097C">
            <w:r>
              <w:rPr>
                <w:b/>
              </w:rPr>
              <w:t>(3 129)</w:t>
            </w:r>
          </w:p>
        </w:tc>
      </w:tr>
      <w:tr w:rsidR="00182709" w14:paraId="0423BA9A" w14:textId="77777777" w:rsidTr="00B53D76">
        <w:tc>
          <w:tcPr>
            <w:tcW w:w="1347" w:type="dxa"/>
          </w:tcPr>
          <w:p w14:paraId="586E451F" w14:textId="77777777" w:rsidR="00182709" w:rsidRDefault="0044097C">
            <w:pPr>
              <w:jc w:val="left"/>
            </w:pPr>
            <w:r>
              <w:rPr>
                <w:color w:val="4472C4"/>
                <w:sz w:val="13"/>
              </w:rPr>
              <w:t>AASB 138.118 (c)</w:t>
            </w:r>
          </w:p>
        </w:tc>
        <w:tc>
          <w:tcPr>
            <w:tcW w:w="4832" w:type="dxa"/>
          </w:tcPr>
          <w:p w14:paraId="195E987F" w14:textId="77777777" w:rsidR="00182709" w:rsidRDefault="0044097C">
            <w:pPr>
              <w:jc w:val="left"/>
            </w:pPr>
            <w:r>
              <w:t xml:space="preserve">Amortisation of intangible produced assets </w:t>
            </w:r>
            <w:r>
              <w:rPr>
                <w:vertAlign w:val="superscript"/>
              </w:rPr>
              <w:t>(a)</w:t>
            </w:r>
          </w:p>
        </w:tc>
        <w:tc>
          <w:tcPr>
            <w:tcW w:w="865" w:type="dxa"/>
          </w:tcPr>
          <w:p w14:paraId="5D0CF8A2" w14:textId="77777777" w:rsidR="00182709" w:rsidRDefault="0044097C">
            <w:r>
              <w:t>(1 471)</w:t>
            </w:r>
          </w:p>
        </w:tc>
        <w:tc>
          <w:tcPr>
            <w:tcW w:w="865" w:type="dxa"/>
          </w:tcPr>
          <w:p w14:paraId="55AB370B" w14:textId="77777777" w:rsidR="00182709" w:rsidRDefault="0044097C">
            <w:r>
              <w:t>(1 554)</w:t>
            </w:r>
          </w:p>
        </w:tc>
        <w:tc>
          <w:tcPr>
            <w:tcW w:w="865" w:type="dxa"/>
          </w:tcPr>
          <w:p w14:paraId="246B72D2" w14:textId="77777777" w:rsidR="00182709" w:rsidRDefault="0044097C">
            <w:r>
              <w:t>(1 471)</w:t>
            </w:r>
          </w:p>
        </w:tc>
        <w:tc>
          <w:tcPr>
            <w:tcW w:w="865" w:type="dxa"/>
          </w:tcPr>
          <w:p w14:paraId="4920A340" w14:textId="77777777" w:rsidR="00182709" w:rsidRDefault="0044097C">
            <w:r>
              <w:t>(1 554)</w:t>
            </w:r>
          </w:p>
        </w:tc>
      </w:tr>
      <w:tr w:rsidR="00182709" w14:paraId="585EC82B" w14:textId="77777777" w:rsidTr="00B53D76">
        <w:tc>
          <w:tcPr>
            <w:tcW w:w="1347" w:type="dxa"/>
          </w:tcPr>
          <w:p w14:paraId="69BA4C15" w14:textId="77777777" w:rsidR="00182709" w:rsidRDefault="0044097C">
            <w:pPr>
              <w:jc w:val="left"/>
            </w:pPr>
            <w:r>
              <w:rPr>
                <w:color w:val="4472C4"/>
                <w:sz w:val="13"/>
              </w:rPr>
              <w:t>AASB 138.118 (e)(vi)</w:t>
            </w:r>
          </w:p>
        </w:tc>
        <w:tc>
          <w:tcPr>
            <w:tcW w:w="4832" w:type="dxa"/>
          </w:tcPr>
          <w:p w14:paraId="2B05ACEE" w14:textId="77777777" w:rsidR="00182709" w:rsidRDefault="0044097C">
            <w:pPr>
              <w:jc w:val="left"/>
            </w:pPr>
            <w:r>
              <w:t>Amortisation of intangible non‑produced</w:t>
            </w:r>
          </w:p>
        </w:tc>
        <w:tc>
          <w:tcPr>
            <w:tcW w:w="865" w:type="dxa"/>
          </w:tcPr>
          <w:p w14:paraId="13C7DE23" w14:textId="77777777" w:rsidR="00182709" w:rsidRDefault="0044097C">
            <w:r>
              <w:t>..</w:t>
            </w:r>
          </w:p>
        </w:tc>
        <w:tc>
          <w:tcPr>
            <w:tcW w:w="865" w:type="dxa"/>
          </w:tcPr>
          <w:p w14:paraId="75A1969D" w14:textId="77777777" w:rsidR="00182709" w:rsidRDefault="0044097C">
            <w:r>
              <w:t>..</w:t>
            </w:r>
          </w:p>
        </w:tc>
        <w:tc>
          <w:tcPr>
            <w:tcW w:w="865" w:type="dxa"/>
          </w:tcPr>
          <w:p w14:paraId="531C0430" w14:textId="77777777" w:rsidR="00182709" w:rsidRDefault="0044097C">
            <w:r>
              <w:t>..</w:t>
            </w:r>
          </w:p>
        </w:tc>
        <w:tc>
          <w:tcPr>
            <w:tcW w:w="865" w:type="dxa"/>
          </w:tcPr>
          <w:p w14:paraId="74D988B7" w14:textId="77777777" w:rsidR="00182709" w:rsidRDefault="0044097C">
            <w:r>
              <w:t>..</w:t>
            </w:r>
          </w:p>
        </w:tc>
      </w:tr>
      <w:tr w:rsidR="00182709" w14:paraId="44A2B279" w14:textId="77777777" w:rsidTr="00B53D76">
        <w:tc>
          <w:tcPr>
            <w:tcW w:w="1347" w:type="dxa"/>
          </w:tcPr>
          <w:p w14:paraId="473204D8" w14:textId="77777777" w:rsidR="00182709" w:rsidRDefault="00182709">
            <w:pPr>
              <w:jc w:val="left"/>
            </w:pPr>
          </w:p>
        </w:tc>
        <w:tc>
          <w:tcPr>
            <w:tcW w:w="4832" w:type="dxa"/>
          </w:tcPr>
          <w:p w14:paraId="64F0A989" w14:textId="77777777" w:rsidR="00182709" w:rsidRDefault="0044097C">
            <w:pPr>
              <w:jc w:val="left"/>
            </w:pPr>
            <w:r>
              <w:t xml:space="preserve">assets </w:t>
            </w:r>
            <w:r>
              <w:rPr>
                <w:vertAlign w:val="superscript"/>
              </w:rPr>
              <w:t>(a)</w:t>
            </w:r>
          </w:p>
        </w:tc>
        <w:tc>
          <w:tcPr>
            <w:tcW w:w="865" w:type="dxa"/>
          </w:tcPr>
          <w:p w14:paraId="7FA4C927" w14:textId="77777777" w:rsidR="00182709" w:rsidRDefault="00182709"/>
        </w:tc>
        <w:tc>
          <w:tcPr>
            <w:tcW w:w="865" w:type="dxa"/>
          </w:tcPr>
          <w:p w14:paraId="6FC5DBF2" w14:textId="77777777" w:rsidR="00182709" w:rsidRDefault="00182709"/>
        </w:tc>
        <w:tc>
          <w:tcPr>
            <w:tcW w:w="865" w:type="dxa"/>
          </w:tcPr>
          <w:p w14:paraId="1493B9A5" w14:textId="77777777" w:rsidR="00182709" w:rsidRDefault="00182709"/>
        </w:tc>
        <w:tc>
          <w:tcPr>
            <w:tcW w:w="865" w:type="dxa"/>
          </w:tcPr>
          <w:p w14:paraId="0245A39F" w14:textId="77777777" w:rsidR="00182709" w:rsidRDefault="00182709"/>
        </w:tc>
      </w:tr>
      <w:tr w:rsidR="00182709" w14:paraId="4FCD1485" w14:textId="77777777" w:rsidTr="00B53D76">
        <w:tc>
          <w:tcPr>
            <w:tcW w:w="1347" w:type="dxa"/>
          </w:tcPr>
          <w:p w14:paraId="30A5B024" w14:textId="77777777" w:rsidR="00182709" w:rsidRDefault="0044097C">
            <w:pPr>
              <w:jc w:val="left"/>
            </w:pPr>
            <w:r w:rsidRPr="2856114A">
              <w:rPr>
                <w:color w:val="4472C4" w:themeColor="accent1"/>
                <w:sz w:val="13"/>
                <w:szCs w:val="13"/>
              </w:rPr>
              <w:t>AASB 138.118 (e)(i)</w:t>
            </w:r>
          </w:p>
        </w:tc>
        <w:tc>
          <w:tcPr>
            <w:tcW w:w="4832" w:type="dxa"/>
          </w:tcPr>
          <w:p w14:paraId="5F6319F0" w14:textId="77777777" w:rsidR="00182709" w:rsidRDefault="0044097C">
            <w:pPr>
              <w:jc w:val="left"/>
            </w:pPr>
            <w:r>
              <w:t>Acquisitions from business combinations</w:t>
            </w:r>
          </w:p>
        </w:tc>
        <w:tc>
          <w:tcPr>
            <w:tcW w:w="865" w:type="dxa"/>
          </w:tcPr>
          <w:p w14:paraId="77E6E340" w14:textId="77777777" w:rsidR="00182709" w:rsidRDefault="0044097C">
            <w:r>
              <w:t>(1 288)</w:t>
            </w:r>
          </w:p>
        </w:tc>
        <w:tc>
          <w:tcPr>
            <w:tcW w:w="865" w:type="dxa"/>
          </w:tcPr>
          <w:p w14:paraId="6FA910FF" w14:textId="77777777" w:rsidR="00182709" w:rsidRDefault="0044097C">
            <w:r>
              <w:t>..</w:t>
            </w:r>
          </w:p>
        </w:tc>
        <w:tc>
          <w:tcPr>
            <w:tcW w:w="865" w:type="dxa"/>
          </w:tcPr>
          <w:p w14:paraId="43FE057E" w14:textId="77777777" w:rsidR="00182709" w:rsidRDefault="0044097C">
            <w:r>
              <w:t>(1 288)</w:t>
            </w:r>
          </w:p>
        </w:tc>
        <w:tc>
          <w:tcPr>
            <w:tcW w:w="865" w:type="dxa"/>
          </w:tcPr>
          <w:p w14:paraId="03257A2F" w14:textId="77777777" w:rsidR="00182709" w:rsidRDefault="0044097C">
            <w:r>
              <w:t>..</w:t>
            </w:r>
          </w:p>
        </w:tc>
      </w:tr>
      <w:tr w:rsidR="00182709" w14:paraId="6644D4EA" w14:textId="77777777" w:rsidTr="00B53D76">
        <w:tc>
          <w:tcPr>
            <w:tcW w:w="1347" w:type="dxa"/>
          </w:tcPr>
          <w:p w14:paraId="09991C0C" w14:textId="77777777" w:rsidR="00182709" w:rsidRDefault="0044097C">
            <w:pPr>
              <w:jc w:val="left"/>
            </w:pPr>
            <w:r>
              <w:rPr>
                <w:color w:val="4472C4"/>
                <w:sz w:val="13"/>
              </w:rPr>
              <w:t>AASB 138.118 (e)(ii)</w:t>
            </w:r>
          </w:p>
        </w:tc>
        <w:tc>
          <w:tcPr>
            <w:tcW w:w="4832" w:type="dxa"/>
          </w:tcPr>
          <w:p w14:paraId="51D5A7CA" w14:textId="77777777" w:rsidR="00182709" w:rsidRDefault="0044097C">
            <w:pPr>
              <w:jc w:val="left"/>
            </w:pPr>
            <w:r>
              <w:t>Disposals or classified as held for sale</w:t>
            </w:r>
          </w:p>
        </w:tc>
        <w:tc>
          <w:tcPr>
            <w:tcW w:w="865" w:type="dxa"/>
          </w:tcPr>
          <w:p w14:paraId="0C92C967" w14:textId="77777777" w:rsidR="00182709" w:rsidRDefault="0044097C">
            <w:r>
              <w:t>3 375</w:t>
            </w:r>
          </w:p>
        </w:tc>
        <w:tc>
          <w:tcPr>
            <w:tcW w:w="865" w:type="dxa"/>
          </w:tcPr>
          <w:p w14:paraId="76451FCC" w14:textId="77777777" w:rsidR="00182709" w:rsidRDefault="0044097C">
            <w:r>
              <w:t>1 250</w:t>
            </w:r>
          </w:p>
        </w:tc>
        <w:tc>
          <w:tcPr>
            <w:tcW w:w="865" w:type="dxa"/>
          </w:tcPr>
          <w:p w14:paraId="54E1DBD4" w14:textId="77777777" w:rsidR="00182709" w:rsidRDefault="0044097C">
            <w:r>
              <w:t>3 375</w:t>
            </w:r>
          </w:p>
        </w:tc>
        <w:tc>
          <w:tcPr>
            <w:tcW w:w="865" w:type="dxa"/>
          </w:tcPr>
          <w:p w14:paraId="77BB44A1" w14:textId="77777777" w:rsidR="00182709" w:rsidRDefault="0044097C">
            <w:r>
              <w:t>1 250</w:t>
            </w:r>
          </w:p>
        </w:tc>
      </w:tr>
      <w:tr w:rsidR="00182709" w14:paraId="1155549E" w14:textId="77777777" w:rsidTr="00B53D76">
        <w:tc>
          <w:tcPr>
            <w:tcW w:w="1347" w:type="dxa"/>
          </w:tcPr>
          <w:p w14:paraId="79A8FBBB" w14:textId="77777777" w:rsidR="00182709" w:rsidRDefault="0044097C">
            <w:pPr>
              <w:jc w:val="left"/>
            </w:pPr>
            <w:r>
              <w:rPr>
                <w:color w:val="4472C4"/>
                <w:sz w:val="13"/>
              </w:rPr>
              <w:t>AASB 138.118 (e)(iv)</w:t>
            </w:r>
          </w:p>
        </w:tc>
        <w:tc>
          <w:tcPr>
            <w:tcW w:w="4832" w:type="dxa"/>
          </w:tcPr>
          <w:p w14:paraId="62CE3642" w14:textId="77777777" w:rsidR="00182709" w:rsidRDefault="0044097C">
            <w:pPr>
              <w:jc w:val="left"/>
            </w:pPr>
            <w:r>
              <w:t xml:space="preserve">Impairment losses charged to net result </w:t>
            </w:r>
            <w:r>
              <w:rPr>
                <w:vertAlign w:val="superscript"/>
              </w:rPr>
              <w:t>(b)</w:t>
            </w:r>
          </w:p>
        </w:tc>
        <w:tc>
          <w:tcPr>
            <w:tcW w:w="865" w:type="dxa"/>
          </w:tcPr>
          <w:p w14:paraId="1C046F99" w14:textId="77777777" w:rsidR="00182709" w:rsidRDefault="0044097C">
            <w:r>
              <w:t>(2 010)</w:t>
            </w:r>
          </w:p>
        </w:tc>
        <w:tc>
          <w:tcPr>
            <w:tcW w:w="865" w:type="dxa"/>
          </w:tcPr>
          <w:p w14:paraId="713A1074" w14:textId="77777777" w:rsidR="00182709" w:rsidRDefault="0044097C">
            <w:r>
              <w:t>..</w:t>
            </w:r>
          </w:p>
        </w:tc>
        <w:tc>
          <w:tcPr>
            <w:tcW w:w="865" w:type="dxa"/>
          </w:tcPr>
          <w:p w14:paraId="5B96241B" w14:textId="77777777" w:rsidR="00182709" w:rsidRDefault="0044097C">
            <w:r>
              <w:t>(2 010)</w:t>
            </w:r>
          </w:p>
        </w:tc>
        <w:tc>
          <w:tcPr>
            <w:tcW w:w="865" w:type="dxa"/>
          </w:tcPr>
          <w:p w14:paraId="29F4044A" w14:textId="77777777" w:rsidR="00182709" w:rsidRDefault="0044097C">
            <w:r>
              <w:t>..</w:t>
            </w:r>
          </w:p>
        </w:tc>
      </w:tr>
      <w:tr w:rsidR="00182709" w14:paraId="135C4D1E" w14:textId="77777777" w:rsidTr="00B53D76">
        <w:tc>
          <w:tcPr>
            <w:tcW w:w="1347" w:type="dxa"/>
          </w:tcPr>
          <w:p w14:paraId="119BDAB0" w14:textId="77777777" w:rsidR="00182709" w:rsidRDefault="0044097C">
            <w:pPr>
              <w:jc w:val="left"/>
            </w:pPr>
            <w:r>
              <w:rPr>
                <w:color w:val="4472C4"/>
                <w:sz w:val="13"/>
              </w:rPr>
              <w:t>AASB 138.118 (e)(v)</w:t>
            </w:r>
          </w:p>
        </w:tc>
        <w:tc>
          <w:tcPr>
            <w:tcW w:w="4832" w:type="dxa"/>
          </w:tcPr>
          <w:p w14:paraId="232148A3" w14:textId="77777777" w:rsidR="00182709" w:rsidRDefault="0044097C">
            <w:pPr>
              <w:jc w:val="left"/>
            </w:pPr>
            <w:r>
              <w:t>Reversals of impairment losses charged to net result</w:t>
            </w:r>
          </w:p>
        </w:tc>
        <w:tc>
          <w:tcPr>
            <w:tcW w:w="865" w:type="dxa"/>
          </w:tcPr>
          <w:p w14:paraId="4EEC5F9E" w14:textId="77777777" w:rsidR="00182709" w:rsidRDefault="0044097C">
            <w:r>
              <w:t>..</w:t>
            </w:r>
          </w:p>
        </w:tc>
        <w:tc>
          <w:tcPr>
            <w:tcW w:w="865" w:type="dxa"/>
          </w:tcPr>
          <w:p w14:paraId="5D1D1866" w14:textId="77777777" w:rsidR="00182709" w:rsidRDefault="0044097C">
            <w:r>
              <w:t>585</w:t>
            </w:r>
          </w:p>
        </w:tc>
        <w:tc>
          <w:tcPr>
            <w:tcW w:w="865" w:type="dxa"/>
          </w:tcPr>
          <w:p w14:paraId="403DDF64" w14:textId="77777777" w:rsidR="00182709" w:rsidRDefault="0044097C">
            <w:r>
              <w:t>..</w:t>
            </w:r>
          </w:p>
        </w:tc>
        <w:tc>
          <w:tcPr>
            <w:tcW w:w="865" w:type="dxa"/>
          </w:tcPr>
          <w:p w14:paraId="20AFCD1B" w14:textId="77777777" w:rsidR="00182709" w:rsidRDefault="0044097C">
            <w:r>
              <w:t>585</w:t>
            </w:r>
          </w:p>
        </w:tc>
      </w:tr>
      <w:tr w:rsidR="00182709" w14:paraId="3E651B18" w14:textId="77777777" w:rsidTr="00B53D76">
        <w:tc>
          <w:tcPr>
            <w:tcW w:w="1347" w:type="dxa"/>
          </w:tcPr>
          <w:p w14:paraId="5707363D" w14:textId="77777777" w:rsidR="00182709" w:rsidRDefault="0044097C">
            <w:pPr>
              <w:jc w:val="left"/>
            </w:pPr>
            <w:r>
              <w:rPr>
                <w:color w:val="4472C4"/>
                <w:sz w:val="13"/>
              </w:rPr>
              <w:t>AASB 138.118 (c)</w:t>
            </w:r>
          </w:p>
        </w:tc>
        <w:tc>
          <w:tcPr>
            <w:tcW w:w="4832" w:type="dxa"/>
            <w:tcBorders>
              <w:bottom w:val="single" w:sz="12" w:space="0" w:color="auto"/>
            </w:tcBorders>
          </w:tcPr>
          <w:p w14:paraId="4AB8A0CB" w14:textId="77777777" w:rsidR="00182709" w:rsidRDefault="0044097C">
            <w:pPr>
              <w:jc w:val="left"/>
            </w:pPr>
            <w:r>
              <w:rPr>
                <w:b/>
              </w:rPr>
              <w:t>Closing balance</w:t>
            </w:r>
          </w:p>
        </w:tc>
        <w:tc>
          <w:tcPr>
            <w:tcW w:w="865" w:type="dxa"/>
            <w:tcBorders>
              <w:bottom w:val="single" w:sz="12" w:space="0" w:color="auto"/>
            </w:tcBorders>
          </w:tcPr>
          <w:p w14:paraId="27FD7566" w14:textId="77777777" w:rsidR="00182709" w:rsidRDefault="0044097C">
            <w:r>
              <w:rPr>
                <w:b/>
              </w:rPr>
              <w:t>(4 242)</w:t>
            </w:r>
          </w:p>
        </w:tc>
        <w:tc>
          <w:tcPr>
            <w:tcW w:w="865" w:type="dxa"/>
            <w:tcBorders>
              <w:bottom w:val="single" w:sz="12" w:space="0" w:color="auto"/>
            </w:tcBorders>
          </w:tcPr>
          <w:p w14:paraId="418D81E0" w14:textId="77777777" w:rsidR="00182709" w:rsidRDefault="0044097C">
            <w:r>
              <w:rPr>
                <w:b/>
              </w:rPr>
              <w:t>(2 848)</w:t>
            </w:r>
          </w:p>
        </w:tc>
        <w:tc>
          <w:tcPr>
            <w:tcW w:w="865" w:type="dxa"/>
            <w:tcBorders>
              <w:bottom w:val="single" w:sz="12" w:space="0" w:color="auto"/>
            </w:tcBorders>
          </w:tcPr>
          <w:p w14:paraId="6CBC5493" w14:textId="77777777" w:rsidR="00182709" w:rsidRDefault="0044097C">
            <w:r>
              <w:rPr>
                <w:b/>
              </w:rPr>
              <w:t>(4 242)</w:t>
            </w:r>
          </w:p>
        </w:tc>
        <w:tc>
          <w:tcPr>
            <w:tcW w:w="865" w:type="dxa"/>
            <w:tcBorders>
              <w:bottom w:val="single" w:sz="12" w:space="0" w:color="auto"/>
            </w:tcBorders>
          </w:tcPr>
          <w:p w14:paraId="10058251" w14:textId="77777777" w:rsidR="00182709" w:rsidRDefault="0044097C">
            <w:r>
              <w:rPr>
                <w:b/>
              </w:rPr>
              <w:t>(2 848)</w:t>
            </w:r>
          </w:p>
        </w:tc>
      </w:tr>
      <w:tr w:rsidR="00671D55" w14:paraId="20D192CF" w14:textId="77777777" w:rsidTr="00B53D76">
        <w:tc>
          <w:tcPr>
            <w:tcW w:w="1347" w:type="dxa"/>
            <w:tcBorders>
              <w:bottom w:val="nil"/>
            </w:tcBorders>
          </w:tcPr>
          <w:p w14:paraId="47CD2E00" w14:textId="77777777" w:rsidR="00182709" w:rsidRDefault="00182709">
            <w:pPr>
              <w:jc w:val="left"/>
            </w:pPr>
          </w:p>
        </w:tc>
        <w:tc>
          <w:tcPr>
            <w:tcW w:w="4832" w:type="dxa"/>
          </w:tcPr>
          <w:p w14:paraId="256A9E61" w14:textId="77777777" w:rsidR="00182709" w:rsidRDefault="0044097C">
            <w:pPr>
              <w:jc w:val="left"/>
            </w:pPr>
            <w:r>
              <w:rPr>
                <w:b/>
              </w:rPr>
              <w:t>Net book value at end of financial year</w:t>
            </w:r>
          </w:p>
        </w:tc>
        <w:tc>
          <w:tcPr>
            <w:tcW w:w="865" w:type="dxa"/>
          </w:tcPr>
          <w:p w14:paraId="064AA3B1" w14:textId="77777777" w:rsidR="00182709" w:rsidRDefault="0044097C">
            <w:r>
              <w:rPr>
                <w:b/>
              </w:rPr>
              <w:t>7 974</w:t>
            </w:r>
          </w:p>
        </w:tc>
        <w:tc>
          <w:tcPr>
            <w:tcW w:w="865" w:type="dxa"/>
          </w:tcPr>
          <w:p w14:paraId="78767678" w14:textId="77777777" w:rsidR="00182709" w:rsidRDefault="0044097C">
            <w:r>
              <w:rPr>
                <w:b/>
              </w:rPr>
              <w:t>9 447</w:t>
            </w:r>
          </w:p>
        </w:tc>
        <w:tc>
          <w:tcPr>
            <w:tcW w:w="865" w:type="dxa"/>
          </w:tcPr>
          <w:p w14:paraId="73ABCA22" w14:textId="77777777" w:rsidR="00182709" w:rsidRDefault="0044097C">
            <w:r>
              <w:rPr>
                <w:b/>
              </w:rPr>
              <w:t>7 974</w:t>
            </w:r>
          </w:p>
        </w:tc>
        <w:tc>
          <w:tcPr>
            <w:tcW w:w="865" w:type="dxa"/>
          </w:tcPr>
          <w:p w14:paraId="207673F6" w14:textId="77777777" w:rsidR="00182709" w:rsidRDefault="0044097C">
            <w:r>
              <w:rPr>
                <w:b/>
              </w:rPr>
              <w:t>9 447</w:t>
            </w:r>
          </w:p>
        </w:tc>
      </w:tr>
    </w:tbl>
    <w:p w14:paraId="76D4AAEE" w14:textId="77777777" w:rsidR="003719CD" w:rsidRDefault="003719CD" w:rsidP="007D536F">
      <w:pPr>
        <w:pStyle w:val="Note"/>
      </w:pPr>
      <w:r>
        <w:t xml:space="preserve">Notes: </w:t>
      </w:r>
    </w:p>
    <w:p w14:paraId="57AE6C23" w14:textId="50219277" w:rsidR="003719CD" w:rsidRDefault="003719CD" w:rsidP="007D536F">
      <w:pPr>
        <w:pStyle w:val="Note"/>
      </w:pPr>
      <w:r>
        <w:t>(a)</w:t>
      </w:r>
      <w:r>
        <w:tab/>
        <w:t>The consumption of intangible produced assets is included in ‘depreciation’ line item, where the consumption of the intangible non-produced assets is included in ‘net gain/(loss) on non-financial assets’ line item on the comprehensive operating statement.</w:t>
      </w:r>
    </w:p>
    <w:p w14:paraId="59776855" w14:textId="77777777" w:rsidR="003719CD" w:rsidRDefault="003719CD" w:rsidP="007D536F">
      <w:pPr>
        <w:pStyle w:val="Note"/>
      </w:pPr>
      <w:r>
        <w:t>(b)</w:t>
      </w:r>
      <w:r>
        <w:tab/>
        <w:t>Impairment losses are included in the line item ‘net gain/(loss) on non-financial assets’ in the comprehensive operating statement. Due to the development of the Series Z software as discussed below, it was determined that the existing software will be phased out over the next year and as such, an impairment loss was recognised for the period based on its recoverable amount, which was determined on fair value less costs to sell using market prices.</w:t>
      </w:r>
    </w:p>
    <w:p w14:paraId="54EA7B1D" w14:textId="77777777" w:rsidR="003719CD" w:rsidRDefault="003719CD" w:rsidP="00DC39DE"/>
    <w:p w14:paraId="48BD9B17" w14:textId="77777777" w:rsidR="001F2260" w:rsidRDefault="001F2260">
      <w:pPr>
        <w:keepLines w:val="0"/>
        <w:rPr>
          <w:rFonts w:asciiTheme="majorHAnsi" w:eastAsiaTheme="majorEastAsia" w:hAnsiTheme="majorHAnsi" w:cstheme="majorBidi"/>
          <w:b/>
          <w:sz w:val="22"/>
          <w:szCs w:val="24"/>
        </w:rPr>
      </w:pPr>
      <w:r>
        <w:br w:type="page"/>
      </w:r>
    </w:p>
    <w:p w14:paraId="4281F980" w14:textId="0231BA1D" w:rsidR="003719CD" w:rsidRDefault="003719CD" w:rsidP="007D536F">
      <w:pPr>
        <w:pStyle w:val="Heading3"/>
      </w:pPr>
      <w:r>
        <w:lastRenderedPageBreak/>
        <w:t>Initial recognition</w:t>
      </w:r>
    </w:p>
    <w:p w14:paraId="0F4D87E8" w14:textId="16469FAE" w:rsidR="003719CD" w:rsidRDefault="003719CD" w:rsidP="00DC39DE">
      <w:r w:rsidRPr="00685BCF">
        <w:rPr>
          <w:b/>
          <w:bCs/>
        </w:rPr>
        <w:t>Purchased intangible assets</w:t>
      </w:r>
      <w:r>
        <w:t xml:space="preserve"> are initially recognised at cost. When the recognition criteria in AASB 138 </w:t>
      </w:r>
      <w:r w:rsidRPr="00697B8B">
        <w:rPr>
          <w:i/>
          <w:iCs/>
        </w:rPr>
        <w:t>Intangible Assets</w:t>
      </w:r>
      <w:r>
        <w:t xml:space="preserve"> is met, internally generated intangible assets are recognised at cost. Subsequently, intangible assets with finite useful lives are carried at cost less accumulated amortisation and accumulated impairment losses. Depreciation and amortisation begin when the asset is available for use, that is, when it is in the location and condition necessary for it to be capable of operating in the manner intended by management. </w:t>
      </w:r>
      <w:r w:rsidRPr="002B2E6E">
        <w:rPr>
          <w:rStyle w:val="Reference"/>
        </w:rPr>
        <w:t>[AASB 138.74-75; FRD 109]</w:t>
      </w:r>
    </w:p>
    <w:p w14:paraId="2C63920B" w14:textId="29137836" w:rsidR="003719CD" w:rsidRDefault="003719CD" w:rsidP="00DC39DE">
      <w:r>
        <w:t xml:space="preserve">An </w:t>
      </w:r>
      <w:r w:rsidRPr="00685BCF">
        <w:rPr>
          <w:b/>
          <w:bCs/>
        </w:rPr>
        <w:t>internally generated intangible asset</w:t>
      </w:r>
      <w:r>
        <w:t xml:space="preserve"> arising from development (or from the development phase of an internal project) is recognised if, and only if, all of the following are demonstrated</w:t>
      </w:r>
      <w:r w:rsidR="008D43CC">
        <w:t>, including</w:t>
      </w:r>
      <w:r w:rsidR="00AA0592">
        <w:t>:</w:t>
      </w:r>
    </w:p>
    <w:p w14:paraId="02E683C5" w14:textId="38E1CCC1" w:rsidR="003719CD" w:rsidRDefault="003719CD" w:rsidP="00310F12">
      <w:pPr>
        <w:pStyle w:val="ListBullet"/>
      </w:pPr>
      <w:r>
        <w:t>the technical feasibility of completing the intangible asset so that it will be available for use or sale</w:t>
      </w:r>
    </w:p>
    <w:p w14:paraId="6059D2E3" w14:textId="4978CAA7" w:rsidR="003719CD" w:rsidRDefault="003719CD" w:rsidP="00310F12">
      <w:pPr>
        <w:pStyle w:val="ListBullet"/>
      </w:pPr>
      <w:r>
        <w:t>an intention to complete the intangible asset and use or sell it</w:t>
      </w:r>
    </w:p>
    <w:p w14:paraId="70FC42C1" w14:textId="3A0332FF" w:rsidR="003719CD" w:rsidRDefault="003719CD" w:rsidP="00310F12">
      <w:pPr>
        <w:pStyle w:val="ListBullet"/>
      </w:pPr>
      <w:r>
        <w:t>the ability to use or sell the intangible asset</w:t>
      </w:r>
    </w:p>
    <w:p w14:paraId="1899D35D" w14:textId="27C841AC" w:rsidR="003719CD" w:rsidRDefault="003719CD" w:rsidP="00310F12">
      <w:pPr>
        <w:pStyle w:val="ListBullet"/>
      </w:pPr>
      <w:r>
        <w:t>the intangible asset will generate probable future economic benefits</w:t>
      </w:r>
    </w:p>
    <w:p w14:paraId="604E43F7" w14:textId="488C1F94" w:rsidR="003719CD" w:rsidRDefault="003719CD" w:rsidP="00310F12">
      <w:pPr>
        <w:pStyle w:val="ListBullet"/>
      </w:pPr>
      <w:r>
        <w:t>the availability of adequate technical, financial and other resources to complete the development and to use or sell the intangible asset</w:t>
      </w:r>
    </w:p>
    <w:p w14:paraId="359248E0" w14:textId="77777777" w:rsidR="003719CD" w:rsidRDefault="003719CD" w:rsidP="00310F12">
      <w:pPr>
        <w:pStyle w:val="ListBullet"/>
      </w:pPr>
      <w:r>
        <w:t xml:space="preserve">the ability to measure reliably the expenditure attributable to the intangible asset during its development. </w:t>
      </w:r>
      <w:r w:rsidRPr="00E14F16">
        <w:rPr>
          <w:rStyle w:val="Reference"/>
        </w:rPr>
        <w:t>[AASB 138.57]</w:t>
      </w:r>
    </w:p>
    <w:p w14:paraId="17BAE2BC" w14:textId="42A43E2B" w:rsidR="00697B8B" w:rsidRDefault="003719CD" w:rsidP="00697B8B">
      <w:pPr>
        <w:pStyle w:val="Heading3"/>
      </w:pPr>
      <w:r>
        <w:t>Service concession intangible asset</w:t>
      </w:r>
    </w:p>
    <w:p w14:paraId="480293AA" w14:textId="0B7161A0" w:rsidR="003719CD" w:rsidRDefault="003719CD" w:rsidP="00DC39DE">
      <w:r>
        <w:t xml:space="preserve">The service concession intangible asset has an indefinite useful life because its value does not diminish with use and it can be used multiple times over an extended period of time with no foreseeable limit. As a result, a finite life cannot be determined. </w:t>
      </w:r>
      <w:r w:rsidRPr="00C30867">
        <w:rPr>
          <w:rStyle w:val="Reference"/>
        </w:rPr>
        <w:t>[AASB 138.122(a)]</w:t>
      </w:r>
    </w:p>
    <w:p w14:paraId="25E7B5E1" w14:textId="01F7740B" w:rsidR="003719CD" w:rsidRDefault="003719CD" w:rsidP="00DC39DE">
      <w:r>
        <w:t>More information about the service concession intangible asset is outlined in section 7.5.3.</w:t>
      </w:r>
      <w:r w:rsidRPr="00C30867">
        <w:rPr>
          <w:rStyle w:val="Reference"/>
        </w:rPr>
        <w:t xml:space="preserve"> </w:t>
      </w:r>
    </w:p>
    <w:p w14:paraId="45393967" w14:textId="77777777" w:rsidR="003719CD" w:rsidRDefault="003719CD" w:rsidP="007D536F">
      <w:pPr>
        <w:pStyle w:val="Heading3"/>
      </w:pPr>
      <w:r>
        <w:t>Subsequent measurement</w:t>
      </w:r>
    </w:p>
    <w:p w14:paraId="3F5BF4E4" w14:textId="77777777" w:rsidR="003719CD" w:rsidRDefault="003719CD" w:rsidP="00DC39DE">
      <w:r>
        <w:t>Intangible produced assets with finite useful lives, are amortised as an ‘expense from transactions’ on a straight-line basis over their useful lives. Produced intangible assets have useful lives of between three and five years.</w:t>
      </w:r>
    </w:p>
    <w:p w14:paraId="45CEABD0" w14:textId="77777777" w:rsidR="003719CD" w:rsidRDefault="003719CD" w:rsidP="00DC39DE">
      <w:r>
        <w:t xml:space="preserve">Intangible non-produced assets with finite lives are amortised as an ‘other economic flow’ on a straight-line basis over their useful lives. The amortisation period is three to five years. </w:t>
      </w:r>
    </w:p>
    <w:p w14:paraId="24A2345D" w14:textId="77777777" w:rsidR="003719CD" w:rsidRDefault="003719CD" w:rsidP="00DC39DE">
      <w:r>
        <w:t xml:space="preserve">Service concession intangible assets recognised applying AASB 1059 are subsequently measured at fair value (current replacement cost). </w:t>
      </w:r>
      <w:r w:rsidRPr="00F50AE2">
        <w:rPr>
          <w:rStyle w:val="Reference"/>
        </w:rPr>
        <w:t>[AASB 138.97, 138.104, 138.108-109 and 138.118(b)]</w:t>
      </w:r>
    </w:p>
    <w:p w14:paraId="7DBF998A" w14:textId="77777777" w:rsidR="003719CD" w:rsidRDefault="003719CD" w:rsidP="007D536F">
      <w:pPr>
        <w:pStyle w:val="Heading3"/>
      </w:pPr>
      <w:r>
        <w:t>Impairment of intangible assets</w:t>
      </w:r>
    </w:p>
    <w:p w14:paraId="3A724775" w14:textId="77777777" w:rsidR="003719CD" w:rsidRDefault="003719CD" w:rsidP="00DC39DE">
      <w:r>
        <w:t>Goodwill and intangible assets with indefinite useful lives (and intangible assets not yet available for use) are tested annually for impairment and whenever there is an indication that the asset may be impaired. Intangible assets with finite useful lives are tested for impairment whenever an indication of impairment is identified.</w:t>
      </w:r>
    </w:p>
    <w:p w14:paraId="4D2C24F3" w14:textId="77777777" w:rsidR="003719CD" w:rsidRDefault="003719CD" w:rsidP="00DC39DE">
      <w:r>
        <w:t xml:space="preserve">The policy in connection with testing for impairment is outlined in section 5.1.1. </w:t>
      </w:r>
      <w:r w:rsidRPr="00F50AE2">
        <w:rPr>
          <w:rStyle w:val="Reference"/>
        </w:rPr>
        <w:t>[AASB 136.10(a)]</w:t>
      </w:r>
    </w:p>
    <w:p w14:paraId="31926920" w14:textId="77777777" w:rsidR="003719CD" w:rsidRDefault="003719CD" w:rsidP="007D536F">
      <w:pPr>
        <w:pStyle w:val="Heading3"/>
      </w:pPr>
      <w:r>
        <w:t xml:space="preserve">Significant intangible assets </w:t>
      </w:r>
    </w:p>
    <w:p w14:paraId="58D7CB36" w14:textId="691EF0A4" w:rsidR="003719CD" w:rsidRDefault="003719CD" w:rsidP="00DC39DE">
      <w:r>
        <w:t>The Department has capitalised software development expenditure for the development of its Series Z technology software. The carrying amount of the capitalised software development expenditure is $</w:t>
      </w:r>
      <w:r w:rsidR="00A77178">
        <w:t>-</w:t>
      </w:r>
      <w:r>
        <w:t xml:space="preserve">7.97 million </w:t>
      </w:r>
      <w:r w:rsidR="001F2260">
        <w:br/>
      </w:r>
      <w:r>
        <w:t>(</w:t>
      </w:r>
      <w:fldSimple w:instr="DOCPROPERTY  YearPrevious  \* MERGEFORMAT">
        <w:r w:rsidR="008D26B2">
          <w:t>20X1</w:t>
        </w:r>
      </w:fldSimple>
      <w:r>
        <w:t>: $9.45</w:t>
      </w:r>
      <w:r w:rsidR="001F2260">
        <w:t> </w:t>
      </w:r>
      <w:r>
        <w:t xml:space="preserve">million). Its useful life is five years and will be fully amortised in 2030. </w:t>
      </w:r>
      <w:r w:rsidRPr="00C30867">
        <w:rPr>
          <w:rStyle w:val="Reference"/>
        </w:rPr>
        <w:t>[AASB 138.118(a), 138.122(b)]</w:t>
      </w:r>
    </w:p>
    <w:p w14:paraId="699BC79B" w14:textId="77777777" w:rsidR="003719CD" w:rsidRDefault="003719CD" w:rsidP="00DC39DE"/>
    <w:p w14:paraId="46FC8FCE" w14:textId="77777777" w:rsidR="001F2260" w:rsidRDefault="001F2260">
      <w:pPr>
        <w:keepLines w:val="0"/>
        <w:rPr>
          <w:rFonts w:asciiTheme="majorHAnsi" w:eastAsiaTheme="majorEastAsia" w:hAnsiTheme="majorHAnsi" w:cstheme="majorBidi"/>
          <w:b/>
          <w:bCs/>
          <w:iCs/>
          <w:color w:val="FFFFFF" w:themeColor="background1"/>
          <w:sz w:val="20"/>
          <w:szCs w:val="24"/>
        </w:rPr>
      </w:pPr>
      <w:r>
        <w:br w:type="page"/>
      </w:r>
    </w:p>
    <w:p w14:paraId="18458238" w14:textId="2C835FBD" w:rsidR="003719CD" w:rsidRDefault="003719CD" w:rsidP="007D536F">
      <w:pPr>
        <w:pStyle w:val="GuidanceBlockHeading"/>
      </w:pPr>
      <w:r>
        <w:lastRenderedPageBreak/>
        <w:t>Guidance – Intangible assets</w:t>
      </w:r>
    </w:p>
    <w:p w14:paraId="3DA149F4" w14:textId="77777777" w:rsidR="003719CD" w:rsidRPr="00837B94" w:rsidRDefault="003719CD" w:rsidP="007D536F">
      <w:pPr>
        <w:pStyle w:val="GuidanceHeading"/>
        <w:rPr>
          <w:rStyle w:val="Guidance"/>
        </w:rPr>
      </w:pPr>
      <w:r w:rsidRPr="00837B94">
        <w:rPr>
          <w:rStyle w:val="Guidance"/>
        </w:rPr>
        <w:t>Disclosure of amortisation</w:t>
      </w:r>
    </w:p>
    <w:p w14:paraId="6F9EE48A" w14:textId="77777777" w:rsidR="003719CD" w:rsidRPr="00837B94" w:rsidRDefault="003719CD" w:rsidP="00DC39DE">
      <w:pPr>
        <w:rPr>
          <w:rStyle w:val="Guidance"/>
        </w:rPr>
      </w:pPr>
      <w:r w:rsidRPr="00837B94">
        <w:rPr>
          <w:rStyle w:val="Guidance"/>
        </w:rPr>
        <w:t xml:space="preserve">An entity shall disclose the line item(s) of the comprehensive operating statement in which any amortisation of intangible assets is included. </w:t>
      </w:r>
      <w:r w:rsidRPr="00837B94">
        <w:rPr>
          <w:rStyle w:val="Reference"/>
        </w:rPr>
        <w:t>[AASB 138.118(d)]</w:t>
      </w:r>
    </w:p>
    <w:p w14:paraId="3DB2663D" w14:textId="77777777" w:rsidR="003719CD" w:rsidRPr="00837B94" w:rsidRDefault="003719CD" w:rsidP="00DC39DE">
      <w:pPr>
        <w:rPr>
          <w:rStyle w:val="Guidance"/>
        </w:rPr>
      </w:pPr>
      <w:r w:rsidRPr="00837B94">
        <w:rPr>
          <w:rStyle w:val="Guidance"/>
        </w:rPr>
        <w:t xml:space="preserve">An entity shall also disclose a description, the carrying amount and remaining amortisation period of any individual intangible asset that is material to the financial statements. </w:t>
      </w:r>
      <w:r w:rsidRPr="00837B94">
        <w:rPr>
          <w:rStyle w:val="Reference"/>
        </w:rPr>
        <w:t>[AASB 138.122(b)]</w:t>
      </w:r>
    </w:p>
    <w:p w14:paraId="0008FF6A" w14:textId="77777777" w:rsidR="003719CD" w:rsidRPr="00837B94" w:rsidRDefault="003719CD" w:rsidP="007D536F">
      <w:pPr>
        <w:pStyle w:val="GuidanceHeading"/>
        <w:rPr>
          <w:rStyle w:val="Guidance"/>
        </w:rPr>
      </w:pPr>
      <w:r w:rsidRPr="00837B94">
        <w:rPr>
          <w:rStyle w:val="Guidance"/>
        </w:rPr>
        <w:t>Additional disclosures for indefinite life intangible assets</w:t>
      </w:r>
    </w:p>
    <w:p w14:paraId="743B4365" w14:textId="77777777" w:rsidR="003719CD" w:rsidRPr="00837B94" w:rsidRDefault="003719CD" w:rsidP="00DC39DE">
      <w:pPr>
        <w:rPr>
          <w:rStyle w:val="Guidance"/>
        </w:rPr>
      </w:pPr>
      <w:r w:rsidRPr="00837B94">
        <w:rPr>
          <w:rStyle w:val="Guidance"/>
        </w:rPr>
        <w:t xml:space="preserve">An entity shall disclose, for an intangible asset assessed as having an indefinite useful life, the carrying amount of that asset and the reasons supporting the assessment of an indefinite useful life. In giving these reasons, the entity shall describe the factor(s) that played a significant role in determining that the asset has an indefinite useful life. </w:t>
      </w:r>
      <w:r w:rsidRPr="000D2760">
        <w:rPr>
          <w:rStyle w:val="Reference"/>
        </w:rPr>
        <w:t>[AASB 138.122(a)]</w:t>
      </w:r>
    </w:p>
    <w:p w14:paraId="20957B3F" w14:textId="5DF7C67B" w:rsidR="003719CD" w:rsidRPr="00837B94" w:rsidRDefault="003719CD" w:rsidP="00CD06B1">
      <w:pPr>
        <w:pStyle w:val="GuidanceHeading"/>
        <w:rPr>
          <w:rStyle w:val="Guidance"/>
        </w:rPr>
      </w:pPr>
      <w:r w:rsidRPr="00837B94">
        <w:rPr>
          <w:rStyle w:val="Guidance"/>
        </w:rPr>
        <w:t xml:space="preserve">Additional disclosures for intangible assets acquired by way of a government grant and initially recognised at fair value </w:t>
      </w:r>
    </w:p>
    <w:p w14:paraId="21A5E340" w14:textId="77777777" w:rsidR="003719CD" w:rsidRPr="00837B94" w:rsidRDefault="003719CD" w:rsidP="00DC39DE">
      <w:pPr>
        <w:rPr>
          <w:rStyle w:val="Guidance"/>
        </w:rPr>
      </w:pPr>
      <w:r w:rsidRPr="00837B94">
        <w:rPr>
          <w:rStyle w:val="Guidance"/>
        </w:rPr>
        <w:t xml:space="preserve">For intangible assets acquired by way of a government grant and initially recognised at fair value, an entity shall disclose: </w:t>
      </w:r>
    </w:p>
    <w:p w14:paraId="740BCD09" w14:textId="5AE8A3E0" w:rsidR="003719CD" w:rsidRPr="00837B94" w:rsidRDefault="003719CD" w:rsidP="00310F12">
      <w:pPr>
        <w:pStyle w:val="ListBullet"/>
        <w:rPr>
          <w:rStyle w:val="Guidance"/>
        </w:rPr>
      </w:pPr>
      <w:r w:rsidRPr="00837B94">
        <w:rPr>
          <w:rStyle w:val="Guidance"/>
        </w:rPr>
        <w:t>the fair value initially recognised for these assets</w:t>
      </w:r>
      <w:r w:rsidR="00EF7024">
        <w:rPr>
          <w:rStyle w:val="Guidance"/>
        </w:rPr>
        <w:t xml:space="preserve"> </w:t>
      </w:r>
      <w:r w:rsidR="00EF7024" w:rsidRPr="000D2760">
        <w:rPr>
          <w:rStyle w:val="Reference"/>
        </w:rPr>
        <w:t>[AASB 138.122(c)</w:t>
      </w:r>
      <w:r w:rsidR="00EF7024">
        <w:rPr>
          <w:rStyle w:val="Reference"/>
        </w:rPr>
        <w:t>(i)</w:t>
      </w:r>
      <w:r w:rsidR="00EF7024" w:rsidRPr="000D2760">
        <w:rPr>
          <w:rStyle w:val="Reference"/>
        </w:rPr>
        <w:t>]</w:t>
      </w:r>
    </w:p>
    <w:p w14:paraId="03C5DAB8" w14:textId="06381729" w:rsidR="003719CD" w:rsidRPr="00837B94" w:rsidRDefault="003719CD" w:rsidP="00310F12">
      <w:pPr>
        <w:pStyle w:val="ListBullet"/>
        <w:rPr>
          <w:rStyle w:val="Guidance"/>
        </w:rPr>
      </w:pPr>
      <w:r w:rsidRPr="00837B94">
        <w:rPr>
          <w:rStyle w:val="Guidance"/>
        </w:rPr>
        <w:t>their carrying amount</w:t>
      </w:r>
      <w:r w:rsidR="00EF7024">
        <w:rPr>
          <w:rStyle w:val="Guidance"/>
        </w:rPr>
        <w:t xml:space="preserve"> </w:t>
      </w:r>
      <w:r w:rsidR="00EF7024" w:rsidRPr="000D2760">
        <w:rPr>
          <w:rStyle w:val="Reference"/>
        </w:rPr>
        <w:t>[AASB 138.122(c)</w:t>
      </w:r>
      <w:r w:rsidR="00EF7024">
        <w:rPr>
          <w:rStyle w:val="Reference"/>
        </w:rPr>
        <w:t>(ii)</w:t>
      </w:r>
      <w:r w:rsidR="00EF7024" w:rsidRPr="000D2760">
        <w:rPr>
          <w:rStyle w:val="Reference"/>
        </w:rPr>
        <w:t>]</w:t>
      </w:r>
    </w:p>
    <w:p w14:paraId="58646F7A" w14:textId="56CA40B7" w:rsidR="003719CD" w:rsidRPr="00837B94" w:rsidRDefault="003719CD" w:rsidP="00310F12">
      <w:pPr>
        <w:pStyle w:val="ListBullet"/>
        <w:rPr>
          <w:rStyle w:val="Guidance"/>
        </w:rPr>
      </w:pPr>
      <w:r w:rsidRPr="00837B94">
        <w:rPr>
          <w:rStyle w:val="Guidance"/>
        </w:rPr>
        <w:t xml:space="preserve">whether they are measured after recognition under the cost model or the revaluation model. </w:t>
      </w:r>
      <w:r w:rsidRPr="000D2760">
        <w:rPr>
          <w:rStyle w:val="Reference"/>
        </w:rPr>
        <w:t>[AASB 138.122(c)</w:t>
      </w:r>
      <w:r w:rsidR="00EF7024">
        <w:rPr>
          <w:rStyle w:val="Reference"/>
        </w:rPr>
        <w:t>(iii</w:t>
      </w:r>
      <w:r w:rsidRPr="000D2760">
        <w:rPr>
          <w:rStyle w:val="Reference"/>
        </w:rPr>
        <w:t>)]</w:t>
      </w:r>
    </w:p>
    <w:p w14:paraId="201582B9" w14:textId="2A6233F0" w:rsidR="003719CD" w:rsidRPr="00837B94" w:rsidRDefault="003719CD" w:rsidP="007D536F">
      <w:pPr>
        <w:pStyle w:val="GuidanceHeading"/>
        <w:rPr>
          <w:rStyle w:val="Guidance"/>
        </w:rPr>
      </w:pPr>
      <w:r w:rsidRPr="00837B94">
        <w:rPr>
          <w:rStyle w:val="Guidance"/>
        </w:rPr>
        <w:t>Additional disclosures for intangible assets whose title is restricted</w:t>
      </w:r>
    </w:p>
    <w:p w14:paraId="7444C028" w14:textId="73D28FD4" w:rsidR="003719CD" w:rsidRPr="00837B94" w:rsidRDefault="003719CD" w:rsidP="00DC39DE">
      <w:pPr>
        <w:rPr>
          <w:rStyle w:val="Guidance"/>
        </w:rPr>
      </w:pPr>
      <w:r w:rsidRPr="00837B94">
        <w:rPr>
          <w:rStyle w:val="Guidance"/>
        </w:rPr>
        <w:t>The entity is required to disclose the existence and carrying amounts of intangible assets whose title is restricted</w:t>
      </w:r>
      <w:r w:rsidR="004C4E6E">
        <w:rPr>
          <w:rStyle w:val="Guidance"/>
        </w:rPr>
        <w:t>.</w:t>
      </w:r>
      <w:r w:rsidR="008C388B">
        <w:rPr>
          <w:rStyle w:val="Guidance"/>
        </w:rPr>
        <w:t xml:space="preserve"> </w:t>
      </w:r>
      <w:r w:rsidR="008C388B" w:rsidRPr="000D2760">
        <w:rPr>
          <w:rStyle w:val="Reference"/>
        </w:rPr>
        <w:t>[AASB</w:t>
      </w:r>
      <w:r w:rsidR="00D163BB">
        <w:rPr>
          <w:rStyle w:val="Reference"/>
        </w:rPr>
        <w:t> </w:t>
      </w:r>
      <w:r w:rsidR="008C388B" w:rsidRPr="000D2760">
        <w:rPr>
          <w:rStyle w:val="Reference"/>
        </w:rPr>
        <w:t>138.122(</w:t>
      </w:r>
      <w:r w:rsidR="008C388B">
        <w:rPr>
          <w:rStyle w:val="Reference"/>
        </w:rPr>
        <w:t>d</w:t>
      </w:r>
      <w:r w:rsidR="008C388B" w:rsidRPr="000D2760">
        <w:rPr>
          <w:rStyle w:val="Reference"/>
        </w:rPr>
        <w:t>)]</w:t>
      </w:r>
    </w:p>
    <w:p w14:paraId="0C8CAD47" w14:textId="4B7DD4D4" w:rsidR="003719CD" w:rsidRPr="000D2760" w:rsidRDefault="003719CD" w:rsidP="007D536F">
      <w:pPr>
        <w:pStyle w:val="GuidanceHeading"/>
        <w:rPr>
          <w:rStyle w:val="Reference"/>
        </w:rPr>
      </w:pPr>
      <w:r w:rsidRPr="00837B94">
        <w:rPr>
          <w:rStyle w:val="Guidance"/>
        </w:rPr>
        <w:t>Additional disclosures for intangible assets pledged as security for liabilities</w:t>
      </w:r>
    </w:p>
    <w:p w14:paraId="0BE04241" w14:textId="63B1481D" w:rsidR="003719CD" w:rsidRPr="00837B94" w:rsidRDefault="003719CD" w:rsidP="00DC39DE">
      <w:pPr>
        <w:rPr>
          <w:rStyle w:val="Guidance"/>
        </w:rPr>
      </w:pPr>
      <w:r w:rsidRPr="00837B94">
        <w:rPr>
          <w:rStyle w:val="Guidance"/>
        </w:rPr>
        <w:t>The entity is required to disclose the carrying amounts of intangible assets pledged as security for liabilities</w:t>
      </w:r>
      <w:r w:rsidR="004C4E6E">
        <w:rPr>
          <w:rStyle w:val="Guidance"/>
        </w:rPr>
        <w:t>.</w:t>
      </w:r>
      <w:r w:rsidR="00B33751">
        <w:rPr>
          <w:rStyle w:val="Guidance"/>
        </w:rPr>
        <w:t xml:space="preserve"> </w:t>
      </w:r>
      <w:r w:rsidR="003D6163" w:rsidRPr="00D163BB">
        <w:rPr>
          <w:rStyle w:val="Reference"/>
        </w:rPr>
        <w:t>[</w:t>
      </w:r>
      <w:r w:rsidR="00B33751" w:rsidRPr="00D163BB">
        <w:rPr>
          <w:rStyle w:val="Reference"/>
        </w:rPr>
        <w:t>AASB</w:t>
      </w:r>
      <w:r w:rsidR="00D163BB" w:rsidRPr="00D163BB">
        <w:rPr>
          <w:rStyle w:val="Reference"/>
        </w:rPr>
        <w:t> </w:t>
      </w:r>
      <w:r w:rsidR="00B33751" w:rsidRPr="00D163BB">
        <w:rPr>
          <w:rStyle w:val="Reference"/>
        </w:rPr>
        <w:t>138.122(d)</w:t>
      </w:r>
      <w:r w:rsidR="00B33751" w:rsidRPr="000D2760">
        <w:rPr>
          <w:rStyle w:val="Reference"/>
        </w:rPr>
        <w:t>]</w:t>
      </w:r>
      <w:r w:rsidR="00F42054">
        <w:rPr>
          <w:rStyle w:val="Guidance"/>
        </w:rPr>
        <w:t xml:space="preserve"> </w:t>
      </w:r>
    </w:p>
    <w:p w14:paraId="355A79B3" w14:textId="77777777" w:rsidR="003719CD" w:rsidRPr="00837B94" w:rsidRDefault="003719CD" w:rsidP="007D536F">
      <w:pPr>
        <w:pStyle w:val="GuidanceHeading"/>
        <w:rPr>
          <w:rStyle w:val="Guidance"/>
        </w:rPr>
      </w:pPr>
      <w:r w:rsidRPr="00837B94">
        <w:rPr>
          <w:rStyle w:val="Guidance"/>
        </w:rPr>
        <w:t>Additional disclosures for commitments to acquire intangibles</w:t>
      </w:r>
    </w:p>
    <w:p w14:paraId="6AFBA9CE" w14:textId="77777777" w:rsidR="003719CD" w:rsidRPr="00837B94" w:rsidRDefault="003719CD" w:rsidP="00DC39DE">
      <w:pPr>
        <w:rPr>
          <w:rStyle w:val="Guidance"/>
        </w:rPr>
      </w:pPr>
      <w:r w:rsidRPr="00837B94">
        <w:rPr>
          <w:rStyle w:val="Guidance"/>
        </w:rPr>
        <w:t xml:space="preserve">The entity shall disclose the amount of contractual commitments for the acquisition of intangible assets. </w:t>
      </w:r>
      <w:r w:rsidRPr="000D2760">
        <w:rPr>
          <w:rStyle w:val="Reference"/>
        </w:rPr>
        <w:t>[AASB 138.122(e)]</w:t>
      </w:r>
    </w:p>
    <w:p w14:paraId="53AE459C" w14:textId="77777777" w:rsidR="003719CD" w:rsidRPr="00837B94" w:rsidRDefault="003719CD" w:rsidP="007D536F">
      <w:pPr>
        <w:pStyle w:val="GuidanceHeading"/>
        <w:rPr>
          <w:rStyle w:val="Guidance"/>
        </w:rPr>
      </w:pPr>
      <w:r w:rsidRPr="00837B94">
        <w:rPr>
          <w:rStyle w:val="Guidance"/>
        </w:rPr>
        <w:t>Other information</w:t>
      </w:r>
    </w:p>
    <w:p w14:paraId="5FB16296" w14:textId="2E87750F" w:rsidR="003719CD" w:rsidRPr="00837B94" w:rsidRDefault="003719CD" w:rsidP="00DC39DE">
      <w:pPr>
        <w:rPr>
          <w:rStyle w:val="Guidance"/>
        </w:rPr>
      </w:pPr>
      <w:r w:rsidRPr="00837B94">
        <w:rPr>
          <w:rStyle w:val="Guidance"/>
        </w:rPr>
        <w:t>An entity is encouraged, but not required, to disclose:</w:t>
      </w:r>
    </w:p>
    <w:p w14:paraId="33200A6E" w14:textId="7F0DECFC" w:rsidR="003719CD" w:rsidRPr="00837B94" w:rsidRDefault="003719CD" w:rsidP="00310F12">
      <w:pPr>
        <w:pStyle w:val="ListBullet"/>
        <w:rPr>
          <w:rStyle w:val="Guidance"/>
        </w:rPr>
      </w:pPr>
      <w:r w:rsidRPr="00837B94">
        <w:rPr>
          <w:rStyle w:val="Guidance"/>
        </w:rPr>
        <w:t>a description of any fully amortised intangible asset that is still in use</w:t>
      </w:r>
    </w:p>
    <w:p w14:paraId="6F3CF40D" w14:textId="77777777" w:rsidR="003719CD" w:rsidRPr="005B32A2" w:rsidRDefault="003719CD" w:rsidP="00310F12">
      <w:pPr>
        <w:pStyle w:val="ListBullet"/>
        <w:rPr>
          <w:rStyle w:val="Guidance"/>
        </w:rPr>
      </w:pPr>
      <w:r w:rsidRPr="00837B94">
        <w:rPr>
          <w:rStyle w:val="Guidance"/>
        </w:rPr>
        <w:t xml:space="preserve">a brief description of significant intangible assets controlled by the entity but not recognised as assets because they did not meet the recognition criteria in AASB 138. </w:t>
      </w:r>
      <w:r w:rsidRPr="000D2760">
        <w:rPr>
          <w:rStyle w:val="Reference"/>
        </w:rPr>
        <w:t>[AASB 138.128]</w:t>
      </w:r>
    </w:p>
    <w:p w14:paraId="106B8B9D" w14:textId="77777777" w:rsidR="003719CD" w:rsidRPr="00837B94" w:rsidRDefault="003719CD" w:rsidP="007D536F">
      <w:pPr>
        <w:pStyle w:val="GuidanceHeading"/>
        <w:rPr>
          <w:rStyle w:val="Guidance"/>
        </w:rPr>
      </w:pPr>
      <w:r w:rsidRPr="00837B94">
        <w:rPr>
          <w:rStyle w:val="Guidance"/>
        </w:rPr>
        <w:t>Intangible assets revalued using the revaluation model</w:t>
      </w:r>
    </w:p>
    <w:p w14:paraId="08D7C74D" w14:textId="77777777" w:rsidR="003719CD" w:rsidRPr="00837B94" w:rsidRDefault="003719CD" w:rsidP="00DC39DE">
      <w:pPr>
        <w:rPr>
          <w:rStyle w:val="Guidance"/>
        </w:rPr>
      </w:pPr>
      <w:r w:rsidRPr="00837B94">
        <w:rPr>
          <w:rStyle w:val="Guidance"/>
        </w:rPr>
        <w:t>If intangible assets are accounted for at revalued amounts, an entity shall disclose the following:</w:t>
      </w:r>
    </w:p>
    <w:p w14:paraId="59059077" w14:textId="1DA2993E" w:rsidR="003719CD" w:rsidRPr="00837B94" w:rsidRDefault="00B24BC9" w:rsidP="00432865">
      <w:pPr>
        <w:pStyle w:val="ListBullet"/>
        <w:rPr>
          <w:rStyle w:val="Guidance"/>
        </w:rPr>
      </w:pPr>
      <w:r>
        <w:rPr>
          <w:rStyle w:val="Guidance"/>
        </w:rPr>
        <w:t>B</w:t>
      </w:r>
      <w:r w:rsidR="003719CD" w:rsidRPr="00837B94">
        <w:rPr>
          <w:rStyle w:val="Guidance"/>
        </w:rPr>
        <w:t xml:space="preserve">y class of intangible assets: </w:t>
      </w:r>
    </w:p>
    <w:p w14:paraId="4584079C" w14:textId="54497808" w:rsidR="003719CD" w:rsidRPr="00837B94" w:rsidRDefault="003719CD" w:rsidP="00310F12">
      <w:pPr>
        <w:pStyle w:val="ListAlpha2"/>
        <w:rPr>
          <w:rStyle w:val="Guidance"/>
        </w:rPr>
      </w:pPr>
      <w:r w:rsidRPr="00837B94">
        <w:rPr>
          <w:rStyle w:val="Guidance"/>
        </w:rPr>
        <w:t>the effective date of the revaluation</w:t>
      </w:r>
    </w:p>
    <w:p w14:paraId="7524D877" w14:textId="218EA7BF" w:rsidR="003719CD" w:rsidRPr="00837B94" w:rsidRDefault="003719CD" w:rsidP="00310F12">
      <w:pPr>
        <w:pStyle w:val="ListAlpha2"/>
        <w:rPr>
          <w:rStyle w:val="Guidance"/>
        </w:rPr>
      </w:pPr>
      <w:r w:rsidRPr="00837B94">
        <w:rPr>
          <w:rStyle w:val="Guidance"/>
        </w:rPr>
        <w:t>the carrying amount of revalued intangible assets</w:t>
      </w:r>
    </w:p>
    <w:p w14:paraId="2191438B" w14:textId="77777777" w:rsidR="003719CD" w:rsidRPr="00837B94" w:rsidRDefault="003719CD" w:rsidP="00310F12">
      <w:pPr>
        <w:pStyle w:val="ListAlpha2"/>
        <w:rPr>
          <w:rStyle w:val="Guidance"/>
        </w:rPr>
      </w:pPr>
      <w:r w:rsidRPr="00837B94">
        <w:rPr>
          <w:rStyle w:val="Guidance"/>
        </w:rPr>
        <w:t>the carrying amount that would have been recognised had the revalued class of intangible assets been measured after recognition using the cost model.</w:t>
      </w:r>
    </w:p>
    <w:p w14:paraId="5CD8FE24" w14:textId="01DD9C5F" w:rsidR="003719CD" w:rsidRPr="00837B94" w:rsidRDefault="00F80AD3" w:rsidP="00432865">
      <w:pPr>
        <w:pStyle w:val="ListBullet"/>
        <w:rPr>
          <w:rStyle w:val="Guidance"/>
        </w:rPr>
      </w:pPr>
      <w:r>
        <w:rPr>
          <w:rStyle w:val="Guidance"/>
        </w:rPr>
        <w:t>T</w:t>
      </w:r>
      <w:r w:rsidR="003719CD" w:rsidRPr="00837B94">
        <w:rPr>
          <w:rStyle w:val="Guidance"/>
        </w:rPr>
        <w:t>he amount of the revaluation surplus that relates to intangible assets at the beginning and end of the period, indicating the changes during the period and any restrictions on the distribution of the balance to shareholders</w:t>
      </w:r>
    </w:p>
    <w:p w14:paraId="0B9A9255" w14:textId="67B5AC35" w:rsidR="003719CD" w:rsidRPr="00837B94" w:rsidRDefault="00F80AD3" w:rsidP="00432865">
      <w:pPr>
        <w:pStyle w:val="ListBullet"/>
        <w:rPr>
          <w:rStyle w:val="Guidance"/>
        </w:rPr>
      </w:pPr>
      <w:r>
        <w:rPr>
          <w:rStyle w:val="Guidance"/>
        </w:rPr>
        <w:t>T</w:t>
      </w:r>
      <w:r w:rsidR="003719CD" w:rsidRPr="00837B94">
        <w:rPr>
          <w:rStyle w:val="Guidance"/>
        </w:rPr>
        <w:t xml:space="preserve">he methods and significant assumptions applied in estimating the assets’ fair values. </w:t>
      </w:r>
      <w:r w:rsidR="003719CD" w:rsidRPr="007D64C9">
        <w:rPr>
          <w:rStyle w:val="Reference"/>
        </w:rPr>
        <w:t>[AASB</w:t>
      </w:r>
      <w:r w:rsidR="004874A5">
        <w:rPr>
          <w:rStyle w:val="Reference"/>
        </w:rPr>
        <w:t xml:space="preserve"> </w:t>
      </w:r>
      <w:r w:rsidR="003719CD" w:rsidRPr="007D64C9">
        <w:rPr>
          <w:rStyle w:val="Reference"/>
        </w:rPr>
        <w:t>13.93]</w:t>
      </w:r>
    </w:p>
    <w:p w14:paraId="43EC85E5" w14:textId="77777777" w:rsidR="003719CD" w:rsidRPr="00837B94" w:rsidRDefault="003719CD" w:rsidP="00DC39DE">
      <w:pPr>
        <w:rPr>
          <w:rStyle w:val="Guidance"/>
        </w:rPr>
      </w:pPr>
      <w:r w:rsidRPr="00837B94">
        <w:rPr>
          <w:rStyle w:val="Guidance"/>
        </w:rPr>
        <w:t xml:space="preserve">Notwithstanding (a)(iii) above, in respect of not-for-profit entities, for each revalued class of intangible assets, the requirement to disclose the carrying amount that would have been recognised had the assets been carried under the cost model does not apply. </w:t>
      </w:r>
      <w:r w:rsidRPr="007D64C9">
        <w:rPr>
          <w:rStyle w:val="Reference"/>
        </w:rPr>
        <w:t>[AASB 138.AUS124.1]</w:t>
      </w:r>
    </w:p>
    <w:p w14:paraId="63D972D0" w14:textId="77777777" w:rsidR="003719CD" w:rsidRPr="00837B94" w:rsidRDefault="003719CD" w:rsidP="007D536F">
      <w:pPr>
        <w:pStyle w:val="GuidanceHeading"/>
        <w:rPr>
          <w:rStyle w:val="Guidance"/>
        </w:rPr>
      </w:pPr>
      <w:r w:rsidRPr="00837B94">
        <w:rPr>
          <w:rStyle w:val="Guidance"/>
        </w:rPr>
        <w:lastRenderedPageBreak/>
        <w:t>Impairment of intangible assets</w:t>
      </w:r>
    </w:p>
    <w:p w14:paraId="2816807D" w14:textId="77777777" w:rsidR="003719CD" w:rsidRPr="00837B94" w:rsidRDefault="003719CD" w:rsidP="001F2260">
      <w:pPr>
        <w:keepNext/>
        <w:rPr>
          <w:rStyle w:val="Guidance"/>
        </w:rPr>
      </w:pPr>
      <w:r w:rsidRPr="00837B94">
        <w:rPr>
          <w:rStyle w:val="Guidance"/>
        </w:rPr>
        <w:t xml:space="preserve">An entity discloses information on impaired intangible assets in accordance with AASB 136 </w:t>
      </w:r>
      <w:r w:rsidRPr="007D64C9">
        <w:rPr>
          <w:rStyle w:val="Guidance"/>
          <w:i/>
          <w:iCs/>
        </w:rPr>
        <w:t>Impairment of Assets</w:t>
      </w:r>
      <w:r w:rsidRPr="00837B94">
        <w:rPr>
          <w:rStyle w:val="Guidance"/>
        </w:rPr>
        <w:t xml:space="preserve"> in addition to the information required by AASB 138 </w:t>
      </w:r>
      <w:r w:rsidRPr="00697B8B">
        <w:rPr>
          <w:rStyle w:val="Guidance"/>
          <w:i/>
          <w:iCs/>
        </w:rPr>
        <w:t>Intangible Assets</w:t>
      </w:r>
      <w:r w:rsidRPr="00837B94">
        <w:rPr>
          <w:rStyle w:val="Guidance"/>
        </w:rPr>
        <w:t xml:space="preserve">. </w:t>
      </w:r>
      <w:r w:rsidRPr="007D64C9">
        <w:rPr>
          <w:rStyle w:val="Reference"/>
        </w:rPr>
        <w:t>[AASB 138.120]</w:t>
      </w:r>
    </w:p>
    <w:p w14:paraId="024BF69C" w14:textId="77777777" w:rsidR="003719CD" w:rsidRPr="00837B94" w:rsidRDefault="003719CD" w:rsidP="00DC39DE">
      <w:pPr>
        <w:rPr>
          <w:rStyle w:val="Guidance"/>
        </w:rPr>
      </w:pPr>
      <w:r w:rsidRPr="00837B94">
        <w:rPr>
          <w:rStyle w:val="Guidance"/>
        </w:rPr>
        <w:t xml:space="preserve">Factors that are considered in determining the useful life of an intangible asset include: </w:t>
      </w:r>
    </w:p>
    <w:p w14:paraId="37405ED1" w14:textId="78C5FFE2" w:rsidR="003719CD" w:rsidRPr="00837B94" w:rsidRDefault="003719CD" w:rsidP="00310F12">
      <w:pPr>
        <w:pStyle w:val="ListBullet"/>
        <w:rPr>
          <w:rStyle w:val="Guidance"/>
        </w:rPr>
      </w:pPr>
      <w:r w:rsidRPr="00837B94">
        <w:rPr>
          <w:rStyle w:val="Guidance"/>
        </w:rPr>
        <w:t>the expected usage of the asset by the entity and whether the asset could be managed efficiently by another management team</w:t>
      </w:r>
    </w:p>
    <w:p w14:paraId="3B824ED8" w14:textId="5EF67577" w:rsidR="003719CD" w:rsidRPr="00837B94" w:rsidRDefault="003719CD" w:rsidP="00310F12">
      <w:pPr>
        <w:pStyle w:val="ListBullet"/>
        <w:rPr>
          <w:rStyle w:val="Guidance"/>
        </w:rPr>
      </w:pPr>
      <w:r w:rsidRPr="00837B94">
        <w:rPr>
          <w:rStyle w:val="Guidance"/>
        </w:rPr>
        <w:t>typical product life cycles for the asset and public information on estimates of useful lives of similar assets that are used in a similar way</w:t>
      </w:r>
    </w:p>
    <w:p w14:paraId="111799ED" w14:textId="30053384" w:rsidR="003719CD" w:rsidRPr="00837B94" w:rsidRDefault="003719CD" w:rsidP="00310F12">
      <w:pPr>
        <w:pStyle w:val="ListBullet"/>
        <w:rPr>
          <w:rStyle w:val="Guidance"/>
        </w:rPr>
      </w:pPr>
      <w:r w:rsidRPr="00837B94">
        <w:rPr>
          <w:rStyle w:val="Guidance"/>
        </w:rPr>
        <w:t>technical, technological, commercial or other types of obsolescence</w:t>
      </w:r>
    </w:p>
    <w:p w14:paraId="5178CA53" w14:textId="52962E43" w:rsidR="003719CD" w:rsidRPr="00837B94" w:rsidRDefault="003719CD" w:rsidP="00310F12">
      <w:pPr>
        <w:pStyle w:val="ListBullet"/>
        <w:rPr>
          <w:rStyle w:val="Guidance"/>
        </w:rPr>
      </w:pPr>
      <w:r w:rsidRPr="00837B94">
        <w:rPr>
          <w:rStyle w:val="Guidance"/>
        </w:rPr>
        <w:t>the stability of the industry in which the asset operates and changes in the market demand for the products or services output from the asset</w:t>
      </w:r>
    </w:p>
    <w:p w14:paraId="21F6B8F5" w14:textId="66799BFA" w:rsidR="003719CD" w:rsidRPr="00837B94" w:rsidRDefault="003719CD" w:rsidP="00310F12">
      <w:pPr>
        <w:pStyle w:val="ListBullet"/>
        <w:rPr>
          <w:rStyle w:val="Guidance"/>
        </w:rPr>
      </w:pPr>
      <w:r w:rsidRPr="00837B94">
        <w:rPr>
          <w:rStyle w:val="Guidance"/>
        </w:rPr>
        <w:t>expected actions by competitors or potential competitors</w:t>
      </w:r>
    </w:p>
    <w:p w14:paraId="11224A93" w14:textId="6261A547" w:rsidR="003719CD" w:rsidRPr="00837B94" w:rsidRDefault="003719CD" w:rsidP="00310F12">
      <w:pPr>
        <w:pStyle w:val="ListBullet"/>
        <w:rPr>
          <w:rStyle w:val="Guidance"/>
        </w:rPr>
      </w:pPr>
      <w:r w:rsidRPr="00837B94">
        <w:rPr>
          <w:rStyle w:val="Guidance"/>
        </w:rPr>
        <w:t>the level of maintenance expenditure required to obtain the expected future economic benefits from the asset and the entity’s ability and intention to reach such a level</w:t>
      </w:r>
    </w:p>
    <w:p w14:paraId="6B93AC63" w14:textId="570E7E5E" w:rsidR="003719CD" w:rsidRPr="00837B94" w:rsidRDefault="003719CD" w:rsidP="00310F12">
      <w:pPr>
        <w:pStyle w:val="ListBullet"/>
        <w:rPr>
          <w:rStyle w:val="Guidance"/>
        </w:rPr>
      </w:pPr>
      <w:r w:rsidRPr="00837B94">
        <w:rPr>
          <w:rStyle w:val="Guidance"/>
        </w:rPr>
        <w:t>the period of control over the asset and legal or similar limits on the use of the asset, such as the expiry dates of related leases</w:t>
      </w:r>
    </w:p>
    <w:p w14:paraId="1B493AA4" w14:textId="77777777" w:rsidR="003719CD" w:rsidRPr="00837B94" w:rsidRDefault="003719CD" w:rsidP="00310F12">
      <w:pPr>
        <w:pStyle w:val="ListBullet"/>
        <w:rPr>
          <w:rStyle w:val="Guidance"/>
        </w:rPr>
      </w:pPr>
      <w:r w:rsidRPr="00837B94">
        <w:rPr>
          <w:rStyle w:val="Guidance"/>
        </w:rPr>
        <w:t xml:space="preserve">whether the useful life of the asset is dependent on the useful life of other assets of the entity. </w:t>
      </w:r>
      <w:r w:rsidRPr="004E282E">
        <w:rPr>
          <w:rStyle w:val="Reference"/>
        </w:rPr>
        <w:t>[AASB 138.90]</w:t>
      </w:r>
    </w:p>
    <w:p w14:paraId="635B75F9" w14:textId="77777777" w:rsidR="003719CD" w:rsidRPr="00837B94" w:rsidRDefault="003719CD" w:rsidP="007D536F">
      <w:pPr>
        <w:pStyle w:val="GuidanceHeading"/>
        <w:rPr>
          <w:rStyle w:val="Guidance"/>
        </w:rPr>
      </w:pPr>
      <w:r w:rsidRPr="00837B94">
        <w:rPr>
          <w:rStyle w:val="Guidance"/>
        </w:rPr>
        <w:t xml:space="preserve">Internal use software </w:t>
      </w:r>
    </w:p>
    <w:p w14:paraId="46C9CDD7" w14:textId="6C59F31E" w:rsidR="003719CD" w:rsidRPr="00837B94" w:rsidRDefault="003719CD" w:rsidP="007D536F">
      <w:pPr>
        <w:keepNext/>
        <w:rPr>
          <w:rStyle w:val="Guidance"/>
        </w:rPr>
      </w:pPr>
      <w:r w:rsidRPr="00837B94">
        <w:rPr>
          <w:rStyle w:val="Guidance"/>
        </w:rPr>
        <w:t xml:space="preserve">Capitalisation threshold: FRD 109 </w:t>
      </w:r>
      <w:r w:rsidR="00372B96" w:rsidRPr="00372B96">
        <w:rPr>
          <w:rStyle w:val="Guidance"/>
          <w:i/>
          <w:iCs/>
        </w:rPr>
        <w:t>I</w:t>
      </w:r>
      <w:r w:rsidR="00372B96" w:rsidRPr="00EE78AC">
        <w:rPr>
          <w:rStyle w:val="Guidance"/>
          <w:i/>
          <w:iCs/>
        </w:rPr>
        <w:t>ntangible assets</w:t>
      </w:r>
      <w:r w:rsidR="00372B96">
        <w:rPr>
          <w:rStyle w:val="Guidance"/>
        </w:rPr>
        <w:t xml:space="preserve"> </w:t>
      </w:r>
      <w:r w:rsidRPr="00837B94">
        <w:rPr>
          <w:rStyle w:val="Guidance"/>
        </w:rPr>
        <w:t xml:space="preserve">requires expenditure on a non-monetary item without physical substance to be recognised as an intangible asset only if the amount involved meets the capitalisation threshold that is material to the entity. </w:t>
      </w:r>
      <w:r w:rsidR="009D4EA3">
        <w:rPr>
          <w:rStyle w:val="Guidance"/>
        </w:rPr>
        <w:t>Additionally</w:t>
      </w:r>
      <w:r w:rsidRPr="00837B94">
        <w:rPr>
          <w:rStyle w:val="Guidance"/>
        </w:rPr>
        <w:t>, in determining the capitalisation threshold</w:t>
      </w:r>
      <w:r w:rsidR="009D4EA3">
        <w:rPr>
          <w:rStyle w:val="Guidance"/>
        </w:rPr>
        <w:t xml:space="preserve"> </w:t>
      </w:r>
      <w:r w:rsidR="009D4EA3" w:rsidRPr="00837B94">
        <w:rPr>
          <w:rStyle w:val="Guidance"/>
        </w:rPr>
        <w:t>an entity should consider</w:t>
      </w:r>
      <w:r w:rsidRPr="00837B94">
        <w:rPr>
          <w:rStyle w:val="Guidance"/>
        </w:rPr>
        <w:t>:</w:t>
      </w:r>
    </w:p>
    <w:p w14:paraId="46EA78A9" w14:textId="0277E11D" w:rsidR="003719CD" w:rsidRPr="00837B94" w:rsidRDefault="003719CD" w:rsidP="00310F12">
      <w:pPr>
        <w:pStyle w:val="ListBullet"/>
        <w:rPr>
          <w:rStyle w:val="Guidance"/>
        </w:rPr>
      </w:pPr>
      <w:r w:rsidRPr="00837B94">
        <w:rPr>
          <w:rStyle w:val="Guidance"/>
        </w:rPr>
        <w:t>the impact of the capitalisation threshold on the comprehensive operating statement and balance sheet, taking into consideration the pattern of investment and that an intangible asset may have a relatively short useful life (e.g.</w:t>
      </w:r>
      <w:r>
        <w:rPr>
          <w:rStyle w:val="Guidance"/>
        </w:rPr>
        <w:t> </w:t>
      </w:r>
      <w:r w:rsidRPr="00837B94">
        <w:rPr>
          <w:rStyle w:val="Guidance"/>
        </w:rPr>
        <w:t>useful life of software is usually only three to five years)</w:t>
      </w:r>
    </w:p>
    <w:p w14:paraId="2C23D725" w14:textId="4C03BF58" w:rsidR="003719CD" w:rsidRPr="00837B94" w:rsidRDefault="003719CD" w:rsidP="00310F12">
      <w:pPr>
        <w:pStyle w:val="ListBullet"/>
        <w:rPr>
          <w:rStyle w:val="Guidance"/>
        </w:rPr>
      </w:pPr>
      <w:r w:rsidRPr="00837B94">
        <w:rPr>
          <w:rStyle w:val="Guidance"/>
        </w:rPr>
        <w:t xml:space="preserve">the administrative burden of conducting annual impairment tests of intangible assets. </w:t>
      </w:r>
      <w:r w:rsidRPr="004E282E">
        <w:rPr>
          <w:rStyle w:val="Reference"/>
        </w:rPr>
        <w:t>[FRD 109]</w:t>
      </w:r>
    </w:p>
    <w:p w14:paraId="7601618F" w14:textId="77777777" w:rsidR="003719CD" w:rsidRPr="00837B94" w:rsidRDefault="003719CD" w:rsidP="00DC39DE">
      <w:pPr>
        <w:rPr>
          <w:rStyle w:val="Guidance"/>
        </w:rPr>
      </w:pPr>
      <w:r w:rsidRPr="00BD261C">
        <w:rPr>
          <w:rStyle w:val="Guidance"/>
          <w:b/>
          <w:bCs/>
        </w:rPr>
        <w:t>Research activities (or research phase of internal projects)</w:t>
      </w:r>
      <w:r w:rsidRPr="00BD261C">
        <w:rPr>
          <w:rStyle w:val="Guidance"/>
        </w:rPr>
        <w:t>:</w:t>
      </w:r>
      <w:r w:rsidRPr="00837B94">
        <w:rPr>
          <w:rStyle w:val="Guidance"/>
        </w:rPr>
        <w:t xml:space="preserve"> AASB 138 specifically prohibits the recognition of research activities as an asset. </w:t>
      </w:r>
      <w:r w:rsidRPr="004E282E">
        <w:rPr>
          <w:rStyle w:val="Reference"/>
        </w:rPr>
        <w:t>[AASB 138.54]</w:t>
      </w:r>
    </w:p>
    <w:p w14:paraId="2E0890DA" w14:textId="46F65256" w:rsidR="003719CD" w:rsidRPr="00837B94" w:rsidRDefault="003719CD" w:rsidP="00DC39DE">
      <w:pPr>
        <w:rPr>
          <w:rStyle w:val="Guidance"/>
        </w:rPr>
      </w:pPr>
      <w:r w:rsidRPr="00BD261C">
        <w:rPr>
          <w:rStyle w:val="Guidance"/>
          <w:b/>
          <w:bCs/>
        </w:rPr>
        <w:t>Internal use software</w:t>
      </w:r>
      <w:r w:rsidRPr="00837B94">
        <w:rPr>
          <w:rStyle w:val="Guidance"/>
        </w:rPr>
        <w:t xml:space="preserve">: </w:t>
      </w:r>
      <w:r w:rsidRPr="00BD261C">
        <w:rPr>
          <w:rStyle w:val="Reference"/>
        </w:rPr>
        <w:t>[AASB 138.54, FRD 109 App 1]</w:t>
      </w:r>
      <w:r w:rsidRPr="00837B94">
        <w:rPr>
          <w:rStyle w:val="Guidance"/>
        </w:rPr>
        <w:t xml:space="preserve"> Purchased internal use software may comprise components with differing accounting treatment (refer to Appendix 1 of FRD 109 for further guidance). Where the accounting treatment differs, each component of the software must be proportionately allocated, based on its fair value, over the total contract price.</w:t>
      </w:r>
    </w:p>
    <w:p w14:paraId="19A9D63C" w14:textId="72C18ECC" w:rsidR="003719CD" w:rsidRPr="00837B94" w:rsidRDefault="003719CD" w:rsidP="00DC39DE">
      <w:pPr>
        <w:rPr>
          <w:rStyle w:val="Guidance"/>
        </w:rPr>
      </w:pPr>
      <w:r w:rsidRPr="00837B94">
        <w:rPr>
          <w:rStyle w:val="Guidance"/>
        </w:rPr>
        <w:t>Internally developed internal use software usually involves three stages (refer Appendix 1 of FRD 109 for additional guidance):</w:t>
      </w:r>
    </w:p>
    <w:p w14:paraId="238C89E0" w14:textId="51D0B3BE" w:rsidR="003719CD" w:rsidRPr="00837B94" w:rsidRDefault="009B1250" w:rsidP="00310F12">
      <w:pPr>
        <w:pStyle w:val="ListBullet"/>
        <w:rPr>
          <w:rStyle w:val="Guidance"/>
        </w:rPr>
      </w:pPr>
      <w:r>
        <w:rPr>
          <w:rStyle w:val="Guidance"/>
        </w:rPr>
        <w:t>P</w:t>
      </w:r>
      <w:r w:rsidR="003719CD" w:rsidRPr="00837B94">
        <w:rPr>
          <w:rStyle w:val="Guidance"/>
        </w:rPr>
        <w:t>reliminary project stage – costs to be expensed</w:t>
      </w:r>
    </w:p>
    <w:p w14:paraId="61921430" w14:textId="4E8C64F4" w:rsidR="003719CD" w:rsidRPr="00837B94" w:rsidRDefault="009B1250" w:rsidP="00310F12">
      <w:pPr>
        <w:pStyle w:val="ListBullet"/>
        <w:rPr>
          <w:rStyle w:val="Guidance"/>
        </w:rPr>
      </w:pPr>
      <w:r>
        <w:rPr>
          <w:rStyle w:val="Guidance"/>
        </w:rPr>
        <w:t>A</w:t>
      </w:r>
      <w:r w:rsidR="003719CD" w:rsidRPr="00837B94">
        <w:rPr>
          <w:rStyle w:val="Guidance"/>
        </w:rPr>
        <w:t>pplication development stage – costs to be capitalised or expensed</w:t>
      </w:r>
    </w:p>
    <w:p w14:paraId="3C1D7005" w14:textId="7B09B1D0" w:rsidR="003719CD" w:rsidRPr="00837B94" w:rsidRDefault="009B1250" w:rsidP="00310F12">
      <w:pPr>
        <w:pStyle w:val="ListBullet"/>
        <w:rPr>
          <w:rStyle w:val="Guidance"/>
        </w:rPr>
      </w:pPr>
      <w:r>
        <w:rPr>
          <w:rStyle w:val="Guidance"/>
        </w:rPr>
        <w:t>P</w:t>
      </w:r>
      <w:r w:rsidR="003719CD" w:rsidRPr="00837B94">
        <w:rPr>
          <w:rStyle w:val="Guidance"/>
        </w:rPr>
        <w:t>ost implementation/operation stage – costs to be expensed</w:t>
      </w:r>
      <w:r>
        <w:rPr>
          <w:rStyle w:val="Guidance"/>
        </w:rPr>
        <w:t>.</w:t>
      </w:r>
    </w:p>
    <w:p w14:paraId="505F4FF3" w14:textId="069014FC" w:rsidR="003719CD" w:rsidRPr="00837B94" w:rsidRDefault="003719CD" w:rsidP="00DC39DE">
      <w:pPr>
        <w:rPr>
          <w:rStyle w:val="Guidance"/>
        </w:rPr>
      </w:pPr>
      <w:r w:rsidRPr="00837B94">
        <w:rPr>
          <w:rStyle w:val="Guidance"/>
        </w:rPr>
        <w:t>Internally developed internal use software may comprise more than one component. For example, the development of an accounting software system may consist of three components: general ledger; accounts payable sub-ledger; and an accounts receivable sub-ledger. Where this is the case, each component of the system should be accounted for as a separate component and in accordance with FRD 109.</w:t>
      </w:r>
    </w:p>
    <w:p w14:paraId="738AF8D6" w14:textId="77777777" w:rsidR="003719CD" w:rsidRDefault="003719CD" w:rsidP="007D536F">
      <w:pPr>
        <w:pStyle w:val="GuidanceEnd"/>
      </w:pPr>
    </w:p>
    <w:p w14:paraId="652E790C" w14:textId="77777777" w:rsidR="001F2260" w:rsidRDefault="001F2260">
      <w:pPr>
        <w:keepLines w:val="0"/>
        <w:rPr>
          <w:rFonts w:asciiTheme="majorHAnsi" w:eastAsiaTheme="majorEastAsia" w:hAnsiTheme="majorHAnsi" w:cstheme="majorBidi"/>
          <w:b/>
          <w:sz w:val="26"/>
          <w:szCs w:val="26"/>
        </w:rPr>
      </w:pPr>
      <w:bookmarkStart w:id="67" w:name="_Toc64983159"/>
      <w:r>
        <w:br w:type="page"/>
      </w:r>
    </w:p>
    <w:p w14:paraId="35792899" w14:textId="582D8404" w:rsidR="003719CD" w:rsidRDefault="003719CD" w:rsidP="00A80494">
      <w:pPr>
        <w:pStyle w:val="Heading2numbered"/>
      </w:pPr>
      <w:bookmarkStart w:id="68" w:name="_Toc96704907"/>
      <w:bookmarkStart w:id="69" w:name="_Toc130225968"/>
      <w:r>
        <w:lastRenderedPageBreak/>
        <w:t>Investments accounted for using the equity method</w:t>
      </w:r>
      <w:bookmarkEnd w:id="67"/>
      <w:bookmarkEnd w:id="68"/>
      <w:bookmarkEnd w:id="69"/>
    </w:p>
    <w:p w14:paraId="04173CFE" w14:textId="77777777" w:rsidR="003719CD" w:rsidRDefault="003719CD" w:rsidP="00DC39DE">
      <w:r>
        <w:t xml:space="preserve">Joint arrangements are contractual arrangements between the Department and one or more other parties to undertake an economic activity that is subject to joint control. </w:t>
      </w:r>
    </w:p>
    <w:p w14:paraId="0A8B93B9" w14:textId="77777777" w:rsidR="003719CD" w:rsidRDefault="003719CD" w:rsidP="00DC39DE">
      <w:r>
        <w:t xml:space="preserve">Joint control is the contractually agreed sharing of control of an arrangement, which exists only when decisions about the relevant activities of the joint arrangement require the unanimous consent of the parties sharing control. </w:t>
      </w:r>
      <w:r w:rsidRPr="00FE3F3D">
        <w:rPr>
          <w:rStyle w:val="Reference"/>
        </w:rPr>
        <w:t>[AASB 11.7]</w:t>
      </w:r>
    </w:p>
    <w:p w14:paraId="27AEE392" w14:textId="77777777" w:rsidR="003719CD" w:rsidRDefault="003719CD" w:rsidP="00DC39DE">
      <w:r>
        <w:t xml:space="preserve">Investments in joint arrangements are classified as either joint operations or joint ventures. The classification depends on the contractual rights and obligations of each investor, rather than the legal structure of the joint arrangement. </w:t>
      </w:r>
    </w:p>
    <w:p w14:paraId="7B5D16D3" w14:textId="47619818" w:rsidR="003719CD" w:rsidRPr="00FE3F3D" w:rsidRDefault="003719CD" w:rsidP="00DC39DE">
      <w:pPr>
        <w:rPr>
          <w:rStyle w:val="Reference"/>
        </w:rPr>
      </w:pPr>
      <w:r>
        <w:t xml:space="preserve">The Department accounted for two investments using the equity method: New Technology Ltd (an associate) and Technology Supply Pty Ltd (a joint venture). After initially recognising the investment value at cost in the balance sheet, the equity method requires the State’s share of the post-acquisition profits or losses of these investments to be recognised in the net result as ‘other economic flows’. The share of post-acquisition movements in revaluation surpluses and any other reserves is recognised in both the comprehensive operating statement and the statement of changes in equity. The cumulative post-acquisition movements are adjusted against the cost of the investment, as well as any dividends received or receivable. </w:t>
      </w:r>
      <w:r w:rsidRPr="00FE3F3D">
        <w:rPr>
          <w:rStyle w:val="Reference"/>
        </w:rPr>
        <w:t>[AASB 128.10; AASB 12.21(b),</w:t>
      </w:r>
      <w:r w:rsidR="0025125F">
        <w:rPr>
          <w:rStyle w:val="Reference"/>
        </w:rPr>
        <w:t xml:space="preserve"> </w:t>
      </w:r>
      <w:r w:rsidRPr="00FE3F3D">
        <w:rPr>
          <w:rStyle w:val="Reference"/>
        </w:rPr>
        <w:t>AASB 11.16)]</w:t>
      </w:r>
    </w:p>
    <w:p w14:paraId="3D41A519" w14:textId="77777777" w:rsidR="003719CD" w:rsidRDefault="003719CD" w:rsidP="007D536F">
      <w:pPr>
        <w:pStyle w:val="Heading3"/>
      </w:pPr>
      <w:r>
        <w:t xml:space="preserve">Investments in associate </w:t>
      </w:r>
    </w:p>
    <w:p w14:paraId="1A678115" w14:textId="77777777" w:rsidR="003719CD" w:rsidRDefault="003719CD" w:rsidP="00DC39DE">
      <w:r>
        <w:t xml:space="preserve">New Technology Ltd is one of the Department’s strategic partners specialising in developing new biological equipment in Melbourne, Victoria. The main business activities include: </w:t>
      </w:r>
      <w:r w:rsidRPr="00FE3F3D">
        <w:rPr>
          <w:rStyle w:val="Guidance"/>
        </w:rPr>
        <w:t>[insert detail]</w:t>
      </w:r>
      <w:r>
        <w:t xml:space="preserve">. New Technology Ltd is an ASX publicly listed company. </w:t>
      </w:r>
    </w:p>
    <w:p w14:paraId="0FCFC3AC" w14:textId="77777777" w:rsidR="003719CD" w:rsidRDefault="003719CD" w:rsidP="007D536F">
      <w:pPr>
        <w:pStyle w:val="Heading3"/>
      </w:pPr>
      <w:r>
        <w:t>Investments in joint venture</w:t>
      </w:r>
    </w:p>
    <w:p w14:paraId="30924413" w14:textId="4050FDA1" w:rsidR="003719CD" w:rsidRDefault="003719CD" w:rsidP="00DC39DE">
      <w:r>
        <w:t xml:space="preserve">Up until </w:t>
      </w:r>
      <w:r w:rsidR="0025125F" w:rsidRPr="0025125F">
        <w:rPr>
          <w:rStyle w:val="Guidance"/>
        </w:rPr>
        <w:t>[date]</w:t>
      </w:r>
      <w:r>
        <w:t xml:space="preserve">, the Department had a joint venture with Technology Supply Pty Ltd to provide expertise in technology supply services to the business units. The main business activities included: </w:t>
      </w:r>
      <w:r w:rsidRPr="0098427E">
        <w:rPr>
          <w:rStyle w:val="Guidance"/>
        </w:rPr>
        <w:t>[xxx]</w:t>
      </w:r>
    </w:p>
    <w:p w14:paraId="764A5548" w14:textId="15E8BE08" w:rsidR="003719CD" w:rsidRDefault="003719CD" w:rsidP="00DC39DE">
      <w:r>
        <w:t xml:space="preserve">The joint venture ceased to operate effective from </w:t>
      </w:r>
      <w:r w:rsidR="0025125F" w:rsidRPr="0025125F">
        <w:rPr>
          <w:rStyle w:val="Guidance"/>
        </w:rPr>
        <w:t>[date]</w:t>
      </w:r>
      <w:r>
        <w:t xml:space="preserve">. </w:t>
      </w:r>
      <w:r w:rsidRPr="0098427E">
        <w:rPr>
          <w:rStyle w:val="Reference"/>
        </w:rPr>
        <w:t>[AASB 12.21(a)]</w:t>
      </w:r>
    </w:p>
    <w:p w14:paraId="1CB696D5" w14:textId="1D1D805B" w:rsidR="003719CD" w:rsidRDefault="003719CD" w:rsidP="007D536F">
      <w:pPr>
        <w:pStyle w:val="Caption"/>
      </w:pPr>
      <w:r>
        <w:t xml:space="preserve">Details of material associates and joint ventures </w:t>
      </w:r>
      <w:r w:rsidRPr="0025125F">
        <w:rPr>
          <w:rStyle w:val="Reference"/>
          <w:b w:val="0"/>
        </w:rPr>
        <w:t>[</w:t>
      </w:r>
      <w:r w:rsidRPr="0025125F">
        <w:rPr>
          <w:rStyle w:val="Reference"/>
          <w:b w:val="0"/>
          <w:bCs/>
        </w:rPr>
        <w:t>AASB</w:t>
      </w:r>
      <w:r w:rsidR="0025125F">
        <w:rPr>
          <w:rStyle w:val="Reference"/>
          <w:b w:val="0"/>
          <w:bCs/>
        </w:rPr>
        <w:t xml:space="preserve"> </w:t>
      </w:r>
      <w:r w:rsidRPr="0025125F">
        <w:rPr>
          <w:rStyle w:val="Reference"/>
          <w:b w:val="0"/>
          <w:bCs/>
        </w:rPr>
        <w:t>12</w:t>
      </w:r>
      <w:r w:rsidRPr="0025125F">
        <w:rPr>
          <w:rStyle w:val="Reference"/>
          <w:b w:val="0"/>
        </w:rPr>
        <w:t>.21(b)]</w:t>
      </w:r>
      <w:r>
        <w:tab/>
        <w:t>($ million)</w:t>
      </w:r>
    </w:p>
    <w:tbl>
      <w:tblPr>
        <w:tblStyle w:val="DTFTable"/>
        <w:tblW w:w="9639" w:type="dxa"/>
        <w:tblLayout w:type="fixed"/>
        <w:tblLook w:val="06A0" w:firstRow="1" w:lastRow="0" w:firstColumn="1" w:lastColumn="0" w:noHBand="1" w:noVBand="1"/>
      </w:tblPr>
      <w:tblGrid>
        <w:gridCol w:w="2835"/>
        <w:gridCol w:w="1418"/>
        <w:gridCol w:w="1559"/>
        <w:gridCol w:w="1106"/>
        <w:gridCol w:w="907"/>
        <w:gridCol w:w="907"/>
        <w:gridCol w:w="907"/>
      </w:tblGrid>
      <w:tr w:rsidR="00182709" w14:paraId="2FFCBE5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tcPr>
          <w:p w14:paraId="191615DC" w14:textId="77777777" w:rsidR="00182709" w:rsidRDefault="00182709">
            <w:pPr>
              <w:keepNext/>
            </w:pPr>
          </w:p>
        </w:tc>
        <w:tc>
          <w:tcPr>
            <w:tcW w:w="1418" w:type="dxa"/>
          </w:tcPr>
          <w:p w14:paraId="7F51689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Country of incorporation</w:t>
            </w:r>
          </w:p>
        </w:tc>
        <w:tc>
          <w:tcPr>
            <w:tcW w:w="1559" w:type="dxa"/>
          </w:tcPr>
          <w:p w14:paraId="7125861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Measurement method</w:t>
            </w:r>
          </w:p>
        </w:tc>
        <w:tc>
          <w:tcPr>
            <w:tcW w:w="2013" w:type="dxa"/>
            <w:gridSpan w:val="2"/>
          </w:tcPr>
          <w:p w14:paraId="47965E00"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Ownership interest</w:t>
            </w:r>
          </w:p>
        </w:tc>
        <w:tc>
          <w:tcPr>
            <w:tcW w:w="1814" w:type="dxa"/>
            <w:gridSpan w:val="2"/>
          </w:tcPr>
          <w:p w14:paraId="6EA0F5A5"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Published fair value</w:t>
            </w:r>
          </w:p>
        </w:tc>
      </w:tr>
      <w:tr w:rsidR="00105FBB" w14:paraId="191B7938"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5" w:type="dxa"/>
            <w:tcBorders>
              <w:bottom w:val="single" w:sz="12" w:space="0" w:color="auto"/>
            </w:tcBorders>
          </w:tcPr>
          <w:p w14:paraId="0E1FE6B5" w14:textId="77777777" w:rsidR="00105FBB" w:rsidRDefault="00105FBB" w:rsidP="00105FBB">
            <w:pPr>
              <w:keepNext/>
            </w:pPr>
            <w:r>
              <w:t>Name of entity</w:t>
            </w:r>
          </w:p>
        </w:tc>
        <w:tc>
          <w:tcPr>
            <w:tcW w:w="1418" w:type="dxa"/>
            <w:tcBorders>
              <w:bottom w:val="single" w:sz="12" w:space="0" w:color="auto"/>
            </w:tcBorders>
          </w:tcPr>
          <w:p w14:paraId="78E256F6" w14:textId="77777777" w:rsidR="00105FBB" w:rsidRDefault="00105FBB" w:rsidP="00105FBB">
            <w:pPr>
              <w:keepNext/>
              <w:cnfStyle w:val="100000000000" w:firstRow="1" w:lastRow="0" w:firstColumn="0" w:lastColumn="0" w:oddVBand="0" w:evenVBand="0" w:oddHBand="0" w:evenHBand="0" w:firstRowFirstColumn="0" w:firstRowLastColumn="0" w:lastRowFirstColumn="0" w:lastRowLastColumn="0"/>
            </w:pPr>
          </w:p>
        </w:tc>
        <w:tc>
          <w:tcPr>
            <w:tcW w:w="1559" w:type="dxa"/>
            <w:tcBorders>
              <w:bottom w:val="single" w:sz="12" w:space="0" w:color="auto"/>
            </w:tcBorders>
          </w:tcPr>
          <w:p w14:paraId="1E2F17D3" w14:textId="77777777" w:rsidR="00105FBB" w:rsidRDefault="00105FBB" w:rsidP="00105FBB">
            <w:pPr>
              <w:keepNext/>
              <w:cnfStyle w:val="100000000000" w:firstRow="1" w:lastRow="0" w:firstColumn="0" w:lastColumn="0" w:oddVBand="0" w:evenVBand="0" w:oddHBand="0" w:evenHBand="0" w:firstRowFirstColumn="0" w:firstRowLastColumn="0" w:lastRowFirstColumn="0" w:lastRowLastColumn="0"/>
            </w:pPr>
          </w:p>
        </w:tc>
        <w:tc>
          <w:tcPr>
            <w:tcW w:w="1106" w:type="dxa"/>
            <w:tcBorders>
              <w:bottom w:val="single" w:sz="12" w:space="0" w:color="auto"/>
            </w:tcBorders>
          </w:tcPr>
          <w:p w14:paraId="0FB1C841" w14:textId="5106620B"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105FBB">
                <w:t>20X2</w:t>
              </w:r>
            </w:fldSimple>
          </w:p>
        </w:tc>
        <w:tc>
          <w:tcPr>
            <w:tcW w:w="907" w:type="dxa"/>
            <w:tcBorders>
              <w:bottom w:val="single" w:sz="12" w:space="0" w:color="auto"/>
            </w:tcBorders>
          </w:tcPr>
          <w:p w14:paraId="325C2DD8" w14:textId="07C202C4"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105FBB">
                <w:t>20X1</w:t>
              </w:r>
            </w:fldSimple>
          </w:p>
        </w:tc>
        <w:tc>
          <w:tcPr>
            <w:tcW w:w="907" w:type="dxa"/>
            <w:tcBorders>
              <w:bottom w:val="single" w:sz="12" w:space="0" w:color="auto"/>
            </w:tcBorders>
          </w:tcPr>
          <w:p w14:paraId="15579535" w14:textId="06879C4E"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105FBB">
                <w:t>20X2</w:t>
              </w:r>
            </w:fldSimple>
          </w:p>
        </w:tc>
        <w:tc>
          <w:tcPr>
            <w:tcW w:w="907" w:type="dxa"/>
            <w:tcBorders>
              <w:bottom w:val="single" w:sz="12" w:space="0" w:color="auto"/>
            </w:tcBorders>
          </w:tcPr>
          <w:p w14:paraId="5C03CEA5" w14:textId="3300C003"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105FBB">
                <w:t>20X1</w:t>
              </w:r>
            </w:fldSimple>
          </w:p>
        </w:tc>
      </w:tr>
      <w:tr w:rsidR="00671D55" w14:paraId="673D4403" w14:textId="77777777" w:rsidTr="00182709">
        <w:tc>
          <w:tcPr>
            <w:cnfStyle w:val="001000000000" w:firstRow="0" w:lastRow="0" w:firstColumn="1" w:lastColumn="0" w:oddVBand="0" w:evenVBand="0" w:oddHBand="0" w:evenHBand="0" w:firstRowFirstColumn="0" w:firstRowLastColumn="0" w:lastRowFirstColumn="0" w:lastRowLastColumn="0"/>
            <w:tcW w:w="2835" w:type="dxa"/>
          </w:tcPr>
          <w:p w14:paraId="4E0614B0" w14:textId="77777777" w:rsidR="00182709" w:rsidRDefault="0044097C">
            <w:r>
              <w:rPr>
                <w:b/>
              </w:rPr>
              <w:t>Associate</w:t>
            </w:r>
          </w:p>
        </w:tc>
        <w:tc>
          <w:tcPr>
            <w:tcW w:w="1418" w:type="dxa"/>
          </w:tcPr>
          <w:p w14:paraId="5A54786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9" w:type="dxa"/>
          </w:tcPr>
          <w:p w14:paraId="759B16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06" w:type="dxa"/>
          </w:tcPr>
          <w:p w14:paraId="59B270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2DA599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45105C7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FB822D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39E546A" w14:textId="77777777">
        <w:tc>
          <w:tcPr>
            <w:cnfStyle w:val="001000000000" w:firstRow="0" w:lastRow="0" w:firstColumn="1" w:lastColumn="0" w:oddVBand="0" w:evenVBand="0" w:oddHBand="0" w:evenHBand="0" w:firstRowFirstColumn="0" w:firstRowLastColumn="0" w:lastRowFirstColumn="0" w:lastRowLastColumn="0"/>
            <w:tcW w:w="2835" w:type="dxa"/>
          </w:tcPr>
          <w:p w14:paraId="02671CA4" w14:textId="77777777" w:rsidR="00182709" w:rsidRDefault="0044097C">
            <w:r>
              <w:t xml:space="preserve">New Technology Pty Ltd </w:t>
            </w:r>
            <w:r>
              <w:rPr>
                <w:vertAlign w:val="superscript"/>
              </w:rPr>
              <w:t>(a)</w:t>
            </w:r>
          </w:p>
        </w:tc>
        <w:tc>
          <w:tcPr>
            <w:tcW w:w="1418" w:type="dxa"/>
          </w:tcPr>
          <w:p w14:paraId="48C2681D" w14:textId="77777777" w:rsidR="00182709" w:rsidRDefault="0044097C">
            <w:pPr>
              <w:cnfStyle w:val="000000000000" w:firstRow="0" w:lastRow="0" w:firstColumn="0" w:lastColumn="0" w:oddVBand="0" w:evenVBand="0" w:oddHBand="0" w:evenHBand="0" w:firstRowFirstColumn="0" w:firstRowLastColumn="0" w:lastRowFirstColumn="0" w:lastRowLastColumn="0"/>
            </w:pPr>
            <w:r>
              <w:t>Australia</w:t>
            </w:r>
          </w:p>
        </w:tc>
        <w:tc>
          <w:tcPr>
            <w:tcW w:w="1559" w:type="dxa"/>
          </w:tcPr>
          <w:p w14:paraId="652104A4" w14:textId="77777777" w:rsidR="00182709" w:rsidRDefault="0044097C">
            <w:pPr>
              <w:cnfStyle w:val="000000000000" w:firstRow="0" w:lastRow="0" w:firstColumn="0" w:lastColumn="0" w:oddVBand="0" w:evenVBand="0" w:oddHBand="0" w:evenHBand="0" w:firstRowFirstColumn="0" w:firstRowLastColumn="0" w:lastRowFirstColumn="0" w:lastRowLastColumn="0"/>
            </w:pPr>
            <w:r>
              <w:t>Equity method</w:t>
            </w:r>
          </w:p>
        </w:tc>
        <w:tc>
          <w:tcPr>
            <w:tcW w:w="1106" w:type="dxa"/>
          </w:tcPr>
          <w:p w14:paraId="3EBBEBD5" w14:textId="77777777" w:rsidR="00182709" w:rsidRDefault="0044097C">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4A532591" w14:textId="77777777" w:rsidR="00182709" w:rsidRDefault="0044097C">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72D507AF" w14:textId="77777777" w:rsidR="00182709" w:rsidRDefault="0044097C">
            <w:pPr>
              <w:cnfStyle w:val="000000000000" w:firstRow="0" w:lastRow="0" w:firstColumn="0" w:lastColumn="0" w:oddVBand="0" w:evenVBand="0" w:oddHBand="0" w:evenHBand="0" w:firstRowFirstColumn="0" w:firstRowLastColumn="0" w:lastRowFirstColumn="0" w:lastRowLastColumn="0"/>
            </w:pPr>
            <w:r>
              <w:t>6 566</w:t>
            </w:r>
          </w:p>
        </w:tc>
        <w:tc>
          <w:tcPr>
            <w:tcW w:w="907" w:type="dxa"/>
          </w:tcPr>
          <w:p w14:paraId="7194C6D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5 351</w:t>
            </w:r>
          </w:p>
        </w:tc>
      </w:tr>
      <w:tr w:rsidR="00182709" w14:paraId="1BF14208" w14:textId="77777777">
        <w:tc>
          <w:tcPr>
            <w:cnfStyle w:val="001000000000" w:firstRow="0" w:lastRow="0" w:firstColumn="1" w:lastColumn="0" w:oddVBand="0" w:evenVBand="0" w:oddHBand="0" w:evenHBand="0" w:firstRowFirstColumn="0" w:firstRowLastColumn="0" w:lastRowFirstColumn="0" w:lastRowLastColumn="0"/>
            <w:tcW w:w="2835" w:type="dxa"/>
          </w:tcPr>
          <w:p w14:paraId="1C196D02" w14:textId="77777777" w:rsidR="00182709" w:rsidRDefault="0044097C">
            <w:r>
              <w:rPr>
                <w:b/>
              </w:rPr>
              <w:t>Joint venture</w:t>
            </w:r>
          </w:p>
        </w:tc>
        <w:tc>
          <w:tcPr>
            <w:tcW w:w="1418" w:type="dxa"/>
          </w:tcPr>
          <w:p w14:paraId="16779B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9" w:type="dxa"/>
          </w:tcPr>
          <w:p w14:paraId="05822E7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06" w:type="dxa"/>
          </w:tcPr>
          <w:p w14:paraId="6E3D281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B375E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6307F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1D853F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491A4F26" w14:textId="77777777">
        <w:tc>
          <w:tcPr>
            <w:cnfStyle w:val="001000000000" w:firstRow="0" w:lastRow="0" w:firstColumn="1" w:lastColumn="0" w:oddVBand="0" w:evenVBand="0" w:oddHBand="0" w:evenHBand="0" w:firstRowFirstColumn="0" w:firstRowLastColumn="0" w:lastRowFirstColumn="0" w:lastRowLastColumn="0"/>
            <w:tcW w:w="2835" w:type="dxa"/>
          </w:tcPr>
          <w:p w14:paraId="117F00D4" w14:textId="77777777" w:rsidR="00182709" w:rsidRDefault="0044097C">
            <w:r>
              <w:t>Technology Supply Pty Ltd</w:t>
            </w:r>
          </w:p>
        </w:tc>
        <w:tc>
          <w:tcPr>
            <w:tcW w:w="1418" w:type="dxa"/>
          </w:tcPr>
          <w:p w14:paraId="504F8946" w14:textId="77777777" w:rsidR="00182709" w:rsidRDefault="0044097C">
            <w:pPr>
              <w:cnfStyle w:val="000000000000" w:firstRow="0" w:lastRow="0" w:firstColumn="0" w:lastColumn="0" w:oddVBand="0" w:evenVBand="0" w:oddHBand="0" w:evenHBand="0" w:firstRowFirstColumn="0" w:firstRowLastColumn="0" w:lastRowFirstColumn="0" w:lastRowLastColumn="0"/>
            </w:pPr>
            <w:r>
              <w:t>Australia</w:t>
            </w:r>
          </w:p>
        </w:tc>
        <w:tc>
          <w:tcPr>
            <w:tcW w:w="1559" w:type="dxa"/>
          </w:tcPr>
          <w:p w14:paraId="16522E7B" w14:textId="77777777" w:rsidR="00182709" w:rsidRDefault="0044097C">
            <w:pPr>
              <w:cnfStyle w:val="000000000000" w:firstRow="0" w:lastRow="0" w:firstColumn="0" w:lastColumn="0" w:oddVBand="0" w:evenVBand="0" w:oddHBand="0" w:evenHBand="0" w:firstRowFirstColumn="0" w:firstRowLastColumn="0" w:lastRowFirstColumn="0" w:lastRowLastColumn="0"/>
            </w:pPr>
            <w:r>
              <w:t>Equity method</w:t>
            </w:r>
          </w:p>
        </w:tc>
        <w:tc>
          <w:tcPr>
            <w:tcW w:w="1106" w:type="dxa"/>
          </w:tcPr>
          <w:p w14:paraId="69CDD54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87D337C" w14:textId="77777777" w:rsidR="00182709" w:rsidRDefault="0044097C">
            <w:pPr>
              <w:cnfStyle w:val="000000000000" w:firstRow="0" w:lastRow="0" w:firstColumn="0" w:lastColumn="0" w:oddVBand="0" w:evenVBand="0" w:oddHBand="0" w:evenHBand="0" w:firstRowFirstColumn="0" w:firstRowLastColumn="0" w:lastRowFirstColumn="0" w:lastRowLastColumn="0"/>
            </w:pPr>
            <w:r>
              <w:t>25</w:t>
            </w:r>
          </w:p>
        </w:tc>
        <w:tc>
          <w:tcPr>
            <w:tcW w:w="907" w:type="dxa"/>
          </w:tcPr>
          <w:p w14:paraId="162CD239"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508994B2"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r>
    </w:tbl>
    <w:p w14:paraId="481C54DD" w14:textId="77777777" w:rsidR="003719CD" w:rsidRDefault="003719CD" w:rsidP="007D536F">
      <w:pPr>
        <w:pStyle w:val="Note"/>
      </w:pPr>
      <w:r>
        <w:t>Note:</w:t>
      </w:r>
    </w:p>
    <w:p w14:paraId="01F08053" w14:textId="1A57A615" w:rsidR="003719CD" w:rsidRDefault="003719CD" w:rsidP="007D536F">
      <w:pPr>
        <w:pStyle w:val="Note"/>
      </w:pPr>
      <w:r>
        <w:t>(a)</w:t>
      </w:r>
      <w:r>
        <w:tab/>
        <w:t xml:space="preserve">As at 30 June </w:t>
      </w:r>
      <w:fldSimple w:instr="DOCPROPERTY  YearCurrent  \* MERGEFORMAT">
        <w:r w:rsidR="00A545BA">
          <w:t>20X2</w:t>
        </w:r>
      </w:fldSimple>
      <w:r>
        <w:t xml:space="preserve">, the fair value of the Department’s interest in New Technology Ltd was based on the quoted market price available on the Australian Stock Exchange, which is a Level 1 input in terms of AASB 13 </w:t>
      </w:r>
      <w:r w:rsidRPr="0098427E">
        <w:rPr>
          <w:i w:val="0"/>
          <w:iCs/>
        </w:rPr>
        <w:t>Fair Value Measurement</w:t>
      </w:r>
      <w:r>
        <w:t>.</w:t>
      </w:r>
    </w:p>
    <w:p w14:paraId="0277A20F" w14:textId="77777777" w:rsidR="003719CD" w:rsidRDefault="003719CD" w:rsidP="007D536F">
      <w:pPr>
        <w:pStyle w:val="Heading3"/>
      </w:pPr>
      <w:r>
        <w:t>Summarised financial information</w:t>
      </w:r>
    </w:p>
    <w:p w14:paraId="4290CBE1" w14:textId="77777777" w:rsidR="003719CD" w:rsidRDefault="003719CD" w:rsidP="00DC39DE">
      <w:r>
        <w:t>Presented below is the summarised financial information for the investments accounted for using the equity method. The summarised financial information below represents amounts shown in the financial statements of the equity accounted investments, prepared under AAS and adjusted as appropriate by the Department.</w:t>
      </w:r>
    </w:p>
    <w:p w14:paraId="47EA4A94" w14:textId="0B64A615" w:rsidR="003719CD" w:rsidRDefault="003719CD" w:rsidP="00DC39DE">
      <w:r>
        <w:t xml:space="preserve">The financial year end date of New Technology Ltd is 30 April. For the purpose of applying the equity method of accounting, the financial statements of New Technology Ltd have been used, and appropriate adjustments have been made for the effects of significant transactions between that date and 30 June </w:t>
      </w:r>
      <w:fldSimple w:instr="DOCPROPERTY  YearCurrent  \* MERGEFORMAT">
        <w:r w:rsidR="00A545BA">
          <w:t>20X2</w:t>
        </w:r>
      </w:fldSimple>
      <w:r>
        <w:t xml:space="preserve">. </w:t>
      </w:r>
    </w:p>
    <w:p w14:paraId="023BEBC8" w14:textId="77777777" w:rsidR="003719CD" w:rsidRDefault="003719CD" w:rsidP="00DC39DE">
      <w:r>
        <w:t>The Department’s share of the contingent liabilities and commitments of its associates and joint ventures are disclosed in Note 8.2 and Note 7.5 respectively.</w:t>
      </w:r>
    </w:p>
    <w:p w14:paraId="4FD10D3B" w14:textId="77777777" w:rsidR="003719CD" w:rsidRDefault="003719CD" w:rsidP="00DC39DE"/>
    <w:p w14:paraId="379F64C0" w14:textId="77777777" w:rsidR="001F2260" w:rsidRDefault="001F2260">
      <w:pPr>
        <w:keepLines w:val="0"/>
        <w:rPr>
          <w:b/>
          <w:iCs/>
          <w:color w:val="404040" w:themeColor="text1" w:themeTint="BF"/>
        </w:rPr>
      </w:pPr>
      <w:r>
        <w:br w:type="page"/>
      </w:r>
    </w:p>
    <w:p w14:paraId="21F56568" w14:textId="4C0A0645" w:rsidR="003719CD" w:rsidRDefault="003719CD" w:rsidP="007D536F">
      <w:pPr>
        <w:pStyle w:val="Caption"/>
      </w:pPr>
      <w:r>
        <w:lastRenderedPageBreak/>
        <w:t xml:space="preserve">New Technology Pty Ltd – Associate </w:t>
      </w:r>
      <w:r>
        <w:tab/>
        <w:t>($ thousand)</w:t>
      </w:r>
    </w:p>
    <w:tbl>
      <w:tblPr>
        <w:tblStyle w:val="DTFTable"/>
        <w:tblW w:w="9639" w:type="dxa"/>
        <w:tblLayout w:type="fixed"/>
        <w:tblLook w:val="0620" w:firstRow="1" w:lastRow="0" w:firstColumn="0" w:lastColumn="0" w:noHBand="1" w:noVBand="1"/>
      </w:tblPr>
      <w:tblGrid>
        <w:gridCol w:w="1484"/>
        <w:gridCol w:w="6423"/>
        <w:gridCol w:w="866"/>
        <w:gridCol w:w="866"/>
      </w:tblGrid>
      <w:tr w:rsidR="00105FBB" w14:paraId="46E19E5F" w14:textId="77777777" w:rsidTr="00105FBB">
        <w:trPr>
          <w:cnfStyle w:val="100000000000" w:firstRow="1" w:lastRow="0" w:firstColumn="0" w:lastColumn="0" w:oddVBand="0" w:evenVBand="0" w:oddHBand="0" w:evenHBand="0" w:firstRowFirstColumn="0" w:firstRowLastColumn="0" w:lastRowFirstColumn="0" w:lastRowLastColumn="0"/>
          <w:tblHeader/>
        </w:trPr>
        <w:tc>
          <w:tcPr>
            <w:tcW w:w="1484" w:type="dxa"/>
            <w:tcBorders>
              <w:top w:val="nil"/>
              <w:bottom w:val="nil"/>
            </w:tcBorders>
            <w:shd w:val="clear" w:color="auto" w:fill="FFFFFF" w:themeFill="background1"/>
          </w:tcPr>
          <w:p w14:paraId="115B4085" w14:textId="77777777" w:rsidR="00105FBB" w:rsidRDefault="00105FBB" w:rsidP="00105FBB">
            <w:pPr>
              <w:keepNext/>
              <w:spacing w:after="0"/>
              <w:jc w:val="left"/>
            </w:pPr>
            <w:r>
              <w:rPr>
                <w:color w:val="4472C4"/>
                <w:sz w:val="13"/>
              </w:rPr>
              <w:t>Source reference</w:t>
            </w:r>
          </w:p>
        </w:tc>
        <w:tc>
          <w:tcPr>
            <w:tcW w:w="6423" w:type="dxa"/>
          </w:tcPr>
          <w:p w14:paraId="74C6EE61" w14:textId="77777777" w:rsidR="00105FBB" w:rsidRDefault="00105FBB" w:rsidP="00105FBB">
            <w:pPr>
              <w:keepNext/>
              <w:spacing w:after="0"/>
              <w:jc w:val="left"/>
            </w:pPr>
          </w:p>
        </w:tc>
        <w:tc>
          <w:tcPr>
            <w:tcW w:w="866" w:type="dxa"/>
          </w:tcPr>
          <w:p w14:paraId="0EB3E4B2" w14:textId="5CB3029C" w:rsidR="00105FBB" w:rsidRPr="00105FBB" w:rsidRDefault="00105FBB" w:rsidP="00105FBB">
            <w:pPr>
              <w:keepNext/>
              <w:spacing w:after="0"/>
            </w:pPr>
            <w:fldSimple w:instr="DOCPROPERTY  YearCurrent \* MERGEFORMAT">
              <w:r w:rsidRPr="00105FBB">
                <w:t>20X2</w:t>
              </w:r>
            </w:fldSimple>
          </w:p>
        </w:tc>
        <w:tc>
          <w:tcPr>
            <w:tcW w:w="866" w:type="dxa"/>
          </w:tcPr>
          <w:p w14:paraId="2659320B" w14:textId="4A644F4D" w:rsidR="00105FBB" w:rsidRPr="00105FBB" w:rsidRDefault="00105FBB" w:rsidP="00105FBB">
            <w:pPr>
              <w:keepNext/>
              <w:spacing w:after="0"/>
            </w:pPr>
            <w:fldSimple w:instr="DOCPROPERTY  YearPrevious  \* MERGEFORMAT">
              <w:r w:rsidRPr="00105FBB">
                <w:t>20X1</w:t>
              </w:r>
            </w:fldSimple>
          </w:p>
        </w:tc>
      </w:tr>
      <w:tr w:rsidR="00182709" w14:paraId="35555B70" w14:textId="77777777" w:rsidTr="00105FBB">
        <w:tc>
          <w:tcPr>
            <w:tcW w:w="1484" w:type="dxa"/>
          </w:tcPr>
          <w:p w14:paraId="58857C33" w14:textId="77777777" w:rsidR="00182709" w:rsidRDefault="00182709">
            <w:pPr>
              <w:spacing w:after="0"/>
              <w:jc w:val="left"/>
            </w:pPr>
          </w:p>
        </w:tc>
        <w:tc>
          <w:tcPr>
            <w:tcW w:w="6423" w:type="dxa"/>
          </w:tcPr>
          <w:p w14:paraId="13FA9AA1" w14:textId="77777777" w:rsidR="00182709" w:rsidRDefault="0044097C">
            <w:pPr>
              <w:spacing w:after="0"/>
              <w:jc w:val="left"/>
            </w:pPr>
            <w:r>
              <w:rPr>
                <w:b/>
              </w:rPr>
              <w:t>Summarised balance sheet</w:t>
            </w:r>
          </w:p>
        </w:tc>
        <w:tc>
          <w:tcPr>
            <w:tcW w:w="866" w:type="dxa"/>
          </w:tcPr>
          <w:p w14:paraId="100ACDC3" w14:textId="77777777" w:rsidR="00182709" w:rsidRDefault="00182709">
            <w:pPr>
              <w:spacing w:after="0"/>
            </w:pPr>
          </w:p>
        </w:tc>
        <w:tc>
          <w:tcPr>
            <w:tcW w:w="866" w:type="dxa"/>
          </w:tcPr>
          <w:p w14:paraId="098458F5" w14:textId="77777777" w:rsidR="00182709" w:rsidRDefault="00182709">
            <w:pPr>
              <w:spacing w:after="0"/>
            </w:pPr>
          </w:p>
        </w:tc>
      </w:tr>
      <w:tr w:rsidR="00182709" w14:paraId="06C7E3AD" w14:textId="77777777" w:rsidTr="00105FBB">
        <w:tc>
          <w:tcPr>
            <w:tcW w:w="1484" w:type="dxa"/>
          </w:tcPr>
          <w:p w14:paraId="26A1A684" w14:textId="77777777" w:rsidR="00182709" w:rsidRDefault="0044097C">
            <w:pPr>
              <w:spacing w:after="0"/>
              <w:jc w:val="left"/>
            </w:pPr>
            <w:r w:rsidRPr="2856114A">
              <w:rPr>
                <w:color w:val="4472C4" w:themeColor="accent1"/>
                <w:sz w:val="13"/>
                <w:szCs w:val="13"/>
              </w:rPr>
              <w:t>AASB 12.B12 (b)(i)</w:t>
            </w:r>
          </w:p>
        </w:tc>
        <w:tc>
          <w:tcPr>
            <w:tcW w:w="6423" w:type="dxa"/>
          </w:tcPr>
          <w:p w14:paraId="227DCCBA" w14:textId="77777777" w:rsidR="00182709" w:rsidRDefault="0044097C">
            <w:pPr>
              <w:spacing w:after="0"/>
              <w:jc w:val="left"/>
            </w:pPr>
            <w:r>
              <w:t>Current assets</w:t>
            </w:r>
          </w:p>
        </w:tc>
        <w:tc>
          <w:tcPr>
            <w:tcW w:w="866" w:type="dxa"/>
          </w:tcPr>
          <w:p w14:paraId="4F23CCF1" w14:textId="77777777" w:rsidR="00182709" w:rsidRDefault="0044097C">
            <w:pPr>
              <w:spacing w:after="0"/>
            </w:pPr>
            <w:r>
              <w:t>6 224</w:t>
            </w:r>
          </w:p>
        </w:tc>
        <w:tc>
          <w:tcPr>
            <w:tcW w:w="866" w:type="dxa"/>
          </w:tcPr>
          <w:p w14:paraId="2B7A1D6F" w14:textId="77777777" w:rsidR="00182709" w:rsidRDefault="0044097C">
            <w:pPr>
              <w:spacing w:after="0"/>
            </w:pPr>
            <w:r>
              <w:t>4 706</w:t>
            </w:r>
          </w:p>
        </w:tc>
      </w:tr>
      <w:tr w:rsidR="00182709" w14:paraId="4A53A194" w14:textId="77777777" w:rsidTr="00105FBB">
        <w:tc>
          <w:tcPr>
            <w:tcW w:w="1484" w:type="dxa"/>
          </w:tcPr>
          <w:p w14:paraId="3D7607BD" w14:textId="77777777" w:rsidR="00182709" w:rsidRDefault="0044097C">
            <w:pPr>
              <w:spacing w:after="0"/>
              <w:jc w:val="left"/>
            </w:pPr>
            <w:r>
              <w:rPr>
                <w:color w:val="4472C4"/>
                <w:sz w:val="13"/>
              </w:rPr>
              <w:t>AASB 12.B12 (b)(ii)</w:t>
            </w:r>
          </w:p>
        </w:tc>
        <w:tc>
          <w:tcPr>
            <w:tcW w:w="6423" w:type="dxa"/>
          </w:tcPr>
          <w:p w14:paraId="7413B7B9" w14:textId="77777777" w:rsidR="00182709" w:rsidRDefault="0044097C">
            <w:pPr>
              <w:spacing w:after="0"/>
              <w:jc w:val="left"/>
            </w:pPr>
            <w:r>
              <w:t>Non‑current assets</w:t>
            </w:r>
          </w:p>
        </w:tc>
        <w:tc>
          <w:tcPr>
            <w:tcW w:w="866" w:type="dxa"/>
          </w:tcPr>
          <w:p w14:paraId="337C1AC9" w14:textId="77777777" w:rsidR="00182709" w:rsidRDefault="0044097C">
            <w:pPr>
              <w:spacing w:after="0"/>
            </w:pPr>
            <w:r>
              <w:t>14 524</w:t>
            </w:r>
          </w:p>
        </w:tc>
        <w:tc>
          <w:tcPr>
            <w:tcW w:w="866" w:type="dxa"/>
          </w:tcPr>
          <w:p w14:paraId="3B1C5E1F" w14:textId="77777777" w:rsidR="00182709" w:rsidRDefault="0044097C">
            <w:pPr>
              <w:spacing w:after="0"/>
            </w:pPr>
            <w:r>
              <w:t>13 043</w:t>
            </w:r>
          </w:p>
        </w:tc>
      </w:tr>
      <w:tr w:rsidR="00182709" w14:paraId="20F09D79" w14:textId="77777777" w:rsidTr="00105FBB">
        <w:tc>
          <w:tcPr>
            <w:tcW w:w="1484" w:type="dxa"/>
          </w:tcPr>
          <w:p w14:paraId="056A8E33" w14:textId="77777777" w:rsidR="00182709" w:rsidRDefault="00182709">
            <w:pPr>
              <w:spacing w:after="0"/>
              <w:jc w:val="left"/>
            </w:pPr>
          </w:p>
        </w:tc>
        <w:tc>
          <w:tcPr>
            <w:tcW w:w="6423" w:type="dxa"/>
          </w:tcPr>
          <w:p w14:paraId="63DDEF6D" w14:textId="77777777" w:rsidR="00182709" w:rsidRDefault="0044097C">
            <w:pPr>
              <w:spacing w:after="0"/>
              <w:jc w:val="left"/>
            </w:pPr>
            <w:r>
              <w:rPr>
                <w:b/>
              </w:rPr>
              <w:t>Total assets</w:t>
            </w:r>
          </w:p>
        </w:tc>
        <w:tc>
          <w:tcPr>
            <w:tcW w:w="866" w:type="dxa"/>
          </w:tcPr>
          <w:p w14:paraId="54370B94" w14:textId="77777777" w:rsidR="00182709" w:rsidRDefault="0044097C">
            <w:pPr>
              <w:spacing w:after="0"/>
            </w:pPr>
            <w:r>
              <w:rPr>
                <w:b/>
              </w:rPr>
              <w:t>20 748</w:t>
            </w:r>
          </w:p>
        </w:tc>
        <w:tc>
          <w:tcPr>
            <w:tcW w:w="866" w:type="dxa"/>
          </w:tcPr>
          <w:p w14:paraId="5EC40494" w14:textId="77777777" w:rsidR="00182709" w:rsidRDefault="0044097C">
            <w:pPr>
              <w:spacing w:after="0"/>
            </w:pPr>
            <w:r>
              <w:rPr>
                <w:b/>
              </w:rPr>
              <w:t>17 749</w:t>
            </w:r>
          </w:p>
        </w:tc>
      </w:tr>
      <w:tr w:rsidR="00182709" w14:paraId="29AC5937" w14:textId="77777777" w:rsidTr="00105FBB">
        <w:tc>
          <w:tcPr>
            <w:tcW w:w="1484" w:type="dxa"/>
          </w:tcPr>
          <w:p w14:paraId="49D60086" w14:textId="77777777" w:rsidR="00182709" w:rsidRDefault="0044097C">
            <w:pPr>
              <w:spacing w:after="0"/>
              <w:jc w:val="left"/>
            </w:pPr>
            <w:r>
              <w:rPr>
                <w:color w:val="4472C4"/>
                <w:sz w:val="13"/>
              </w:rPr>
              <w:t>AASB 12.B12(b)(iii)</w:t>
            </w:r>
          </w:p>
        </w:tc>
        <w:tc>
          <w:tcPr>
            <w:tcW w:w="6423" w:type="dxa"/>
          </w:tcPr>
          <w:p w14:paraId="31DEFF27" w14:textId="77777777" w:rsidR="00182709" w:rsidRDefault="0044097C">
            <w:pPr>
              <w:spacing w:after="0"/>
              <w:jc w:val="left"/>
            </w:pPr>
            <w:r>
              <w:t>Current liabilities</w:t>
            </w:r>
          </w:p>
        </w:tc>
        <w:tc>
          <w:tcPr>
            <w:tcW w:w="866" w:type="dxa"/>
          </w:tcPr>
          <w:p w14:paraId="52EF5947" w14:textId="77777777" w:rsidR="00182709" w:rsidRDefault="0044097C">
            <w:pPr>
              <w:spacing w:after="0"/>
            </w:pPr>
            <w:r>
              <w:t>(1 778)</w:t>
            </w:r>
          </w:p>
        </w:tc>
        <w:tc>
          <w:tcPr>
            <w:tcW w:w="866" w:type="dxa"/>
          </w:tcPr>
          <w:p w14:paraId="4340D807" w14:textId="77777777" w:rsidR="00182709" w:rsidRDefault="0044097C">
            <w:pPr>
              <w:spacing w:after="0"/>
            </w:pPr>
            <w:r>
              <w:t>(1 345)</w:t>
            </w:r>
          </w:p>
        </w:tc>
      </w:tr>
      <w:tr w:rsidR="00182709" w14:paraId="0C4E2510" w14:textId="77777777" w:rsidTr="00105FBB">
        <w:tc>
          <w:tcPr>
            <w:tcW w:w="1484" w:type="dxa"/>
          </w:tcPr>
          <w:p w14:paraId="53E75032" w14:textId="77777777" w:rsidR="00182709" w:rsidRDefault="0044097C">
            <w:pPr>
              <w:spacing w:after="0"/>
              <w:jc w:val="left"/>
            </w:pPr>
            <w:r>
              <w:rPr>
                <w:color w:val="4472C4"/>
                <w:sz w:val="13"/>
              </w:rPr>
              <w:t>AASB 12.B12 (b)(iv)</w:t>
            </w:r>
          </w:p>
        </w:tc>
        <w:tc>
          <w:tcPr>
            <w:tcW w:w="6423" w:type="dxa"/>
          </w:tcPr>
          <w:p w14:paraId="6BFC775C" w14:textId="77777777" w:rsidR="00182709" w:rsidRDefault="0044097C">
            <w:pPr>
              <w:spacing w:after="0"/>
              <w:jc w:val="left"/>
            </w:pPr>
            <w:r>
              <w:t>Non‑current liabilities</w:t>
            </w:r>
          </w:p>
        </w:tc>
        <w:tc>
          <w:tcPr>
            <w:tcW w:w="866" w:type="dxa"/>
          </w:tcPr>
          <w:p w14:paraId="4F7C0586" w14:textId="77777777" w:rsidR="00182709" w:rsidRDefault="0044097C">
            <w:pPr>
              <w:spacing w:after="0"/>
            </w:pPr>
            <w:r>
              <w:t>(4 150)</w:t>
            </w:r>
          </w:p>
        </w:tc>
        <w:tc>
          <w:tcPr>
            <w:tcW w:w="866" w:type="dxa"/>
          </w:tcPr>
          <w:p w14:paraId="63ECBE51" w14:textId="77777777" w:rsidR="00182709" w:rsidRDefault="0044097C">
            <w:pPr>
              <w:spacing w:after="0"/>
            </w:pPr>
            <w:r>
              <w:t>(3 138)</w:t>
            </w:r>
          </w:p>
        </w:tc>
      </w:tr>
      <w:tr w:rsidR="00182709" w14:paraId="145AC9C4" w14:textId="77777777" w:rsidTr="00105FBB">
        <w:tc>
          <w:tcPr>
            <w:tcW w:w="1484" w:type="dxa"/>
          </w:tcPr>
          <w:p w14:paraId="2CF07F0D" w14:textId="77777777" w:rsidR="00182709" w:rsidRDefault="00182709">
            <w:pPr>
              <w:spacing w:after="0"/>
              <w:jc w:val="left"/>
            </w:pPr>
          </w:p>
        </w:tc>
        <w:tc>
          <w:tcPr>
            <w:tcW w:w="6423" w:type="dxa"/>
            <w:tcBorders>
              <w:bottom w:val="single" w:sz="12" w:space="0" w:color="auto"/>
            </w:tcBorders>
          </w:tcPr>
          <w:p w14:paraId="2146DDF5" w14:textId="77777777" w:rsidR="00182709" w:rsidRDefault="0044097C">
            <w:pPr>
              <w:spacing w:after="0"/>
              <w:jc w:val="left"/>
            </w:pPr>
            <w:r>
              <w:rPr>
                <w:b/>
              </w:rPr>
              <w:t>Total liabilities</w:t>
            </w:r>
          </w:p>
        </w:tc>
        <w:tc>
          <w:tcPr>
            <w:tcW w:w="866" w:type="dxa"/>
            <w:tcBorders>
              <w:bottom w:val="single" w:sz="12" w:space="0" w:color="auto"/>
            </w:tcBorders>
          </w:tcPr>
          <w:p w14:paraId="36BDB760" w14:textId="77777777" w:rsidR="00182709" w:rsidRDefault="0044097C">
            <w:pPr>
              <w:spacing w:after="0"/>
            </w:pPr>
            <w:r>
              <w:rPr>
                <w:b/>
              </w:rPr>
              <w:t>(5 928)</w:t>
            </w:r>
          </w:p>
        </w:tc>
        <w:tc>
          <w:tcPr>
            <w:tcW w:w="866" w:type="dxa"/>
            <w:tcBorders>
              <w:bottom w:val="single" w:sz="12" w:space="0" w:color="auto"/>
            </w:tcBorders>
          </w:tcPr>
          <w:p w14:paraId="2730C0A2" w14:textId="77777777" w:rsidR="00182709" w:rsidRDefault="0044097C">
            <w:pPr>
              <w:spacing w:after="0"/>
            </w:pPr>
            <w:r>
              <w:rPr>
                <w:b/>
              </w:rPr>
              <w:t>(4 483)</w:t>
            </w:r>
          </w:p>
        </w:tc>
      </w:tr>
      <w:tr w:rsidR="00671D55" w14:paraId="70C3634D" w14:textId="77777777" w:rsidTr="00105FBB">
        <w:tc>
          <w:tcPr>
            <w:tcW w:w="1484" w:type="dxa"/>
          </w:tcPr>
          <w:p w14:paraId="79FB1F8B" w14:textId="77777777" w:rsidR="00182709" w:rsidRDefault="00182709">
            <w:pPr>
              <w:spacing w:after="0"/>
              <w:jc w:val="left"/>
            </w:pPr>
          </w:p>
        </w:tc>
        <w:tc>
          <w:tcPr>
            <w:tcW w:w="6423" w:type="dxa"/>
          </w:tcPr>
          <w:p w14:paraId="31F6124E" w14:textId="77777777" w:rsidR="00182709" w:rsidRDefault="0044097C">
            <w:pPr>
              <w:spacing w:after="0"/>
              <w:jc w:val="left"/>
            </w:pPr>
            <w:r>
              <w:rPr>
                <w:b/>
              </w:rPr>
              <w:t>Net assets</w:t>
            </w:r>
          </w:p>
        </w:tc>
        <w:tc>
          <w:tcPr>
            <w:tcW w:w="866" w:type="dxa"/>
          </w:tcPr>
          <w:p w14:paraId="48290916" w14:textId="77777777" w:rsidR="00182709" w:rsidRDefault="0044097C">
            <w:pPr>
              <w:spacing w:after="0"/>
            </w:pPr>
            <w:r>
              <w:rPr>
                <w:b/>
              </w:rPr>
              <w:t>14 820</w:t>
            </w:r>
          </w:p>
        </w:tc>
        <w:tc>
          <w:tcPr>
            <w:tcW w:w="866" w:type="dxa"/>
          </w:tcPr>
          <w:p w14:paraId="694E6728" w14:textId="77777777" w:rsidR="00182709" w:rsidRDefault="0044097C">
            <w:pPr>
              <w:spacing w:after="0"/>
            </w:pPr>
            <w:r>
              <w:rPr>
                <w:b/>
              </w:rPr>
              <w:t>13 266</w:t>
            </w:r>
          </w:p>
        </w:tc>
      </w:tr>
      <w:tr w:rsidR="00671D55" w14:paraId="3A505741" w14:textId="77777777" w:rsidTr="00105FBB">
        <w:tc>
          <w:tcPr>
            <w:tcW w:w="1484" w:type="dxa"/>
          </w:tcPr>
          <w:p w14:paraId="2BB66A79" w14:textId="3FAC6627" w:rsidR="00182709" w:rsidRDefault="00182709">
            <w:pPr>
              <w:spacing w:after="0"/>
              <w:jc w:val="left"/>
            </w:pPr>
          </w:p>
        </w:tc>
        <w:tc>
          <w:tcPr>
            <w:tcW w:w="6423" w:type="dxa"/>
          </w:tcPr>
          <w:p w14:paraId="101F5FD4" w14:textId="77777777" w:rsidR="00182709" w:rsidRDefault="0044097C">
            <w:pPr>
              <w:spacing w:after="0"/>
              <w:jc w:val="left"/>
            </w:pPr>
            <w:r>
              <w:rPr>
                <w:b/>
              </w:rPr>
              <w:t>Summarised operating statement</w:t>
            </w:r>
          </w:p>
        </w:tc>
        <w:tc>
          <w:tcPr>
            <w:tcW w:w="866" w:type="dxa"/>
          </w:tcPr>
          <w:p w14:paraId="1EAC0084" w14:textId="77777777" w:rsidR="00182709" w:rsidRDefault="00182709">
            <w:pPr>
              <w:spacing w:after="0"/>
            </w:pPr>
          </w:p>
        </w:tc>
        <w:tc>
          <w:tcPr>
            <w:tcW w:w="866" w:type="dxa"/>
          </w:tcPr>
          <w:p w14:paraId="479C79C8" w14:textId="77777777" w:rsidR="00182709" w:rsidRDefault="00182709">
            <w:pPr>
              <w:spacing w:after="0"/>
            </w:pPr>
          </w:p>
        </w:tc>
      </w:tr>
      <w:tr w:rsidR="00182709" w14:paraId="02C1F298" w14:textId="77777777" w:rsidTr="00105FBB">
        <w:tc>
          <w:tcPr>
            <w:tcW w:w="1484" w:type="dxa"/>
          </w:tcPr>
          <w:p w14:paraId="59D692A5" w14:textId="364B1E9C" w:rsidR="00182709" w:rsidRDefault="0044097C">
            <w:pPr>
              <w:spacing w:after="0"/>
              <w:jc w:val="left"/>
            </w:pPr>
            <w:r>
              <w:rPr>
                <w:color w:val="4472C4"/>
                <w:sz w:val="13"/>
              </w:rPr>
              <w:t>AASB 12.B12 (b)(v)</w:t>
            </w:r>
          </w:p>
        </w:tc>
        <w:tc>
          <w:tcPr>
            <w:tcW w:w="6423" w:type="dxa"/>
          </w:tcPr>
          <w:p w14:paraId="17C4B04A" w14:textId="77777777" w:rsidR="00182709" w:rsidRDefault="0044097C">
            <w:pPr>
              <w:spacing w:after="0"/>
              <w:jc w:val="left"/>
            </w:pPr>
            <w:r>
              <w:t>Total income from transaction</w:t>
            </w:r>
          </w:p>
        </w:tc>
        <w:tc>
          <w:tcPr>
            <w:tcW w:w="866" w:type="dxa"/>
          </w:tcPr>
          <w:p w14:paraId="6FABD362" w14:textId="77777777" w:rsidR="00182709" w:rsidRDefault="0044097C">
            <w:pPr>
              <w:spacing w:after="0"/>
            </w:pPr>
            <w:r>
              <w:t>6 154</w:t>
            </w:r>
          </w:p>
        </w:tc>
        <w:tc>
          <w:tcPr>
            <w:tcW w:w="866" w:type="dxa"/>
          </w:tcPr>
          <w:p w14:paraId="2DD941E6" w14:textId="77777777" w:rsidR="00182709" w:rsidRDefault="0044097C">
            <w:pPr>
              <w:spacing w:after="0"/>
            </w:pPr>
            <w:r>
              <w:t>3 803</w:t>
            </w:r>
          </w:p>
        </w:tc>
      </w:tr>
      <w:tr w:rsidR="00182709" w14:paraId="186D73B5" w14:textId="77777777" w:rsidTr="00105FBB">
        <w:tc>
          <w:tcPr>
            <w:tcW w:w="1484" w:type="dxa"/>
          </w:tcPr>
          <w:p w14:paraId="6584631E" w14:textId="08D47693" w:rsidR="00182709" w:rsidRDefault="0044097C">
            <w:pPr>
              <w:spacing w:after="0"/>
              <w:jc w:val="left"/>
            </w:pPr>
            <w:r>
              <w:rPr>
                <w:color w:val="4472C4"/>
                <w:sz w:val="13"/>
              </w:rPr>
              <w:t>AASB 12.B12(b)(vi)</w:t>
            </w:r>
          </w:p>
        </w:tc>
        <w:tc>
          <w:tcPr>
            <w:tcW w:w="6423" w:type="dxa"/>
          </w:tcPr>
          <w:p w14:paraId="22DB750E" w14:textId="77777777" w:rsidR="00182709" w:rsidRDefault="0044097C">
            <w:pPr>
              <w:spacing w:after="0"/>
              <w:jc w:val="left"/>
            </w:pPr>
            <w:r>
              <w:t>Net result from continuing operation</w:t>
            </w:r>
          </w:p>
        </w:tc>
        <w:tc>
          <w:tcPr>
            <w:tcW w:w="866" w:type="dxa"/>
          </w:tcPr>
          <w:p w14:paraId="58266DEE" w14:textId="77777777" w:rsidR="00182709" w:rsidRDefault="0044097C">
            <w:pPr>
              <w:spacing w:after="0"/>
            </w:pPr>
            <w:r>
              <w:t>2 620</w:t>
            </w:r>
          </w:p>
        </w:tc>
        <w:tc>
          <w:tcPr>
            <w:tcW w:w="866" w:type="dxa"/>
          </w:tcPr>
          <w:p w14:paraId="5554271D" w14:textId="77777777" w:rsidR="00182709" w:rsidRDefault="0044097C">
            <w:pPr>
              <w:spacing w:after="0"/>
            </w:pPr>
            <w:r>
              <w:t>1 150</w:t>
            </w:r>
          </w:p>
        </w:tc>
      </w:tr>
      <w:tr w:rsidR="00182709" w14:paraId="6977C8FF" w14:textId="77777777" w:rsidTr="00105FBB">
        <w:tc>
          <w:tcPr>
            <w:tcW w:w="1484" w:type="dxa"/>
          </w:tcPr>
          <w:p w14:paraId="39FC9702" w14:textId="34949D85" w:rsidR="00182709" w:rsidRDefault="00023D7C">
            <w:pPr>
              <w:spacing w:after="0"/>
              <w:jc w:val="left"/>
            </w:pPr>
            <w:r>
              <w:rPr>
                <w:color w:val="4472C4"/>
                <w:sz w:val="13"/>
              </w:rPr>
              <w:t>AASB 12.B12(b)(vii)</w:t>
            </w:r>
          </w:p>
        </w:tc>
        <w:tc>
          <w:tcPr>
            <w:tcW w:w="6423" w:type="dxa"/>
          </w:tcPr>
          <w:p w14:paraId="2A3A00AB" w14:textId="77777777" w:rsidR="00182709" w:rsidRDefault="0044097C">
            <w:pPr>
              <w:spacing w:after="0"/>
              <w:jc w:val="left"/>
            </w:pPr>
            <w:r>
              <w:t>Net result from discounting operation</w:t>
            </w:r>
          </w:p>
        </w:tc>
        <w:tc>
          <w:tcPr>
            <w:tcW w:w="866" w:type="dxa"/>
          </w:tcPr>
          <w:p w14:paraId="0E386AE7" w14:textId="77777777" w:rsidR="00182709" w:rsidRDefault="0044097C">
            <w:pPr>
              <w:spacing w:after="0"/>
            </w:pPr>
            <w:r>
              <w:t>394</w:t>
            </w:r>
          </w:p>
        </w:tc>
        <w:tc>
          <w:tcPr>
            <w:tcW w:w="866" w:type="dxa"/>
          </w:tcPr>
          <w:p w14:paraId="2569DE09" w14:textId="77777777" w:rsidR="00182709" w:rsidRDefault="0044097C">
            <w:pPr>
              <w:spacing w:after="0"/>
            </w:pPr>
            <w:r>
              <w:t>713</w:t>
            </w:r>
          </w:p>
        </w:tc>
      </w:tr>
      <w:tr w:rsidR="00182709" w14:paraId="63E6530A" w14:textId="77777777" w:rsidTr="00105FBB">
        <w:tc>
          <w:tcPr>
            <w:tcW w:w="1484" w:type="dxa"/>
          </w:tcPr>
          <w:p w14:paraId="3366D4A6" w14:textId="554B82AE" w:rsidR="00182709" w:rsidRDefault="00182709">
            <w:pPr>
              <w:spacing w:after="0"/>
              <w:jc w:val="left"/>
            </w:pPr>
          </w:p>
        </w:tc>
        <w:tc>
          <w:tcPr>
            <w:tcW w:w="6423" w:type="dxa"/>
          </w:tcPr>
          <w:p w14:paraId="0AF8C15F" w14:textId="77777777" w:rsidR="00182709" w:rsidRDefault="0044097C">
            <w:pPr>
              <w:spacing w:after="0"/>
              <w:jc w:val="left"/>
            </w:pPr>
            <w:r>
              <w:rPr>
                <w:b/>
              </w:rPr>
              <w:t>Net result</w:t>
            </w:r>
          </w:p>
        </w:tc>
        <w:tc>
          <w:tcPr>
            <w:tcW w:w="866" w:type="dxa"/>
          </w:tcPr>
          <w:p w14:paraId="041EFD8E" w14:textId="77777777" w:rsidR="00182709" w:rsidRDefault="0044097C">
            <w:pPr>
              <w:spacing w:after="0"/>
            </w:pPr>
            <w:r>
              <w:rPr>
                <w:b/>
              </w:rPr>
              <w:t>3 014</w:t>
            </w:r>
          </w:p>
        </w:tc>
        <w:tc>
          <w:tcPr>
            <w:tcW w:w="866" w:type="dxa"/>
          </w:tcPr>
          <w:p w14:paraId="33F1F239" w14:textId="77777777" w:rsidR="00182709" w:rsidRDefault="0044097C">
            <w:pPr>
              <w:spacing w:after="0"/>
            </w:pPr>
            <w:r>
              <w:rPr>
                <w:b/>
              </w:rPr>
              <w:t>1 863</w:t>
            </w:r>
          </w:p>
        </w:tc>
      </w:tr>
      <w:tr w:rsidR="00182709" w14:paraId="62612B00" w14:textId="77777777" w:rsidTr="00105FBB">
        <w:tc>
          <w:tcPr>
            <w:tcW w:w="1484" w:type="dxa"/>
          </w:tcPr>
          <w:p w14:paraId="160C9AC6" w14:textId="043F0B3D" w:rsidR="00182709" w:rsidRDefault="005641A5">
            <w:pPr>
              <w:spacing w:after="0"/>
              <w:jc w:val="left"/>
            </w:pPr>
            <w:r>
              <w:rPr>
                <w:color w:val="4472C4"/>
                <w:sz w:val="13"/>
              </w:rPr>
              <w:t>AASB 12.B12(b)(viii)</w:t>
            </w:r>
          </w:p>
        </w:tc>
        <w:tc>
          <w:tcPr>
            <w:tcW w:w="6423" w:type="dxa"/>
            <w:tcBorders>
              <w:bottom w:val="single" w:sz="12" w:space="0" w:color="auto"/>
            </w:tcBorders>
          </w:tcPr>
          <w:p w14:paraId="7C9A663B" w14:textId="77777777" w:rsidR="00182709" w:rsidRDefault="0044097C">
            <w:pPr>
              <w:spacing w:after="0"/>
              <w:jc w:val="left"/>
            </w:pPr>
            <w:r>
              <w:t>Other economic flows – other comprehensive income</w:t>
            </w:r>
          </w:p>
        </w:tc>
        <w:tc>
          <w:tcPr>
            <w:tcW w:w="866" w:type="dxa"/>
            <w:tcBorders>
              <w:bottom w:val="single" w:sz="12" w:space="0" w:color="auto"/>
            </w:tcBorders>
          </w:tcPr>
          <w:p w14:paraId="4A50F080" w14:textId="77777777" w:rsidR="00182709" w:rsidRDefault="0044097C">
            <w:pPr>
              <w:spacing w:after="0"/>
            </w:pPr>
            <w:r>
              <w:t>743</w:t>
            </w:r>
          </w:p>
        </w:tc>
        <w:tc>
          <w:tcPr>
            <w:tcW w:w="866" w:type="dxa"/>
            <w:tcBorders>
              <w:bottom w:val="single" w:sz="12" w:space="0" w:color="auto"/>
            </w:tcBorders>
          </w:tcPr>
          <w:p w14:paraId="1E273D23" w14:textId="77777777" w:rsidR="00182709" w:rsidRDefault="0044097C">
            <w:pPr>
              <w:spacing w:after="0"/>
            </w:pPr>
            <w:r>
              <w:t>800</w:t>
            </w:r>
          </w:p>
        </w:tc>
      </w:tr>
      <w:tr w:rsidR="00671D55" w14:paraId="50233144" w14:textId="77777777" w:rsidTr="00105FBB">
        <w:tc>
          <w:tcPr>
            <w:tcW w:w="1484" w:type="dxa"/>
          </w:tcPr>
          <w:p w14:paraId="44BB7D2F" w14:textId="566A1F6D" w:rsidR="00182709" w:rsidRDefault="005641A5">
            <w:pPr>
              <w:spacing w:after="0"/>
              <w:jc w:val="left"/>
            </w:pPr>
            <w:r>
              <w:rPr>
                <w:color w:val="4472C4"/>
                <w:sz w:val="13"/>
              </w:rPr>
              <w:t>AASB 12.B12 (b)(ix)</w:t>
            </w:r>
          </w:p>
        </w:tc>
        <w:tc>
          <w:tcPr>
            <w:tcW w:w="6423" w:type="dxa"/>
          </w:tcPr>
          <w:p w14:paraId="67BE5A46" w14:textId="77777777" w:rsidR="00182709" w:rsidRDefault="0044097C">
            <w:pPr>
              <w:spacing w:after="0"/>
              <w:jc w:val="left"/>
            </w:pPr>
            <w:r>
              <w:rPr>
                <w:b/>
              </w:rPr>
              <w:t>Total comprehensive income</w:t>
            </w:r>
          </w:p>
        </w:tc>
        <w:tc>
          <w:tcPr>
            <w:tcW w:w="866" w:type="dxa"/>
          </w:tcPr>
          <w:p w14:paraId="0C9A2658" w14:textId="77777777" w:rsidR="00182709" w:rsidRDefault="0044097C">
            <w:pPr>
              <w:spacing w:after="0"/>
            </w:pPr>
            <w:r>
              <w:rPr>
                <w:b/>
              </w:rPr>
              <w:t>3 757</w:t>
            </w:r>
          </w:p>
        </w:tc>
        <w:tc>
          <w:tcPr>
            <w:tcW w:w="866" w:type="dxa"/>
          </w:tcPr>
          <w:p w14:paraId="10BDBB90" w14:textId="77777777" w:rsidR="00182709" w:rsidRDefault="0044097C">
            <w:pPr>
              <w:spacing w:after="0"/>
            </w:pPr>
            <w:r>
              <w:rPr>
                <w:b/>
              </w:rPr>
              <w:t>2 663</w:t>
            </w:r>
          </w:p>
        </w:tc>
      </w:tr>
      <w:tr w:rsidR="00671D55" w14:paraId="570F3B88" w14:textId="77777777" w:rsidTr="00105FBB">
        <w:tc>
          <w:tcPr>
            <w:tcW w:w="1484" w:type="dxa"/>
          </w:tcPr>
          <w:p w14:paraId="4BF5E09F" w14:textId="77777777" w:rsidR="00182709" w:rsidRDefault="0044097C">
            <w:pPr>
              <w:spacing w:after="0"/>
              <w:jc w:val="left"/>
            </w:pPr>
            <w:r>
              <w:rPr>
                <w:color w:val="4472C4"/>
                <w:sz w:val="13"/>
              </w:rPr>
              <w:t>AASB 12.B14 (b)</w:t>
            </w:r>
          </w:p>
        </w:tc>
        <w:tc>
          <w:tcPr>
            <w:tcW w:w="6423" w:type="dxa"/>
          </w:tcPr>
          <w:p w14:paraId="32B70E34" w14:textId="77777777" w:rsidR="00182709" w:rsidRDefault="0044097C">
            <w:pPr>
              <w:spacing w:after="0"/>
              <w:jc w:val="left"/>
            </w:pPr>
            <w:r>
              <w:rPr>
                <w:b/>
              </w:rPr>
              <w:t>Movements in carrying amount of interests in the associate</w:t>
            </w:r>
          </w:p>
        </w:tc>
        <w:tc>
          <w:tcPr>
            <w:tcW w:w="866" w:type="dxa"/>
          </w:tcPr>
          <w:p w14:paraId="33A89D95" w14:textId="77777777" w:rsidR="00182709" w:rsidRDefault="00182709">
            <w:pPr>
              <w:spacing w:after="0"/>
            </w:pPr>
          </w:p>
        </w:tc>
        <w:tc>
          <w:tcPr>
            <w:tcW w:w="866" w:type="dxa"/>
          </w:tcPr>
          <w:p w14:paraId="66B23BE9" w14:textId="77777777" w:rsidR="00182709" w:rsidRDefault="00182709">
            <w:pPr>
              <w:spacing w:after="0"/>
            </w:pPr>
          </w:p>
        </w:tc>
      </w:tr>
      <w:tr w:rsidR="00182709" w14:paraId="6A1570A8" w14:textId="77777777" w:rsidTr="00105FBB">
        <w:tc>
          <w:tcPr>
            <w:tcW w:w="1484" w:type="dxa"/>
          </w:tcPr>
          <w:p w14:paraId="53861A60" w14:textId="77777777" w:rsidR="00182709" w:rsidRDefault="00182709">
            <w:pPr>
              <w:spacing w:after="0"/>
              <w:jc w:val="left"/>
            </w:pPr>
          </w:p>
        </w:tc>
        <w:tc>
          <w:tcPr>
            <w:tcW w:w="6423" w:type="dxa"/>
          </w:tcPr>
          <w:p w14:paraId="5AAEBBD3" w14:textId="77777777" w:rsidR="00182709" w:rsidRDefault="0044097C">
            <w:pPr>
              <w:spacing w:after="0"/>
              <w:jc w:val="left"/>
            </w:pPr>
            <w:r>
              <w:t>Carrying amount at the beginning of the year</w:t>
            </w:r>
          </w:p>
        </w:tc>
        <w:tc>
          <w:tcPr>
            <w:tcW w:w="866" w:type="dxa"/>
          </w:tcPr>
          <w:p w14:paraId="7C687D84" w14:textId="77777777" w:rsidR="00182709" w:rsidRDefault="0044097C">
            <w:pPr>
              <w:spacing w:after="0"/>
            </w:pPr>
            <w:r>
              <w:t>4 643</w:t>
            </w:r>
          </w:p>
        </w:tc>
        <w:tc>
          <w:tcPr>
            <w:tcW w:w="866" w:type="dxa"/>
          </w:tcPr>
          <w:p w14:paraId="4FA4386C" w14:textId="77777777" w:rsidR="00182709" w:rsidRDefault="0044097C">
            <w:pPr>
              <w:spacing w:after="0"/>
            </w:pPr>
            <w:r>
              <w:t>4 262</w:t>
            </w:r>
          </w:p>
        </w:tc>
      </w:tr>
      <w:tr w:rsidR="00182709" w14:paraId="67712422" w14:textId="77777777" w:rsidTr="00105FBB">
        <w:tc>
          <w:tcPr>
            <w:tcW w:w="1484" w:type="dxa"/>
          </w:tcPr>
          <w:p w14:paraId="538FCCAC" w14:textId="77777777" w:rsidR="00182709" w:rsidRDefault="0044097C">
            <w:pPr>
              <w:spacing w:after="0"/>
              <w:jc w:val="left"/>
            </w:pPr>
            <w:r>
              <w:rPr>
                <w:color w:val="4472C4"/>
                <w:sz w:val="13"/>
              </w:rPr>
              <w:t>AASB 12.B12(b)(vi)(vii)</w:t>
            </w:r>
          </w:p>
        </w:tc>
        <w:tc>
          <w:tcPr>
            <w:tcW w:w="6423" w:type="dxa"/>
          </w:tcPr>
          <w:p w14:paraId="4EABD50D" w14:textId="77777777" w:rsidR="00182709" w:rsidRDefault="0044097C">
            <w:pPr>
              <w:spacing w:after="0"/>
              <w:jc w:val="left"/>
            </w:pPr>
            <w:r>
              <w:rPr>
                <w:b/>
              </w:rPr>
              <w:t>Department’s share of associate’s operating statement:</w:t>
            </w:r>
          </w:p>
        </w:tc>
        <w:tc>
          <w:tcPr>
            <w:tcW w:w="866" w:type="dxa"/>
          </w:tcPr>
          <w:p w14:paraId="31192326" w14:textId="77777777" w:rsidR="00182709" w:rsidRDefault="00182709">
            <w:pPr>
              <w:spacing w:after="0"/>
            </w:pPr>
          </w:p>
        </w:tc>
        <w:tc>
          <w:tcPr>
            <w:tcW w:w="866" w:type="dxa"/>
          </w:tcPr>
          <w:p w14:paraId="2C6630F6" w14:textId="77777777" w:rsidR="00182709" w:rsidRDefault="00182709">
            <w:pPr>
              <w:spacing w:after="0"/>
            </w:pPr>
          </w:p>
        </w:tc>
      </w:tr>
      <w:tr w:rsidR="00182709" w14:paraId="3C8D75E8" w14:textId="77777777" w:rsidTr="00105FBB">
        <w:tc>
          <w:tcPr>
            <w:tcW w:w="1484" w:type="dxa"/>
          </w:tcPr>
          <w:p w14:paraId="7A84133A" w14:textId="77777777" w:rsidR="00182709" w:rsidRDefault="00182709">
            <w:pPr>
              <w:spacing w:after="0"/>
              <w:jc w:val="left"/>
            </w:pPr>
          </w:p>
        </w:tc>
        <w:tc>
          <w:tcPr>
            <w:tcW w:w="6423" w:type="dxa"/>
          </w:tcPr>
          <w:p w14:paraId="37E280F9" w14:textId="77777777" w:rsidR="00182709" w:rsidRDefault="0044097C">
            <w:pPr>
              <w:spacing w:after="0"/>
              <w:jc w:val="left"/>
            </w:pPr>
            <w:r>
              <w:t xml:space="preserve">   Share of associate’s net result after tax</w:t>
            </w:r>
          </w:p>
        </w:tc>
        <w:tc>
          <w:tcPr>
            <w:tcW w:w="866" w:type="dxa"/>
          </w:tcPr>
          <w:p w14:paraId="077A8F53" w14:textId="77777777" w:rsidR="00182709" w:rsidRDefault="0044097C">
            <w:pPr>
              <w:spacing w:after="0"/>
            </w:pPr>
            <w:r>
              <w:t>739</w:t>
            </w:r>
          </w:p>
        </w:tc>
        <w:tc>
          <w:tcPr>
            <w:tcW w:w="866" w:type="dxa"/>
          </w:tcPr>
          <w:p w14:paraId="03D925D8" w14:textId="77777777" w:rsidR="00182709" w:rsidRDefault="0044097C">
            <w:pPr>
              <w:spacing w:after="0"/>
            </w:pPr>
            <w:r>
              <w:t>456</w:t>
            </w:r>
          </w:p>
        </w:tc>
      </w:tr>
      <w:tr w:rsidR="00182709" w14:paraId="15826D53" w14:textId="77777777" w:rsidTr="00105FBB">
        <w:tc>
          <w:tcPr>
            <w:tcW w:w="1484" w:type="dxa"/>
          </w:tcPr>
          <w:p w14:paraId="19F12617" w14:textId="77777777" w:rsidR="00182709" w:rsidRDefault="00182709">
            <w:pPr>
              <w:spacing w:after="0"/>
              <w:jc w:val="left"/>
            </w:pPr>
          </w:p>
        </w:tc>
        <w:tc>
          <w:tcPr>
            <w:tcW w:w="6423" w:type="dxa"/>
          </w:tcPr>
          <w:p w14:paraId="534F0DE8" w14:textId="77777777" w:rsidR="00182709" w:rsidRDefault="0044097C">
            <w:pPr>
              <w:spacing w:after="0"/>
              <w:jc w:val="left"/>
            </w:pPr>
            <w:r>
              <w:t xml:space="preserve">   Share of associate’s other comprehensive income</w:t>
            </w:r>
          </w:p>
        </w:tc>
        <w:tc>
          <w:tcPr>
            <w:tcW w:w="866" w:type="dxa"/>
          </w:tcPr>
          <w:p w14:paraId="1AD5570C" w14:textId="77777777" w:rsidR="00182709" w:rsidRDefault="0044097C">
            <w:pPr>
              <w:spacing w:after="0"/>
            </w:pPr>
            <w:r>
              <w:t>260</w:t>
            </w:r>
          </w:p>
        </w:tc>
        <w:tc>
          <w:tcPr>
            <w:tcW w:w="866" w:type="dxa"/>
          </w:tcPr>
          <w:p w14:paraId="05793211" w14:textId="77777777" w:rsidR="00182709" w:rsidRDefault="0044097C">
            <w:pPr>
              <w:spacing w:after="0"/>
            </w:pPr>
            <w:r>
              <w:t>280</w:t>
            </w:r>
          </w:p>
        </w:tc>
      </w:tr>
      <w:tr w:rsidR="00182709" w14:paraId="1EC33707" w14:textId="77777777" w:rsidTr="00105FBB">
        <w:tc>
          <w:tcPr>
            <w:tcW w:w="1484" w:type="dxa"/>
          </w:tcPr>
          <w:p w14:paraId="47A8D701" w14:textId="77777777" w:rsidR="00182709" w:rsidRDefault="00182709">
            <w:pPr>
              <w:spacing w:after="0"/>
              <w:jc w:val="left"/>
            </w:pPr>
          </w:p>
        </w:tc>
        <w:tc>
          <w:tcPr>
            <w:tcW w:w="6423" w:type="dxa"/>
            <w:tcBorders>
              <w:bottom w:val="single" w:sz="12" w:space="0" w:color="auto"/>
            </w:tcBorders>
          </w:tcPr>
          <w:p w14:paraId="334D10A3" w14:textId="77777777" w:rsidR="00182709" w:rsidRDefault="0044097C">
            <w:pPr>
              <w:spacing w:after="0"/>
              <w:jc w:val="left"/>
            </w:pPr>
            <w:r>
              <w:t>Dividends received/receivable from associate</w:t>
            </w:r>
          </w:p>
        </w:tc>
        <w:tc>
          <w:tcPr>
            <w:tcW w:w="866" w:type="dxa"/>
            <w:tcBorders>
              <w:bottom w:val="single" w:sz="12" w:space="0" w:color="auto"/>
            </w:tcBorders>
          </w:tcPr>
          <w:p w14:paraId="2E841DCC" w14:textId="77777777" w:rsidR="00182709" w:rsidRDefault="0044097C">
            <w:pPr>
              <w:spacing w:after="0"/>
            </w:pPr>
            <w:r>
              <w:t>(455)</w:t>
            </w:r>
          </w:p>
        </w:tc>
        <w:tc>
          <w:tcPr>
            <w:tcW w:w="866" w:type="dxa"/>
            <w:tcBorders>
              <w:bottom w:val="single" w:sz="12" w:space="0" w:color="auto"/>
            </w:tcBorders>
          </w:tcPr>
          <w:p w14:paraId="1D77FA1F" w14:textId="77777777" w:rsidR="00182709" w:rsidRDefault="0044097C">
            <w:pPr>
              <w:spacing w:after="0"/>
            </w:pPr>
            <w:r>
              <w:t>(355)</w:t>
            </w:r>
          </w:p>
        </w:tc>
      </w:tr>
      <w:tr w:rsidR="00671D55" w14:paraId="07A21432" w14:textId="77777777" w:rsidTr="00105FBB">
        <w:tc>
          <w:tcPr>
            <w:tcW w:w="1484" w:type="dxa"/>
            <w:tcBorders>
              <w:bottom w:val="nil"/>
            </w:tcBorders>
          </w:tcPr>
          <w:p w14:paraId="4222D11F" w14:textId="77777777" w:rsidR="00182709" w:rsidRDefault="00182709">
            <w:pPr>
              <w:spacing w:after="0"/>
              <w:jc w:val="left"/>
            </w:pPr>
          </w:p>
        </w:tc>
        <w:tc>
          <w:tcPr>
            <w:tcW w:w="6423" w:type="dxa"/>
          </w:tcPr>
          <w:p w14:paraId="4CBD7A56" w14:textId="77777777" w:rsidR="00182709" w:rsidRDefault="0044097C">
            <w:pPr>
              <w:spacing w:after="0"/>
              <w:jc w:val="left"/>
            </w:pPr>
            <w:r>
              <w:rPr>
                <w:b/>
              </w:rPr>
              <w:t>Carrying amount at the end of the year</w:t>
            </w:r>
          </w:p>
        </w:tc>
        <w:tc>
          <w:tcPr>
            <w:tcW w:w="866" w:type="dxa"/>
          </w:tcPr>
          <w:p w14:paraId="1C0B1A8C" w14:textId="77777777" w:rsidR="00182709" w:rsidRDefault="0044097C">
            <w:pPr>
              <w:spacing w:after="0"/>
            </w:pPr>
            <w:r>
              <w:rPr>
                <w:b/>
              </w:rPr>
              <w:t>5 187</w:t>
            </w:r>
          </w:p>
        </w:tc>
        <w:tc>
          <w:tcPr>
            <w:tcW w:w="866" w:type="dxa"/>
          </w:tcPr>
          <w:p w14:paraId="71063683" w14:textId="77777777" w:rsidR="00182709" w:rsidRDefault="0044097C">
            <w:pPr>
              <w:spacing w:after="0"/>
            </w:pPr>
            <w:r>
              <w:rPr>
                <w:b/>
              </w:rPr>
              <w:t>4 643</w:t>
            </w:r>
          </w:p>
        </w:tc>
      </w:tr>
    </w:tbl>
    <w:p w14:paraId="12C4B36A" w14:textId="77777777" w:rsidR="003719CD" w:rsidRDefault="003719CD" w:rsidP="007D536F"/>
    <w:p w14:paraId="1F239F15" w14:textId="77777777" w:rsidR="003719CD" w:rsidRDefault="003719CD" w:rsidP="007D536F">
      <w:pPr>
        <w:pStyle w:val="Caption"/>
      </w:pPr>
      <w:r>
        <w:t xml:space="preserve">Technology Supplies Pty Ltd– Joint venture </w:t>
      </w:r>
      <w:r>
        <w:tab/>
        <w:t>($ thousand)</w:t>
      </w:r>
    </w:p>
    <w:tbl>
      <w:tblPr>
        <w:tblStyle w:val="DTFTable"/>
        <w:tblW w:w="9639" w:type="dxa"/>
        <w:tblLayout w:type="fixed"/>
        <w:tblLook w:val="0620" w:firstRow="1" w:lastRow="0" w:firstColumn="0" w:lastColumn="0" w:noHBand="1" w:noVBand="1"/>
      </w:tblPr>
      <w:tblGrid>
        <w:gridCol w:w="1498"/>
        <w:gridCol w:w="6409"/>
        <w:gridCol w:w="866"/>
        <w:gridCol w:w="866"/>
      </w:tblGrid>
      <w:tr w:rsidR="00105FBB" w14:paraId="619FED19" w14:textId="77777777" w:rsidTr="00105FBB">
        <w:trPr>
          <w:cnfStyle w:val="100000000000" w:firstRow="1" w:lastRow="0" w:firstColumn="0" w:lastColumn="0" w:oddVBand="0" w:evenVBand="0" w:oddHBand="0" w:evenHBand="0" w:firstRowFirstColumn="0" w:firstRowLastColumn="0" w:lastRowFirstColumn="0" w:lastRowLastColumn="0"/>
          <w:tblHeader/>
        </w:trPr>
        <w:tc>
          <w:tcPr>
            <w:tcW w:w="1498" w:type="dxa"/>
            <w:tcBorders>
              <w:top w:val="nil"/>
              <w:bottom w:val="nil"/>
            </w:tcBorders>
            <w:shd w:val="clear" w:color="auto" w:fill="FFFFFF" w:themeFill="background1"/>
          </w:tcPr>
          <w:p w14:paraId="6917DE2E" w14:textId="77777777" w:rsidR="00105FBB" w:rsidRDefault="00105FBB" w:rsidP="00105FBB">
            <w:pPr>
              <w:keepNext/>
              <w:spacing w:after="0"/>
              <w:jc w:val="left"/>
            </w:pPr>
            <w:r>
              <w:rPr>
                <w:color w:val="4472C4"/>
                <w:sz w:val="13"/>
              </w:rPr>
              <w:t>Source reference</w:t>
            </w:r>
          </w:p>
        </w:tc>
        <w:tc>
          <w:tcPr>
            <w:tcW w:w="6409" w:type="dxa"/>
          </w:tcPr>
          <w:p w14:paraId="53B3890A" w14:textId="77777777" w:rsidR="00105FBB" w:rsidRDefault="00105FBB" w:rsidP="00105FBB">
            <w:pPr>
              <w:keepNext/>
              <w:spacing w:after="0"/>
              <w:jc w:val="left"/>
            </w:pPr>
          </w:p>
        </w:tc>
        <w:tc>
          <w:tcPr>
            <w:tcW w:w="866" w:type="dxa"/>
          </w:tcPr>
          <w:p w14:paraId="299D27EA" w14:textId="0F33ADD4" w:rsidR="00105FBB" w:rsidRPr="00105FBB" w:rsidRDefault="00105FBB" w:rsidP="00105FBB">
            <w:pPr>
              <w:keepNext/>
              <w:spacing w:after="0"/>
            </w:pPr>
            <w:fldSimple w:instr="DOCPROPERTY  YearCurrent \* MERGEFORMAT">
              <w:r w:rsidRPr="00105FBB">
                <w:t>20X2</w:t>
              </w:r>
            </w:fldSimple>
          </w:p>
        </w:tc>
        <w:tc>
          <w:tcPr>
            <w:tcW w:w="866" w:type="dxa"/>
          </w:tcPr>
          <w:p w14:paraId="0D110956" w14:textId="3C4C4CFE" w:rsidR="00105FBB" w:rsidRPr="00105FBB" w:rsidRDefault="00105FBB" w:rsidP="00105FBB">
            <w:pPr>
              <w:keepNext/>
              <w:spacing w:after="0"/>
            </w:pPr>
            <w:fldSimple w:instr="DOCPROPERTY  YearPrevious  \* MERGEFORMAT">
              <w:r w:rsidRPr="00105FBB">
                <w:t>20X1</w:t>
              </w:r>
            </w:fldSimple>
          </w:p>
        </w:tc>
      </w:tr>
      <w:tr w:rsidR="00182709" w14:paraId="4F7220A4" w14:textId="77777777" w:rsidTr="00105FBB">
        <w:tc>
          <w:tcPr>
            <w:tcW w:w="1498" w:type="dxa"/>
          </w:tcPr>
          <w:p w14:paraId="4F57D583" w14:textId="77777777" w:rsidR="00182709" w:rsidRDefault="00182709">
            <w:pPr>
              <w:spacing w:after="0"/>
              <w:jc w:val="left"/>
            </w:pPr>
          </w:p>
        </w:tc>
        <w:tc>
          <w:tcPr>
            <w:tcW w:w="6409" w:type="dxa"/>
          </w:tcPr>
          <w:p w14:paraId="77A6DEF9" w14:textId="77777777" w:rsidR="00182709" w:rsidRDefault="0044097C">
            <w:pPr>
              <w:spacing w:after="0"/>
              <w:jc w:val="left"/>
            </w:pPr>
            <w:r>
              <w:rPr>
                <w:b/>
              </w:rPr>
              <w:t>Summarised balance sheet</w:t>
            </w:r>
          </w:p>
        </w:tc>
        <w:tc>
          <w:tcPr>
            <w:tcW w:w="866" w:type="dxa"/>
          </w:tcPr>
          <w:p w14:paraId="57C4F53C" w14:textId="77777777" w:rsidR="00182709" w:rsidRDefault="00182709">
            <w:pPr>
              <w:spacing w:after="0"/>
            </w:pPr>
          </w:p>
        </w:tc>
        <w:tc>
          <w:tcPr>
            <w:tcW w:w="866" w:type="dxa"/>
          </w:tcPr>
          <w:p w14:paraId="3A00E586" w14:textId="77777777" w:rsidR="00182709" w:rsidRDefault="00182709">
            <w:pPr>
              <w:spacing w:after="0"/>
            </w:pPr>
          </w:p>
        </w:tc>
      </w:tr>
      <w:tr w:rsidR="00182709" w14:paraId="288CBAE2" w14:textId="77777777" w:rsidTr="00105FBB">
        <w:tc>
          <w:tcPr>
            <w:tcW w:w="1498" w:type="dxa"/>
          </w:tcPr>
          <w:p w14:paraId="685B210C" w14:textId="77777777" w:rsidR="00182709" w:rsidRDefault="0044097C">
            <w:pPr>
              <w:spacing w:after="0"/>
              <w:jc w:val="left"/>
            </w:pPr>
            <w:r w:rsidRPr="2856114A">
              <w:rPr>
                <w:color w:val="4472C4" w:themeColor="accent1"/>
                <w:sz w:val="13"/>
                <w:szCs w:val="13"/>
              </w:rPr>
              <w:t>AASB 12.B12 (b)(i)</w:t>
            </w:r>
          </w:p>
        </w:tc>
        <w:tc>
          <w:tcPr>
            <w:tcW w:w="6409" w:type="dxa"/>
          </w:tcPr>
          <w:p w14:paraId="0B0FB1AA" w14:textId="77777777" w:rsidR="00182709" w:rsidRDefault="0044097C">
            <w:pPr>
              <w:spacing w:after="0"/>
              <w:jc w:val="left"/>
            </w:pPr>
            <w:r>
              <w:rPr>
                <w:b/>
              </w:rPr>
              <w:t>Current assets:</w:t>
            </w:r>
          </w:p>
        </w:tc>
        <w:tc>
          <w:tcPr>
            <w:tcW w:w="866" w:type="dxa"/>
          </w:tcPr>
          <w:p w14:paraId="741F743D" w14:textId="77777777" w:rsidR="00182709" w:rsidRDefault="00182709">
            <w:pPr>
              <w:spacing w:after="0"/>
            </w:pPr>
          </w:p>
        </w:tc>
        <w:tc>
          <w:tcPr>
            <w:tcW w:w="866" w:type="dxa"/>
          </w:tcPr>
          <w:p w14:paraId="75BB2BD0" w14:textId="77777777" w:rsidR="00182709" w:rsidRDefault="00182709">
            <w:pPr>
              <w:spacing w:after="0"/>
            </w:pPr>
          </w:p>
        </w:tc>
      </w:tr>
      <w:tr w:rsidR="00182709" w14:paraId="73C50BA9" w14:textId="77777777" w:rsidTr="00105FBB">
        <w:tc>
          <w:tcPr>
            <w:tcW w:w="1498" w:type="dxa"/>
          </w:tcPr>
          <w:p w14:paraId="39EA2E5E" w14:textId="77777777" w:rsidR="00182709" w:rsidRDefault="0044097C">
            <w:pPr>
              <w:spacing w:after="0"/>
              <w:jc w:val="left"/>
            </w:pPr>
            <w:r>
              <w:rPr>
                <w:color w:val="4472C4"/>
                <w:sz w:val="13"/>
              </w:rPr>
              <w:t>AASB 12.B13 (a)</w:t>
            </w:r>
          </w:p>
        </w:tc>
        <w:tc>
          <w:tcPr>
            <w:tcW w:w="6409" w:type="dxa"/>
          </w:tcPr>
          <w:p w14:paraId="6801A3D0" w14:textId="77777777" w:rsidR="00182709" w:rsidRDefault="0044097C">
            <w:pPr>
              <w:spacing w:after="0"/>
              <w:jc w:val="left"/>
            </w:pPr>
            <w:r>
              <w:t>Cash and cash equivalent</w:t>
            </w:r>
          </w:p>
        </w:tc>
        <w:tc>
          <w:tcPr>
            <w:tcW w:w="866" w:type="dxa"/>
          </w:tcPr>
          <w:p w14:paraId="21F65056" w14:textId="77777777" w:rsidR="00182709" w:rsidRDefault="0044097C">
            <w:pPr>
              <w:spacing w:after="0"/>
            </w:pPr>
            <w:r>
              <w:t>..</w:t>
            </w:r>
          </w:p>
        </w:tc>
        <w:tc>
          <w:tcPr>
            <w:tcW w:w="866" w:type="dxa"/>
          </w:tcPr>
          <w:p w14:paraId="0174AAB1" w14:textId="77777777" w:rsidR="00182709" w:rsidRDefault="0044097C">
            <w:pPr>
              <w:spacing w:after="0"/>
            </w:pPr>
            <w:r>
              <w:t>1 212</w:t>
            </w:r>
          </w:p>
        </w:tc>
      </w:tr>
      <w:tr w:rsidR="00182709" w14:paraId="4C78D7A0" w14:textId="77777777" w:rsidTr="00105FBB">
        <w:tc>
          <w:tcPr>
            <w:tcW w:w="1498" w:type="dxa"/>
          </w:tcPr>
          <w:p w14:paraId="695D378C" w14:textId="77777777" w:rsidR="00182709" w:rsidRDefault="00182709">
            <w:pPr>
              <w:spacing w:after="0"/>
              <w:jc w:val="left"/>
            </w:pPr>
          </w:p>
        </w:tc>
        <w:tc>
          <w:tcPr>
            <w:tcW w:w="6409" w:type="dxa"/>
          </w:tcPr>
          <w:p w14:paraId="3828E37B" w14:textId="77777777" w:rsidR="00182709" w:rsidRDefault="0044097C">
            <w:pPr>
              <w:spacing w:after="0"/>
              <w:jc w:val="left"/>
            </w:pPr>
            <w:r>
              <w:t>Other current assets (excluding cash)</w:t>
            </w:r>
          </w:p>
        </w:tc>
        <w:tc>
          <w:tcPr>
            <w:tcW w:w="866" w:type="dxa"/>
          </w:tcPr>
          <w:p w14:paraId="13ABB58F" w14:textId="77777777" w:rsidR="00182709" w:rsidRDefault="0044097C">
            <w:pPr>
              <w:spacing w:after="0"/>
            </w:pPr>
            <w:r>
              <w:t>..</w:t>
            </w:r>
          </w:p>
        </w:tc>
        <w:tc>
          <w:tcPr>
            <w:tcW w:w="866" w:type="dxa"/>
          </w:tcPr>
          <w:p w14:paraId="3D60FA8D" w14:textId="77777777" w:rsidR="00182709" w:rsidRDefault="0044097C">
            <w:pPr>
              <w:spacing w:after="0"/>
            </w:pPr>
            <w:r>
              <w:t>2 467</w:t>
            </w:r>
          </w:p>
        </w:tc>
      </w:tr>
      <w:tr w:rsidR="00182709" w14:paraId="30FC66A0" w14:textId="77777777" w:rsidTr="00105FBB">
        <w:tc>
          <w:tcPr>
            <w:tcW w:w="1498" w:type="dxa"/>
          </w:tcPr>
          <w:p w14:paraId="52F4FE40" w14:textId="77777777" w:rsidR="00182709" w:rsidRDefault="0044097C">
            <w:pPr>
              <w:spacing w:after="0"/>
              <w:jc w:val="left"/>
            </w:pPr>
            <w:r>
              <w:rPr>
                <w:color w:val="4472C4"/>
                <w:sz w:val="13"/>
              </w:rPr>
              <w:t>AASB 12.B12 (b)(ii)</w:t>
            </w:r>
          </w:p>
        </w:tc>
        <w:tc>
          <w:tcPr>
            <w:tcW w:w="6409" w:type="dxa"/>
            <w:tcBorders>
              <w:bottom w:val="single" w:sz="12" w:space="0" w:color="auto"/>
            </w:tcBorders>
          </w:tcPr>
          <w:p w14:paraId="1BCAB106" w14:textId="77777777" w:rsidR="00182709" w:rsidRDefault="0044097C">
            <w:pPr>
              <w:spacing w:after="0"/>
              <w:jc w:val="left"/>
            </w:pPr>
            <w:r>
              <w:t>Total non‑current assets</w:t>
            </w:r>
          </w:p>
        </w:tc>
        <w:tc>
          <w:tcPr>
            <w:tcW w:w="866" w:type="dxa"/>
            <w:tcBorders>
              <w:bottom w:val="single" w:sz="12" w:space="0" w:color="auto"/>
            </w:tcBorders>
          </w:tcPr>
          <w:p w14:paraId="49F5E981" w14:textId="77777777" w:rsidR="00182709" w:rsidRDefault="0044097C">
            <w:pPr>
              <w:spacing w:after="0"/>
            </w:pPr>
            <w:r>
              <w:t>..</w:t>
            </w:r>
          </w:p>
        </w:tc>
        <w:tc>
          <w:tcPr>
            <w:tcW w:w="866" w:type="dxa"/>
            <w:tcBorders>
              <w:bottom w:val="single" w:sz="12" w:space="0" w:color="auto"/>
            </w:tcBorders>
          </w:tcPr>
          <w:p w14:paraId="7A0BC7C9" w14:textId="77777777" w:rsidR="00182709" w:rsidRDefault="0044097C">
            <w:pPr>
              <w:spacing w:after="0"/>
            </w:pPr>
            <w:r>
              <w:t>5 701</w:t>
            </w:r>
          </w:p>
        </w:tc>
      </w:tr>
      <w:tr w:rsidR="00671D55" w14:paraId="02B2F2AB" w14:textId="77777777" w:rsidTr="00105FBB">
        <w:tc>
          <w:tcPr>
            <w:tcW w:w="1498" w:type="dxa"/>
          </w:tcPr>
          <w:p w14:paraId="5DF9E4A9" w14:textId="77777777" w:rsidR="00182709" w:rsidRDefault="00182709">
            <w:pPr>
              <w:spacing w:after="0"/>
              <w:jc w:val="left"/>
            </w:pPr>
          </w:p>
        </w:tc>
        <w:tc>
          <w:tcPr>
            <w:tcW w:w="6409" w:type="dxa"/>
          </w:tcPr>
          <w:p w14:paraId="56C60DBF" w14:textId="77777777" w:rsidR="00182709" w:rsidRDefault="0044097C">
            <w:pPr>
              <w:spacing w:after="0"/>
              <w:jc w:val="left"/>
            </w:pPr>
            <w:r>
              <w:rPr>
                <w:b/>
              </w:rPr>
              <w:t>Total assets</w:t>
            </w:r>
          </w:p>
        </w:tc>
        <w:tc>
          <w:tcPr>
            <w:tcW w:w="866" w:type="dxa"/>
          </w:tcPr>
          <w:p w14:paraId="070A36E0" w14:textId="77777777" w:rsidR="00182709" w:rsidRDefault="0044097C">
            <w:pPr>
              <w:spacing w:after="0"/>
            </w:pPr>
            <w:r>
              <w:rPr>
                <w:b/>
              </w:rPr>
              <w:t>..</w:t>
            </w:r>
          </w:p>
        </w:tc>
        <w:tc>
          <w:tcPr>
            <w:tcW w:w="866" w:type="dxa"/>
          </w:tcPr>
          <w:p w14:paraId="2DE7E4BA" w14:textId="77777777" w:rsidR="00182709" w:rsidRDefault="0044097C">
            <w:pPr>
              <w:spacing w:after="0"/>
            </w:pPr>
            <w:r>
              <w:rPr>
                <w:b/>
              </w:rPr>
              <w:t>9 380</w:t>
            </w:r>
          </w:p>
        </w:tc>
      </w:tr>
      <w:tr w:rsidR="00671D55" w14:paraId="734C5414" w14:textId="77777777" w:rsidTr="00105FBB">
        <w:tc>
          <w:tcPr>
            <w:tcW w:w="1498" w:type="dxa"/>
          </w:tcPr>
          <w:p w14:paraId="5AE6F34E" w14:textId="77777777" w:rsidR="00182709" w:rsidRDefault="0044097C">
            <w:pPr>
              <w:spacing w:after="0"/>
              <w:jc w:val="left"/>
            </w:pPr>
            <w:r>
              <w:rPr>
                <w:color w:val="4472C4"/>
                <w:sz w:val="13"/>
              </w:rPr>
              <w:t>AASB 12.B12(b (iii)</w:t>
            </w:r>
          </w:p>
        </w:tc>
        <w:tc>
          <w:tcPr>
            <w:tcW w:w="6409" w:type="dxa"/>
          </w:tcPr>
          <w:p w14:paraId="6910CEED" w14:textId="77777777" w:rsidR="00182709" w:rsidRDefault="0044097C">
            <w:pPr>
              <w:spacing w:after="0"/>
              <w:jc w:val="left"/>
            </w:pPr>
            <w:r>
              <w:rPr>
                <w:b/>
              </w:rPr>
              <w:t>Current liabilities:</w:t>
            </w:r>
          </w:p>
        </w:tc>
        <w:tc>
          <w:tcPr>
            <w:tcW w:w="866" w:type="dxa"/>
          </w:tcPr>
          <w:p w14:paraId="44DF40E6" w14:textId="77777777" w:rsidR="00182709" w:rsidRDefault="00182709">
            <w:pPr>
              <w:spacing w:after="0"/>
            </w:pPr>
          </w:p>
        </w:tc>
        <w:tc>
          <w:tcPr>
            <w:tcW w:w="866" w:type="dxa"/>
          </w:tcPr>
          <w:p w14:paraId="43C9997C" w14:textId="77777777" w:rsidR="00182709" w:rsidRDefault="00182709">
            <w:pPr>
              <w:spacing w:after="0"/>
            </w:pPr>
          </w:p>
        </w:tc>
      </w:tr>
      <w:tr w:rsidR="00182709" w14:paraId="02DE5BCB" w14:textId="77777777" w:rsidTr="00105FBB">
        <w:tc>
          <w:tcPr>
            <w:tcW w:w="1498" w:type="dxa"/>
          </w:tcPr>
          <w:p w14:paraId="587EF25D" w14:textId="77777777" w:rsidR="00182709" w:rsidRDefault="0044097C">
            <w:pPr>
              <w:spacing w:after="0"/>
              <w:jc w:val="left"/>
            </w:pPr>
            <w:r>
              <w:rPr>
                <w:color w:val="4472C4"/>
                <w:sz w:val="13"/>
              </w:rPr>
              <w:t>AASB 12.B13 (b)</w:t>
            </w:r>
          </w:p>
        </w:tc>
        <w:tc>
          <w:tcPr>
            <w:tcW w:w="6409" w:type="dxa"/>
          </w:tcPr>
          <w:p w14:paraId="1924D079" w14:textId="77777777" w:rsidR="00182709" w:rsidRDefault="0044097C">
            <w:pPr>
              <w:spacing w:after="0"/>
              <w:jc w:val="left"/>
            </w:pPr>
            <w:r>
              <w:t>Financial liabilities (excluding payables, provisions)</w:t>
            </w:r>
          </w:p>
        </w:tc>
        <w:tc>
          <w:tcPr>
            <w:tcW w:w="866" w:type="dxa"/>
          </w:tcPr>
          <w:p w14:paraId="345E8102" w14:textId="77777777" w:rsidR="00182709" w:rsidRDefault="0044097C">
            <w:pPr>
              <w:spacing w:after="0"/>
            </w:pPr>
            <w:r>
              <w:t>..</w:t>
            </w:r>
          </w:p>
        </w:tc>
        <w:tc>
          <w:tcPr>
            <w:tcW w:w="866" w:type="dxa"/>
          </w:tcPr>
          <w:p w14:paraId="2887F568" w14:textId="77777777" w:rsidR="00182709" w:rsidRDefault="0044097C">
            <w:pPr>
              <w:spacing w:after="0"/>
            </w:pPr>
            <w:r>
              <w:t>(300)</w:t>
            </w:r>
          </w:p>
        </w:tc>
      </w:tr>
      <w:tr w:rsidR="00182709" w14:paraId="6A7550A5" w14:textId="77777777" w:rsidTr="00105FBB">
        <w:tc>
          <w:tcPr>
            <w:tcW w:w="1498" w:type="dxa"/>
          </w:tcPr>
          <w:p w14:paraId="27743963" w14:textId="77777777" w:rsidR="00182709" w:rsidRDefault="00182709">
            <w:pPr>
              <w:spacing w:after="0"/>
              <w:jc w:val="left"/>
            </w:pPr>
          </w:p>
        </w:tc>
        <w:tc>
          <w:tcPr>
            <w:tcW w:w="6409" w:type="dxa"/>
          </w:tcPr>
          <w:p w14:paraId="30CA5F1D" w14:textId="77777777" w:rsidR="00182709" w:rsidRDefault="0044097C">
            <w:pPr>
              <w:spacing w:after="0"/>
              <w:jc w:val="left"/>
            </w:pPr>
            <w:r>
              <w:t>Other non‑financial liabilities (including payables, provisions)</w:t>
            </w:r>
          </w:p>
        </w:tc>
        <w:tc>
          <w:tcPr>
            <w:tcW w:w="866" w:type="dxa"/>
          </w:tcPr>
          <w:p w14:paraId="5EAFA557" w14:textId="77777777" w:rsidR="00182709" w:rsidRDefault="0044097C">
            <w:pPr>
              <w:spacing w:after="0"/>
            </w:pPr>
            <w:r>
              <w:t>..</w:t>
            </w:r>
          </w:p>
        </w:tc>
        <w:tc>
          <w:tcPr>
            <w:tcW w:w="866" w:type="dxa"/>
          </w:tcPr>
          <w:p w14:paraId="1366D13A" w14:textId="77777777" w:rsidR="00182709" w:rsidRDefault="0044097C">
            <w:pPr>
              <w:spacing w:after="0"/>
            </w:pPr>
            <w:r>
              <w:t>(751)</w:t>
            </w:r>
          </w:p>
        </w:tc>
      </w:tr>
      <w:tr w:rsidR="00182709" w14:paraId="283820BD" w14:textId="77777777" w:rsidTr="00105FBB">
        <w:tc>
          <w:tcPr>
            <w:tcW w:w="1498" w:type="dxa"/>
          </w:tcPr>
          <w:p w14:paraId="31A3BB16" w14:textId="77777777" w:rsidR="00182709" w:rsidRDefault="00182709">
            <w:pPr>
              <w:spacing w:after="0"/>
              <w:jc w:val="left"/>
            </w:pPr>
          </w:p>
        </w:tc>
        <w:tc>
          <w:tcPr>
            <w:tcW w:w="6409" w:type="dxa"/>
          </w:tcPr>
          <w:p w14:paraId="714CF91B" w14:textId="77777777" w:rsidR="00182709" w:rsidRDefault="0044097C">
            <w:pPr>
              <w:spacing w:after="0"/>
              <w:jc w:val="left"/>
            </w:pPr>
            <w:r>
              <w:rPr>
                <w:b/>
              </w:rPr>
              <w:t>Non‑current liabilities:</w:t>
            </w:r>
          </w:p>
        </w:tc>
        <w:tc>
          <w:tcPr>
            <w:tcW w:w="866" w:type="dxa"/>
          </w:tcPr>
          <w:p w14:paraId="30FD70E7" w14:textId="77777777" w:rsidR="00182709" w:rsidRDefault="00182709">
            <w:pPr>
              <w:spacing w:after="0"/>
            </w:pPr>
          </w:p>
        </w:tc>
        <w:tc>
          <w:tcPr>
            <w:tcW w:w="866" w:type="dxa"/>
          </w:tcPr>
          <w:p w14:paraId="05E11D92" w14:textId="77777777" w:rsidR="00182709" w:rsidRDefault="00182709">
            <w:pPr>
              <w:spacing w:after="0"/>
            </w:pPr>
          </w:p>
        </w:tc>
      </w:tr>
      <w:tr w:rsidR="00182709" w14:paraId="0BE4550F" w14:textId="77777777" w:rsidTr="00105FBB">
        <w:tc>
          <w:tcPr>
            <w:tcW w:w="1498" w:type="dxa"/>
          </w:tcPr>
          <w:p w14:paraId="0C4CBD11" w14:textId="77777777" w:rsidR="00182709" w:rsidRDefault="00182709">
            <w:pPr>
              <w:spacing w:after="0"/>
              <w:jc w:val="left"/>
            </w:pPr>
          </w:p>
        </w:tc>
        <w:tc>
          <w:tcPr>
            <w:tcW w:w="6409" w:type="dxa"/>
          </w:tcPr>
          <w:p w14:paraId="76FDF6CF" w14:textId="77777777" w:rsidR="00182709" w:rsidRDefault="0044097C">
            <w:pPr>
              <w:spacing w:after="0"/>
              <w:jc w:val="left"/>
            </w:pPr>
            <w:r>
              <w:t>Financial liabilities (excluding payables, provisions)</w:t>
            </w:r>
          </w:p>
        </w:tc>
        <w:tc>
          <w:tcPr>
            <w:tcW w:w="866" w:type="dxa"/>
          </w:tcPr>
          <w:p w14:paraId="07F267E7" w14:textId="77777777" w:rsidR="00182709" w:rsidRDefault="0044097C">
            <w:pPr>
              <w:spacing w:after="0"/>
            </w:pPr>
            <w:r>
              <w:t>..</w:t>
            </w:r>
          </w:p>
        </w:tc>
        <w:tc>
          <w:tcPr>
            <w:tcW w:w="866" w:type="dxa"/>
          </w:tcPr>
          <w:p w14:paraId="7988B067" w14:textId="77777777" w:rsidR="00182709" w:rsidRDefault="0044097C">
            <w:pPr>
              <w:spacing w:after="0"/>
            </w:pPr>
            <w:r>
              <w:t>(1 150)</w:t>
            </w:r>
          </w:p>
        </w:tc>
      </w:tr>
      <w:tr w:rsidR="00182709" w14:paraId="2004F402" w14:textId="77777777" w:rsidTr="00105FBB">
        <w:tc>
          <w:tcPr>
            <w:tcW w:w="1498" w:type="dxa"/>
          </w:tcPr>
          <w:p w14:paraId="519FDAD1" w14:textId="77777777" w:rsidR="00182709" w:rsidRDefault="00182709">
            <w:pPr>
              <w:spacing w:after="0"/>
              <w:jc w:val="left"/>
            </w:pPr>
          </w:p>
        </w:tc>
        <w:tc>
          <w:tcPr>
            <w:tcW w:w="6409" w:type="dxa"/>
          </w:tcPr>
          <w:p w14:paraId="7C9A70DE" w14:textId="77777777" w:rsidR="00182709" w:rsidRDefault="0044097C">
            <w:pPr>
              <w:spacing w:after="0"/>
              <w:jc w:val="left"/>
            </w:pPr>
            <w:r>
              <w:t>Other non‑financial liabilities (including payables, provisions)</w:t>
            </w:r>
          </w:p>
        </w:tc>
        <w:tc>
          <w:tcPr>
            <w:tcW w:w="866" w:type="dxa"/>
          </w:tcPr>
          <w:p w14:paraId="4BE8F8E5" w14:textId="77777777" w:rsidR="00182709" w:rsidRDefault="0044097C">
            <w:pPr>
              <w:spacing w:after="0"/>
            </w:pPr>
            <w:r>
              <w:t>..</w:t>
            </w:r>
          </w:p>
        </w:tc>
        <w:tc>
          <w:tcPr>
            <w:tcW w:w="866" w:type="dxa"/>
          </w:tcPr>
          <w:p w14:paraId="43A159F5" w14:textId="77777777" w:rsidR="00182709" w:rsidRDefault="0044097C">
            <w:pPr>
              <w:spacing w:after="0"/>
            </w:pPr>
            <w:r>
              <w:t>(1 303)</w:t>
            </w:r>
          </w:p>
        </w:tc>
      </w:tr>
      <w:tr w:rsidR="00182709" w14:paraId="7B8B9712" w14:textId="77777777" w:rsidTr="00105FBB">
        <w:tc>
          <w:tcPr>
            <w:tcW w:w="1498" w:type="dxa"/>
          </w:tcPr>
          <w:p w14:paraId="7911A8B2" w14:textId="77777777" w:rsidR="00182709" w:rsidRDefault="00182709">
            <w:pPr>
              <w:spacing w:after="0"/>
              <w:jc w:val="left"/>
            </w:pPr>
          </w:p>
        </w:tc>
        <w:tc>
          <w:tcPr>
            <w:tcW w:w="6409" w:type="dxa"/>
            <w:tcBorders>
              <w:bottom w:val="single" w:sz="12" w:space="0" w:color="auto"/>
            </w:tcBorders>
          </w:tcPr>
          <w:p w14:paraId="3581A8CE" w14:textId="77777777" w:rsidR="00182709" w:rsidRDefault="0044097C">
            <w:pPr>
              <w:spacing w:after="0"/>
              <w:jc w:val="left"/>
            </w:pPr>
            <w:r>
              <w:rPr>
                <w:b/>
              </w:rPr>
              <w:t>Total liabilities</w:t>
            </w:r>
          </w:p>
        </w:tc>
        <w:tc>
          <w:tcPr>
            <w:tcW w:w="866" w:type="dxa"/>
            <w:tcBorders>
              <w:bottom w:val="single" w:sz="12" w:space="0" w:color="auto"/>
            </w:tcBorders>
          </w:tcPr>
          <w:p w14:paraId="4A35AF4B" w14:textId="77777777" w:rsidR="00182709" w:rsidRDefault="0044097C">
            <w:pPr>
              <w:spacing w:after="0"/>
            </w:pPr>
            <w:r>
              <w:rPr>
                <w:b/>
              </w:rPr>
              <w:t>..</w:t>
            </w:r>
          </w:p>
        </w:tc>
        <w:tc>
          <w:tcPr>
            <w:tcW w:w="866" w:type="dxa"/>
            <w:tcBorders>
              <w:bottom w:val="single" w:sz="12" w:space="0" w:color="auto"/>
            </w:tcBorders>
          </w:tcPr>
          <w:p w14:paraId="08929C87" w14:textId="77777777" w:rsidR="00182709" w:rsidRDefault="0044097C">
            <w:pPr>
              <w:spacing w:after="0"/>
            </w:pPr>
            <w:r>
              <w:rPr>
                <w:b/>
              </w:rPr>
              <w:t>(3 504)</w:t>
            </w:r>
          </w:p>
        </w:tc>
      </w:tr>
      <w:tr w:rsidR="00671D55" w14:paraId="5BC04F84" w14:textId="77777777" w:rsidTr="00105FBB">
        <w:tc>
          <w:tcPr>
            <w:tcW w:w="1498" w:type="dxa"/>
          </w:tcPr>
          <w:p w14:paraId="352F77F0" w14:textId="77777777" w:rsidR="00182709" w:rsidRDefault="00182709">
            <w:pPr>
              <w:spacing w:after="0"/>
              <w:jc w:val="left"/>
            </w:pPr>
          </w:p>
        </w:tc>
        <w:tc>
          <w:tcPr>
            <w:tcW w:w="6409" w:type="dxa"/>
          </w:tcPr>
          <w:p w14:paraId="79190953" w14:textId="77777777" w:rsidR="00182709" w:rsidRDefault="0044097C">
            <w:pPr>
              <w:spacing w:after="0"/>
              <w:jc w:val="left"/>
            </w:pPr>
            <w:r>
              <w:rPr>
                <w:b/>
              </w:rPr>
              <w:t>Net assets</w:t>
            </w:r>
          </w:p>
        </w:tc>
        <w:tc>
          <w:tcPr>
            <w:tcW w:w="866" w:type="dxa"/>
          </w:tcPr>
          <w:p w14:paraId="5087BEDF" w14:textId="77777777" w:rsidR="00182709" w:rsidRDefault="0044097C">
            <w:pPr>
              <w:spacing w:after="0"/>
            </w:pPr>
            <w:r>
              <w:rPr>
                <w:b/>
              </w:rPr>
              <w:t>..</w:t>
            </w:r>
          </w:p>
        </w:tc>
        <w:tc>
          <w:tcPr>
            <w:tcW w:w="866" w:type="dxa"/>
          </w:tcPr>
          <w:p w14:paraId="02B24576" w14:textId="77777777" w:rsidR="00182709" w:rsidRDefault="0044097C">
            <w:pPr>
              <w:spacing w:after="0"/>
            </w:pPr>
            <w:r>
              <w:rPr>
                <w:b/>
              </w:rPr>
              <w:t>5 876</w:t>
            </w:r>
          </w:p>
        </w:tc>
      </w:tr>
      <w:tr w:rsidR="00671D55" w14:paraId="45284B4E" w14:textId="77777777" w:rsidTr="00105FBB">
        <w:tc>
          <w:tcPr>
            <w:tcW w:w="1498" w:type="dxa"/>
          </w:tcPr>
          <w:p w14:paraId="2BEC7BEA" w14:textId="77777777" w:rsidR="00182709" w:rsidRDefault="00182709">
            <w:pPr>
              <w:spacing w:after="0"/>
              <w:jc w:val="left"/>
            </w:pPr>
          </w:p>
        </w:tc>
        <w:tc>
          <w:tcPr>
            <w:tcW w:w="6409" w:type="dxa"/>
          </w:tcPr>
          <w:p w14:paraId="2A5A8A41" w14:textId="77777777" w:rsidR="00182709" w:rsidRDefault="0044097C">
            <w:pPr>
              <w:spacing w:after="0"/>
              <w:jc w:val="left"/>
            </w:pPr>
            <w:r>
              <w:rPr>
                <w:b/>
              </w:rPr>
              <w:t>Summarised operating statement</w:t>
            </w:r>
          </w:p>
        </w:tc>
        <w:tc>
          <w:tcPr>
            <w:tcW w:w="866" w:type="dxa"/>
          </w:tcPr>
          <w:p w14:paraId="6E76AA6D" w14:textId="77777777" w:rsidR="00182709" w:rsidRDefault="00182709">
            <w:pPr>
              <w:spacing w:after="0"/>
            </w:pPr>
          </w:p>
        </w:tc>
        <w:tc>
          <w:tcPr>
            <w:tcW w:w="866" w:type="dxa"/>
          </w:tcPr>
          <w:p w14:paraId="597512BE" w14:textId="77777777" w:rsidR="00182709" w:rsidRDefault="00182709">
            <w:pPr>
              <w:spacing w:after="0"/>
            </w:pPr>
          </w:p>
        </w:tc>
      </w:tr>
      <w:tr w:rsidR="00182709" w14:paraId="7554624A" w14:textId="77777777" w:rsidTr="00105FBB">
        <w:tc>
          <w:tcPr>
            <w:tcW w:w="1498" w:type="dxa"/>
          </w:tcPr>
          <w:p w14:paraId="34BA1A26" w14:textId="77777777" w:rsidR="00182709" w:rsidRDefault="0044097C">
            <w:pPr>
              <w:spacing w:after="0"/>
              <w:jc w:val="left"/>
            </w:pPr>
            <w:r>
              <w:rPr>
                <w:color w:val="4472C4"/>
                <w:sz w:val="13"/>
              </w:rPr>
              <w:t>AASB 12.B12 (b)(v)</w:t>
            </w:r>
          </w:p>
        </w:tc>
        <w:tc>
          <w:tcPr>
            <w:tcW w:w="6409" w:type="dxa"/>
          </w:tcPr>
          <w:p w14:paraId="6289E9DC" w14:textId="77777777" w:rsidR="00182709" w:rsidRDefault="0044097C">
            <w:pPr>
              <w:spacing w:after="0"/>
              <w:jc w:val="left"/>
            </w:pPr>
            <w:r>
              <w:t>Revenue</w:t>
            </w:r>
          </w:p>
        </w:tc>
        <w:tc>
          <w:tcPr>
            <w:tcW w:w="866" w:type="dxa"/>
          </w:tcPr>
          <w:p w14:paraId="5FDD96C1" w14:textId="77777777" w:rsidR="00182709" w:rsidRDefault="0044097C">
            <w:pPr>
              <w:spacing w:after="0"/>
            </w:pPr>
            <w:r>
              <w:t>..</w:t>
            </w:r>
          </w:p>
        </w:tc>
        <w:tc>
          <w:tcPr>
            <w:tcW w:w="866" w:type="dxa"/>
          </w:tcPr>
          <w:p w14:paraId="52ED514A" w14:textId="77777777" w:rsidR="00182709" w:rsidRDefault="0044097C">
            <w:pPr>
              <w:spacing w:after="0"/>
            </w:pPr>
            <w:r>
              <w:t>9 055</w:t>
            </w:r>
          </w:p>
        </w:tc>
      </w:tr>
      <w:tr w:rsidR="00182709" w14:paraId="61B2D6C5" w14:textId="77777777" w:rsidTr="00105FBB">
        <w:tc>
          <w:tcPr>
            <w:tcW w:w="1498" w:type="dxa"/>
          </w:tcPr>
          <w:p w14:paraId="414BABFE" w14:textId="77777777" w:rsidR="00182709" w:rsidRDefault="0044097C">
            <w:pPr>
              <w:spacing w:after="0"/>
              <w:jc w:val="left"/>
            </w:pPr>
            <w:r>
              <w:rPr>
                <w:color w:val="4472C4"/>
                <w:sz w:val="13"/>
              </w:rPr>
              <w:t>AASB 12.B13 (e)</w:t>
            </w:r>
          </w:p>
        </w:tc>
        <w:tc>
          <w:tcPr>
            <w:tcW w:w="6409" w:type="dxa"/>
          </w:tcPr>
          <w:p w14:paraId="0F11F389" w14:textId="77777777" w:rsidR="00182709" w:rsidRDefault="0044097C">
            <w:pPr>
              <w:spacing w:after="0"/>
              <w:jc w:val="left"/>
            </w:pPr>
            <w:r>
              <w:t>Interest income</w:t>
            </w:r>
          </w:p>
        </w:tc>
        <w:tc>
          <w:tcPr>
            <w:tcW w:w="866" w:type="dxa"/>
          </w:tcPr>
          <w:p w14:paraId="3EB89474" w14:textId="77777777" w:rsidR="00182709" w:rsidRDefault="0044097C">
            <w:pPr>
              <w:spacing w:after="0"/>
            </w:pPr>
            <w:r>
              <w:t>..</w:t>
            </w:r>
          </w:p>
        </w:tc>
        <w:tc>
          <w:tcPr>
            <w:tcW w:w="866" w:type="dxa"/>
          </w:tcPr>
          <w:p w14:paraId="4A23FD22" w14:textId="77777777" w:rsidR="00182709" w:rsidRDefault="0044097C">
            <w:pPr>
              <w:spacing w:after="0"/>
            </w:pPr>
            <w:r>
              <w:t>350</w:t>
            </w:r>
          </w:p>
        </w:tc>
      </w:tr>
      <w:tr w:rsidR="00182709" w14:paraId="65A571E3" w14:textId="77777777" w:rsidTr="00105FBB">
        <w:tc>
          <w:tcPr>
            <w:tcW w:w="1498" w:type="dxa"/>
          </w:tcPr>
          <w:p w14:paraId="24E6201B" w14:textId="77777777" w:rsidR="00182709" w:rsidRDefault="0044097C">
            <w:pPr>
              <w:spacing w:after="0"/>
              <w:jc w:val="left"/>
            </w:pPr>
            <w:r>
              <w:rPr>
                <w:color w:val="4472C4"/>
                <w:sz w:val="13"/>
              </w:rPr>
              <w:t>AASB 12.B13 (d)</w:t>
            </w:r>
          </w:p>
        </w:tc>
        <w:tc>
          <w:tcPr>
            <w:tcW w:w="6409" w:type="dxa"/>
          </w:tcPr>
          <w:p w14:paraId="2B6A6BCD" w14:textId="77777777" w:rsidR="00182709" w:rsidRDefault="0044097C">
            <w:pPr>
              <w:spacing w:after="0"/>
              <w:jc w:val="left"/>
            </w:pPr>
            <w:r>
              <w:t>Depreciation</w:t>
            </w:r>
          </w:p>
        </w:tc>
        <w:tc>
          <w:tcPr>
            <w:tcW w:w="866" w:type="dxa"/>
          </w:tcPr>
          <w:p w14:paraId="2CB64F98" w14:textId="77777777" w:rsidR="00182709" w:rsidRDefault="0044097C">
            <w:pPr>
              <w:spacing w:after="0"/>
            </w:pPr>
            <w:r>
              <w:t>..</w:t>
            </w:r>
          </w:p>
        </w:tc>
        <w:tc>
          <w:tcPr>
            <w:tcW w:w="866" w:type="dxa"/>
          </w:tcPr>
          <w:p w14:paraId="691855EE" w14:textId="77777777" w:rsidR="00182709" w:rsidRDefault="0044097C">
            <w:pPr>
              <w:spacing w:after="0"/>
            </w:pPr>
            <w:r>
              <w:t>(265)</w:t>
            </w:r>
          </w:p>
        </w:tc>
      </w:tr>
      <w:tr w:rsidR="00182709" w14:paraId="58513192" w14:textId="77777777" w:rsidTr="00105FBB">
        <w:tc>
          <w:tcPr>
            <w:tcW w:w="1498" w:type="dxa"/>
          </w:tcPr>
          <w:p w14:paraId="170EF6EC" w14:textId="09833745" w:rsidR="00182709" w:rsidRDefault="00AC786A">
            <w:pPr>
              <w:spacing w:after="0"/>
              <w:jc w:val="left"/>
            </w:pPr>
            <w:r>
              <w:rPr>
                <w:color w:val="4472C4"/>
                <w:sz w:val="13"/>
              </w:rPr>
              <w:t>AASB 12.B13 (f)</w:t>
            </w:r>
          </w:p>
        </w:tc>
        <w:tc>
          <w:tcPr>
            <w:tcW w:w="6409" w:type="dxa"/>
          </w:tcPr>
          <w:p w14:paraId="34236CF7" w14:textId="77777777" w:rsidR="00182709" w:rsidRDefault="0044097C">
            <w:pPr>
              <w:spacing w:after="0"/>
              <w:jc w:val="left"/>
            </w:pPr>
            <w:r>
              <w:t>Interest expense</w:t>
            </w:r>
          </w:p>
        </w:tc>
        <w:tc>
          <w:tcPr>
            <w:tcW w:w="866" w:type="dxa"/>
          </w:tcPr>
          <w:p w14:paraId="4E18002B" w14:textId="77777777" w:rsidR="00182709" w:rsidRDefault="0044097C">
            <w:pPr>
              <w:spacing w:after="0"/>
            </w:pPr>
            <w:r>
              <w:t>..</w:t>
            </w:r>
          </w:p>
        </w:tc>
        <w:tc>
          <w:tcPr>
            <w:tcW w:w="866" w:type="dxa"/>
          </w:tcPr>
          <w:p w14:paraId="09CB538E" w14:textId="77777777" w:rsidR="00182709" w:rsidRDefault="0044097C">
            <w:pPr>
              <w:spacing w:after="0"/>
            </w:pPr>
            <w:r>
              <w:t>(1 250)</w:t>
            </w:r>
          </w:p>
        </w:tc>
      </w:tr>
      <w:tr w:rsidR="00182709" w14:paraId="770F3765" w14:textId="77777777" w:rsidTr="00105FBB">
        <w:tc>
          <w:tcPr>
            <w:tcW w:w="1498" w:type="dxa"/>
          </w:tcPr>
          <w:p w14:paraId="3DE796B7" w14:textId="4C947718" w:rsidR="00182709" w:rsidRDefault="00182709">
            <w:pPr>
              <w:spacing w:after="0"/>
              <w:jc w:val="left"/>
            </w:pPr>
          </w:p>
        </w:tc>
        <w:tc>
          <w:tcPr>
            <w:tcW w:w="6409" w:type="dxa"/>
          </w:tcPr>
          <w:p w14:paraId="788DBACD" w14:textId="77777777" w:rsidR="00182709" w:rsidRDefault="0044097C">
            <w:pPr>
              <w:spacing w:after="0"/>
              <w:jc w:val="left"/>
            </w:pPr>
            <w:r>
              <w:t>Total income from transactions</w:t>
            </w:r>
          </w:p>
        </w:tc>
        <w:tc>
          <w:tcPr>
            <w:tcW w:w="866" w:type="dxa"/>
          </w:tcPr>
          <w:p w14:paraId="70443FE2" w14:textId="77777777" w:rsidR="00182709" w:rsidRDefault="00182709">
            <w:pPr>
              <w:spacing w:after="0"/>
            </w:pPr>
          </w:p>
        </w:tc>
        <w:tc>
          <w:tcPr>
            <w:tcW w:w="866" w:type="dxa"/>
          </w:tcPr>
          <w:p w14:paraId="0553B339" w14:textId="77777777" w:rsidR="00182709" w:rsidRDefault="0044097C">
            <w:pPr>
              <w:spacing w:after="0"/>
            </w:pPr>
            <w:r>
              <w:t>7 890</w:t>
            </w:r>
          </w:p>
        </w:tc>
      </w:tr>
      <w:tr w:rsidR="00182709" w14:paraId="3F580F36" w14:textId="77777777" w:rsidTr="00105FBB">
        <w:tc>
          <w:tcPr>
            <w:tcW w:w="1498" w:type="dxa"/>
          </w:tcPr>
          <w:p w14:paraId="1DCD058B" w14:textId="77777777" w:rsidR="00182709" w:rsidRDefault="0044097C">
            <w:pPr>
              <w:spacing w:after="0"/>
              <w:jc w:val="left"/>
            </w:pPr>
            <w:r>
              <w:rPr>
                <w:color w:val="4472C4"/>
                <w:sz w:val="13"/>
              </w:rPr>
              <w:t>AASB 12.B12 (b)(vi)</w:t>
            </w:r>
          </w:p>
        </w:tc>
        <w:tc>
          <w:tcPr>
            <w:tcW w:w="6409" w:type="dxa"/>
          </w:tcPr>
          <w:p w14:paraId="5D5A760B" w14:textId="77777777" w:rsidR="00182709" w:rsidRDefault="0044097C">
            <w:pPr>
              <w:spacing w:after="0"/>
              <w:jc w:val="left"/>
            </w:pPr>
            <w:r>
              <w:t>Net result from continuing operation</w:t>
            </w:r>
          </w:p>
        </w:tc>
        <w:tc>
          <w:tcPr>
            <w:tcW w:w="866" w:type="dxa"/>
          </w:tcPr>
          <w:p w14:paraId="726F67F3" w14:textId="77777777" w:rsidR="00182709" w:rsidRDefault="0044097C">
            <w:pPr>
              <w:spacing w:after="0"/>
            </w:pPr>
            <w:r>
              <w:t>..</w:t>
            </w:r>
          </w:p>
        </w:tc>
        <w:tc>
          <w:tcPr>
            <w:tcW w:w="866" w:type="dxa"/>
          </w:tcPr>
          <w:p w14:paraId="36F3BAF5" w14:textId="77777777" w:rsidR="00182709" w:rsidRDefault="0044097C">
            <w:pPr>
              <w:spacing w:after="0"/>
            </w:pPr>
            <w:r>
              <w:t>2 536</w:t>
            </w:r>
          </w:p>
        </w:tc>
      </w:tr>
      <w:tr w:rsidR="00182709" w14:paraId="29B81D3B" w14:textId="77777777" w:rsidTr="00105FBB">
        <w:tc>
          <w:tcPr>
            <w:tcW w:w="1498" w:type="dxa"/>
          </w:tcPr>
          <w:p w14:paraId="304C6C06" w14:textId="48B2FA63" w:rsidR="00182709" w:rsidRDefault="00B62700">
            <w:pPr>
              <w:spacing w:after="0"/>
              <w:jc w:val="left"/>
            </w:pPr>
            <w:r>
              <w:rPr>
                <w:color w:val="4472C4"/>
                <w:sz w:val="13"/>
              </w:rPr>
              <w:t>AASB 12.B12(b)(vii)</w:t>
            </w:r>
          </w:p>
        </w:tc>
        <w:tc>
          <w:tcPr>
            <w:tcW w:w="6409" w:type="dxa"/>
          </w:tcPr>
          <w:p w14:paraId="7ED9011C" w14:textId="77777777" w:rsidR="00182709" w:rsidRDefault="0044097C">
            <w:pPr>
              <w:spacing w:after="0"/>
              <w:jc w:val="left"/>
            </w:pPr>
            <w:r>
              <w:t>Net result from discontinuing operation</w:t>
            </w:r>
          </w:p>
        </w:tc>
        <w:tc>
          <w:tcPr>
            <w:tcW w:w="866" w:type="dxa"/>
          </w:tcPr>
          <w:p w14:paraId="660C94B1" w14:textId="77777777" w:rsidR="00182709" w:rsidRDefault="0044097C">
            <w:pPr>
              <w:spacing w:after="0"/>
            </w:pPr>
            <w:r>
              <w:t>..</w:t>
            </w:r>
          </w:p>
        </w:tc>
        <w:tc>
          <w:tcPr>
            <w:tcW w:w="866" w:type="dxa"/>
          </w:tcPr>
          <w:p w14:paraId="0BB13E85" w14:textId="77777777" w:rsidR="00182709" w:rsidRDefault="0044097C">
            <w:pPr>
              <w:spacing w:after="0"/>
            </w:pPr>
            <w:r>
              <w:t>447</w:t>
            </w:r>
          </w:p>
        </w:tc>
      </w:tr>
      <w:tr w:rsidR="00182709" w14:paraId="70BBE600" w14:textId="77777777" w:rsidTr="00105FBB">
        <w:tc>
          <w:tcPr>
            <w:tcW w:w="1498" w:type="dxa"/>
          </w:tcPr>
          <w:p w14:paraId="17461AA8" w14:textId="1EAAB8F8" w:rsidR="00182709" w:rsidRDefault="00182709">
            <w:pPr>
              <w:spacing w:after="0"/>
              <w:jc w:val="left"/>
            </w:pPr>
          </w:p>
        </w:tc>
        <w:tc>
          <w:tcPr>
            <w:tcW w:w="6409" w:type="dxa"/>
          </w:tcPr>
          <w:p w14:paraId="777957AD" w14:textId="77777777" w:rsidR="00182709" w:rsidRDefault="0044097C">
            <w:pPr>
              <w:spacing w:after="0"/>
              <w:jc w:val="left"/>
            </w:pPr>
            <w:r>
              <w:rPr>
                <w:b/>
              </w:rPr>
              <w:t>Net result</w:t>
            </w:r>
          </w:p>
        </w:tc>
        <w:tc>
          <w:tcPr>
            <w:tcW w:w="866" w:type="dxa"/>
          </w:tcPr>
          <w:p w14:paraId="05256DFB" w14:textId="77777777" w:rsidR="00182709" w:rsidRDefault="0044097C">
            <w:pPr>
              <w:spacing w:after="0"/>
            </w:pPr>
            <w:r>
              <w:rPr>
                <w:b/>
              </w:rPr>
              <w:t>..</w:t>
            </w:r>
          </w:p>
        </w:tc>
        <w:tc>
          <w:tcPr>
            <w:tcW w:w="866" w:type="dxa"/>
          </w:tcPr>
          <w:p w14:paraId="07F8D97B" w14:textId="77777777" w:rsidR="00182709" w:rsidRDefault="0044097C">
            <w:pPr>
              <w:spacing w:after="0"/>
            </w:pPr>
            <w:r>
              <w:rPr>
                <w:b/>
              </w:rPr>
              <w:t>2 983</w:t>
            </w:r>
          </w:p>
        </w:tc>
      </w:tr>
      <w:tr w:rsidR="00182709" w14:paraId="59D8C27B" w14:textId="77777777" w:rsidTr="00105FBB">
        <w:tc>
          <w:tcPr>
            <w:tcW w:w="1498" w:type="dxa"/>
          </w:tcPr>
          <w:p w14:paraId="73736F2E" w14:textId="77777777" w:rsidR="00182709" w:rsidRDefault="0044097C">
            <w:pPr>
              <w:spacing w:after="0"/>
              <w:jc w:val="left"/>
            </w:pPr>
            <w:r>
              <w:rPr>
                <w:color w:val="4472C4"/>
                <w:sz w:val="13"/>
              </w:rPr>
              <w:t>AASB 12.B12(b)(viii)</w:t>
            </w:r>
          </w:p>
        </w:tc>
        <w:tc>
          <w:tcPr>
            <w:tcW w:w="6409" w:type="dxa"/>
            <w:tcBorders>
              <w:bottom w:val="single" w:sz="12" w:space="0" w:color="auto"/>
            </w:tcBorders>
          </w:tcPr>
          <w:p w14:paraId="2E7D282E" w14:textId="77777777" w:rsidR="00182709" w:rsidRDefault="0044097C">
            <w:pPr>
              <w:spacing w:after="0"/>
              <w:jc w:val="left"/>
            </w:pPr>
            <w:r>
              <w:t>Other economic flows – other comprehensive income</w:t>
            </w:r>
          </w:p>
        </w:tc>
        <w:tc>
          <w:tcPr>
            <w:tcW w:w="866" w:type="dxa"/>
            <w:tcBorders>
              <w:bottom w:val="single" w:sz="12" w:space="0" w:color="auto"/>
            </w:tcBorders>
          </w:tcPr>
          <w:p w14:paraId="127B38EB" w14:textId="77777777" w:rsidR="00182709" w:rsidRDefault="0044097C">
            <w:pPr>
              <w:spacing w:after="0"/>
            </w:pPr>
            <w:r>
              <w:t>..</w:t>
            </w:r>
          </w:p>
        </w:tc>
        <w:tc>
          <w:tcPr>
            <w:tcW w:w="866" w:type="dxa"/>
            <w:tcBorders>
              <w:bottom w:val="single" w:sz="12" w:space="0" w:color="auto"/>
            </w:tcBorders>
          </w:tcPr>
          <w:p w14:paraId="1C43386F" w14:textId="77777777" w:rsidR="00182709" w:rsidRDefault="0044097C">
            <w:pPr>
              <w:spacing w:after="0"/>
            </w:pPr>
            <w:r>
              <w:t>..</w:t>
            </w:r>
          </w:p>
        </w:tc>
      </w:tr>
      <w:tr w:rsidR="00671D55" w14:paraId="164DEE1D" w14:textId="77777777" w:rsidTr="00105FBB">
        <w:tc>
          <w:tcPr>
            <w:tcW w:w="1498" w:type="dxa"/>
          </w:tcPr>
          <w:p w14:paraId="6BA9BF73" w14:textId="77777777" w:rsidR="00182709" w:rsidRDefault="0044097C">
            <w:pPr>
              <w:spacing w:after="0"/>
              <w:jc w:val="left"/>
            </w:pPr>
            <w:r w:rsidRPr="2856114A">
              <w:rPr>
                <w:color w:val="4472C4" w:themeColor="accent1"/>
                <w:sz w:val="13"/>
                <w:szCs w:val="13"/>
              </w:rPr>
              <w:t>AASB 12.B12(b)(ix</w:t>
            </w:r>
          </w:p>
        </w:tc>
        <w:tc>
          <w:tcPr>
            <w:tcW w:w="6409" w:type="dxa"/>
          </w:tcPr>
          <w:p w14:paraId="6A2285A7" w14:textId="77777777" w:rsidR="00182709" w:rsidRDefault="0044097C">
            <w:pPr>
              <w:spacing w:after="0"/>
              <w:jc w:val="left"/>
            </w:pPr>
            <w:r>
              <w:rPr>
                <w:b/>
              </w:rPr>
              <w:t>Total comprehensive income</w:t>
            </w:r>
          </w:p>
        </w:tc>
        <w:tc>
          <w:tcPr>
            <w:tcW w:w="866" w:type="dxa"/>
          </w:tcPr>
          <w:p w14:paraId="496E40A4" w14:textId="77777777" w:rsidR="00182709" w:rsidRDefault="0044097C">
            <w:pPr>
              <w:spacing w:after="0"/>
            </w:pPr>
            <w:r>
              <w:rPr>
                <w:b/>
              </w:rPr>
              <w:t>..</w:t>
            </w:r>
          </w:p>
        </w:tc>
        <w:tc>
          <w:tcPr>
            <w:tcW w:w="866" w:type="dxa"/>
          </w:tcPr>
          <w:p w14:paraId="25B2BFC7" w14:textId="77777777" w:rsidR="00182709" w:rsidRDefault="0044097C">
            <w:pPr>
              <w:spacing w:after="0"/>
            </w:pPr>
            <w:r>
              <w:rPr>
                <w:b/>
              </w:rPr>
              <w:t>2 983</w:t>
            </w:r>
          </w:p>
        </w:tc>
      </w:tr>
      <w:tr w:rsidR="00671D55" w14:paraId="14EF8A25" w14:textId="77777777" w:rsidTr="00105FBB">
        <w:tc>
          <w:tcPr>
            <w:tcW w:w="1498" w:type="dxa"/>
          </w:tcPr>
          <w:p w14:paraId="5C5F0C19" w14:textId="77777777" w:rsidR="00182709" w:rsidRDefault="0044097C">
            <w:pPr>
              <w:spacing w:after="0"/>
              <w:jc w:val="left"/>
            </w:pPr>
            <w:r>
              <w:rPr>
                <w:color w:val="4472C4"/>
                <w:sz w:val="13"/>
              </w:rPr>
              <w:t>AASB 12.B14 (b)</w:t>
            </w:r>
          </w:p>
        </w:tc>
        <w:tc>
          <w:tcPr>
            <w:tcW w:w="6409" w:type="dxa"/>
          </w:tcPr>
          <w:p w14:paraId="455FF85E" w14:textId="77777777" w:rsidR="00182709" w:rsidRDefault="0044097C">
            <w:pPr>
              <w:spacing w:after="0"/>
              <w:jc w:val="left"/>
            </w:pPr>
            <w:r>
              <w:rPr>
                <w:b/>
              </w:rPr>
              <w:t>Movements in carrying amount of interests in the joint venture</w:t>
            </w:r>
          </w:p>
        </w:tc>
        <w:tc>
          <w:tcPr>
            <w:tcW w:w="866" w:type="dxa"/>
          </w:tcPr>
          <w:p w14:paraId="0DC80D76" w14:textId="77777777" w:rsidR="00182709" w:rsidRDefault="00182709">
            <w:pPr>
              <w:spacing w:after="0"/>
            </w:pPr>
          </w:p>
        </w:tc>
        <w:tc>
          <w:tcPr>
            <w:tcW w:w="866" w:type="dxa"/>
          </w:tcPr>
          <w:p w14:paraId="4EB91D24" w14:textId="77777777" w:rsidR="00182709" w:rsidRDefault="00182709">
            <w:pPr>
              <w:spacing w:after="0"/>
            </w:pPr>
          </w:p>
        </w:tc>
      </w:tr>
      <w:tr w:rsidR="00182709" w14:paraId="20CB176B" w14:textId="77777777" w:rsidTr="00105FBB">
        <w:tc>
          <w:tcPr>
            <w:tcW w:w="1498" w:type="dxa"/>
          </w:tcPr>
          <w:p w14:paraId="439CEA58" w14:textId="77777777" w:rsidR="00182709" w:rsidRDefault="00182709">
            <w:pPr>
              <w:spacing w:after="0"/>
              <w:jc w:val="left"/>
            </w:pPr>
          </w:p>
        </w:tc>
        <w:tc>
          <w:tcPr>
            <w:tcW w:w="6409" w:type="dxa"/>
          </w:tcPr>
          <w:p w14:paraId="75D7092F" w14:textId="77777777" w:rsidR="00182709" w:rsidRDefault="0044097C">
            <w:pPr>
              <w:spacing w:after="0"/>
              <w:jc w:val="left"/>
            </w:pPr>
            <w:r>
              <w:t>Carrying amount at the beginning of the year</w:t>
            </w:r>
          </w:p>
        </w:tc>
        <w:tc>
          <w:tcPr>
            <w:tcW w:w="866" w:type="dxa"/>
          </w:tcPr>
          <w:p w14:paraId="55883A65" w14:textId="77777777" w:rsidR="00182709" w:rsidRDefault="0044097C">
            <w:pPr>
              <w:spacing w:after="0"/>
            </w:pPr>
            <w:r>
              <w:t>..</w:t>
            </w:r>
          </w:p>
        </w:tc>
        <w:tc>
          <w:tcPr>
            <w:tcW w:w="866" w:type="dxa"/>
          </w:tcPr>
          <w:p w14:paraId="66352B4D" w14:textId="77777777" w:rsidR="00182709" w:rsidRDefault="0044097C">
            <w:pPr>
              <w:spacing w:after="0"/>
            </w:pPr>
            <w:r>
              <w:t>1 104</w:t>
            </w:r>
          </w:p>
        </w:tc>
      </w:tr>
      <w:tr w:rsidR="00182709" w14:paraId="4E982ED6" w14:textId="77777777" w:rsidTr="00105FBB">
        <w:tc>
          <w:tcPr>
            <w:tcW w:w="1498" w:type="dxa"/>
          </w:tcPr>
          <w:p w14:paraId="2A4E33AC" w14:textId="77777777" w:rsidR="00182709" w:rsidRDefault="0044097C">
            <w:pPr>
              <w:spacing w:after="0"/>
              <w:jc w:val="left"/>
            </w:pPr>
            <w:r>
              <w:rPr>
                <w:color w:val="4472C4"/>
                <w:sz w:val="13"/>
              </w:rPr>
              <w:t>AASB 12.B12(b)(vi)(vii)</w:t>
            </w:r>
          </w:p>
        </w:tc>
        <w:tc>
          <w:tcPr>
            <w:tcW w:w="6409" w:type="dxa"/>
          </w:tcPr>
          <w:p w14:paraId="1521121F" w14:textId="77777777" w:rsidR="00182709" w:rsidRDefault="0044097C">
            <w:pPr>
              <w:spacing w:after="0"/>
              <w:jc w:val="left"/>
            </w:pPr>
            <w:r>
              <w:rPr>
                <w:b/>
              </w:rPr>
              <w:t>Department’s share of interests in the joint venture’s operating statement:</w:t>
            </w:r>
          </w:p>
        </w:tc>
        <w:tc>
          <w:tcPr>
            <w:tcW w:w="866" w:type="dxa"/>
          </w:tcPr>
          <w:p w14:paraId="30C0F16D" w14:textId="77777777" w:rsidR="00182709" w:rsidRDefault="00182709">
            <w:pPr>
              <w:spacing w:after="0"/>
            </w:pPr>
          </w:p>
        </w:tc>
        <w:tc>
          <w:tcPr>
            <w:tcW w:w="866" w:type="dxa"/>
          </w:tcPr>
          <w:p w14:paraId="74FAA4FB" w14:textId="77777777" w:rsidR="00182709" w:rsidRDefault="00182709">
            <w:pPr>
              <w:spacing w:after="0"/>
            </w:pPr>
          </w:p>
        </w:tc>
      </w:tr>
      <w:tr w:rsidR="00182709" w14:paraId="01DC5636" w14:textId="77777777" w:rsidTr="00105FBB">
        <w:tc>
          <w:tcPr>
            <w:tcW w:w="1498" w:type="dxa"/>
          </w:tcPr>
          <w:p w14:paraId="3F49B91C" w14:textId="77777777" w:rsidR="00182709" w:rsidRDefault="00182709">
            <w:pPr>
              <w:spacing w:after="0"/>
              <w:jc w:val="left"/>
            </w:pPr>
          </w:p>
        </w:tc>
        <w:tc>
          <w:tcPr>
            <w:tcW w:w="6409" w:type="dxa"/>
          </w:tcPr>
          <w:p w14:paraId="0A4F3A32" w14:textId="77777777" w:rsidR="00182709" w:rsidRDefault="0044097C">
            <w:pPr>
              <w:spacing w:after="0"/>
              <w:jc w:val="left"/>
            </w:pPr>
            <w:r>
              <w:t xml:space="preserve">   Share of joint venture’s net result after tax</w:t>
            </w:r>
          </w:p>
        </w:tc>
        <w:tc>
          <w:tcPr>
            <w:tcW w:w="866" w:type="dxa"/>
          </w:tcPr>
          <w:p w14:paraId="1C784D88" w14:textId="77777777" w:rsidR="00182709" w:rsidRDefault="0044097C">
            <w:pPr>
              <w:spacing w:after="0"/>
            </w:pPr>
            <w:r>
              <w:t>..</w:t>
            </w:r>
          </w:p>
        </w:tc>
        <w:tc>
          <w:tcPr>
            <w:tcW w:w="866" w:type="dxa"/>
          </w:tcPr>
          <w:p w14:paraId="4E432B2E" w14:textId="77777777" w:rsidR="00182709" w:rsidRDefault="0044097C">
            <w:pPr>
              <w:spacing w:after="0"/>
            </w:pPr>
            <w:r>
              <w:t>522</w:t>
            </w:r>
          </w:p>
        </w:tc>
      </w:tr>
      <w:tr w:rsidR="00182709" w14:paraId="55337C24" w14:textId="77777777" w:rsidTr="00105FBB">
        <w:tc>
          <w:tcPr>
            <w:tcW w:w="1498" w:type="dxa"/>
          </w:tcPr>
          <w:p w14:paraId="7CE40891" w14:textId="77777777" w:rsidR="00182709" w:rsidRDefault="00182709">
            <w:pPr>
              <w:spacing w:after="0"/>
              <w:jc w:val="left"/>
            </w:pPr>
          </w:p>
        </w:tc>
        <w:tc>
          <w:tcPr>
            <w:tcW w:w="6409" w:type="dxa"/>
          </w:tcPr>
          <w:p w14:paraId="5329904C" w14:textId="77777777" w:rsidR="00182709" w:rsidRDefault="0044097C">
            <w:pPr>
              <w:spacing w:after="0"/>
              <w:jc w:val="left"/>
            </w:pPr>
            <w:r>
              <w:t xml:space="preserve">   Share of joint venture’s other comprehensive income</w:t>
            </w:r>
          </w:p>
        </w:tc>
        <w:tc>
          <w:tcPr>
            <w:tcW w:w="866" w:type="dxa"/>
          </w:tcPr>
          <w:p w14:paraId="7C919A7C" w14:textId="77777777" w:rsidR="00182709" w:rsidRDefault="0044097C">
            <w:pPr>
              <w:spacing w:after="0"/>
            </w:pPr>
            <w:r>
              <w:t>..</w:t>
            </w:r>
          </w:p>
        </w:tc>
        <w:tc>
          <w:tcPr>
            <w:tcW w:w="866" w:type="dxa"/>
          </w:tcPr>
          <w:p w14:paraId="78E06FF1" w14:textId="77777777" w:rsidR="00182709" w:rsidRDefault="0044097C">
            <w:pPr>
              <w:spacing w:after="0"/>
            </w:pPr>
            <w:r>
              <w:t>..</w:t>
            </w:r>
          </w:p>
        </w:tc>
      </w:tr>
      <w:tr w:rsidR="00182709" w14:paraId="2C4FA4D4" w14:textId="77777777" w:rsidTr="00105FBB">
        <w:tc>
          <w:tcPr>
            <w:tcW w:w="1498" w:type="dxa"/>
          </w:tcPr>
          <w:p w14:paraId="332E5A34" w14:textId="77777777" w:rsidR="00182709" w:rsidRDefault="00182709">
            <w:pPr>
              <w:spacing w:after="0"/>
              <w:jc w:val="left"/>
            </w:pPr>
          </w:p>
        </w:tc>
        <w:tc>
          <w:tcPr>
            <w:tcW w:w="6409" w:type="dxa"/>
            <w:tcBorders>
              <w:bottom w:val="single" w:sz="12" w:space="0" w:color="auto"/>
            </w:tcBorders>
          </w:tcPr>
          <w:p w14:paraId="144750AA" w14:textId="77777777" w:rsidR="00182709" w:rsidRDefault="0044097C">
            <w:pPr>
              <w:spacing w:after="0"/>
              <w:jc w:val="left"/>
            </w:pPr>
            <w:r>
              <w:t>Dividends received/receivable from joint venture</w:t>
            </w:r>
          </w:p>
        </w:tc>
        <w:tc>
          <w:tcPr>
            <w:tcW w:w="866" w:type="dxa"/>
            <w:tcBorders>
              <w:bottom w:val="single" w:sz="12" w:space="0" w:color="auto"/>
            </w:tcBorders>
          </w:tcPr>
          <w:p w14:paraId="0EEE4016" w14:textId="77777777" w:rsidR="00182709" w:rsidRDefault="0044097C">
            <w:pPr>
              <w:spacing w:after="0"/>
            </w:pPr>
            <w:r>
              <w:t>..</w:t>
            </w:r>
          </w:p>
        </w:tc>
        <w:tc>
          <w:tcPr>
            <w:tcW w:w="866" w:type="dxa"/>
            <w:tcBorders>
              <w:bottom w:val="single" w:sz="12" w:space="0" w:color="auto"/>
            </w:tcBorders>
          </w:tcPr>
          <w:p w14:paraId="651D338D" w14:textId="77777777" w:rsidR="00182709" w:rsidRDefault="0044097C">
            <w:pPr>
              <w:spacing w:after="0"/>
            </w:pPr>
            <w:r>
              <w:t>(157)</w:t>
            </w:r>
          </w:p>
        </w:tc>
      </w:tr>
      <w:tr w:rsidR="00671D55" w14:paraId="67838BD0" w14:textId="77777777" w:rsidTr="00105FBB">
        <w:tc>
          <w:tcPr>
            <w:tcW w:w="1498" w:type="dxa"/>
            <w:tcBorders>
              <w:bottom w:val="nil"/>
            </w:tcBorders>
          </w:tcPr>
          <w:p w14:paraId="0673357B" w14:textId="77777777" w:rsidR="00182709" w:rsidRDefault="00182709">
            <w:pPr>
              <w:spacing w:after="0"/>
              <w:jc w:val="left"/>
            </w:pPr>
          </w:p>
        </w:tc>
        <w:tc>
          <w:tcPr>
            <w:tcW w:w="6409" w:type="dxa"/>
          </w:tcPr>
          <w:p w14:paraId="0CD768B5" w14:textId="77777777" w:rsidR="00182709" w:rsidRDefault="0044097C">
            <w:pPr>
              <w:spacing w:after="0"/>
              <w:jc w:val="left"/>
            </w:pPr>
            <w:r>
              <w:rPr>
                <w:b/>
              </w:rPr>
              <w:t>Carrying amount at the end of the year</w:t>
            </w:r>
          </w:p>
        </w:tc>
        <w:tc>
          <w:tcPr>
            <w:tcW w:w="866" w:type="dxa"/>
          </w:tcPr>
          <w:p w14:paraId="3ED8A3FF" w14:textId="77777777" w:rsidR="00182709" w:rsidRDefault="0044097C">
            <w:pPr>
              <w:spacing w:after="0"/>
            </w:pPr>
            <w:r>
              <w:rPr>
                <w:b/>
              </w:rPr>
              <w:t>..</w:t>
            </w:r>
          </w:p>
        </w:tc>
        <w:tc>
          <w:tcPr>
            <w:tcW w:w="866" w:type="dxa"/>
          </w:tcPr>
          <w:p w14:paraId="181848FA" w14:textId="77777777" w:rsidR="00182709" w:rsidRDefault="0044097C">
            <w:pPr>
              <w:spacing w:after="0"/>
            </w:pPr>
            <w:r>
              <w:rPr>
                <w:b/>
              </w:rPr>
              <w:t>1 469</w:t>
            </w:r>
          </w:p>
        </w:tc>
      </w:tr>
    </w:tbl>
    <w:p w14:paraId="6DCC2442" w14:textId="77777777" w:rsidR="003719CD" w:rsidRDefault="003719CD" w:rsidP="007D536F"/>
    <w:p w14:paraId="4B97EA8B" w14:textId="77777777" w:rsidR="003719CD" w:rsidRDefault="003719CD" w:rsidP="007D536F">
      <w:pPr>
        <w:pStyle w:val="GuidanceBlockHeading"/>
      </w:pPr>
      <w:r>
        <w:lastRenderedPageBreak/>
        <w:t>Guidance – Investments accounted using the equity method</w:t>
      </w:r>
    </w:p>
    <w:p w14:paraId="1E0DA5FF" w14:textId="77777777" w:rsidR="003719CD" w:rsidRPr="00267675" w:rsidRDefault="003719CD" w:rsidP="007D536F">
      <w:pPr>
        <w:rPr>
          <w:rStyle w:val="Guidance"/>
        </w:rPr>
      </w:pPr>
      <w:r w:rsidRPr="00267675">
        <w:rPr>
          <w:rStyle w:val="Guidance"/>
        </w:rPr>
        <w:t xml:space="preserve">AASB 11 </w:t>
      </w:r>
      <w:r w:rsidRPr="00954740">
        <w:rPr>
          <w:rStyle w:val="Guidance"/>
          <w:i/>
          <w:iCs/>
        </w:rPr>
        <w:t>Joint Arrangements</w:t>
      </w:r>
      <w:r w:rsidRPr="00267675">
        <w:rPr>
          <w:rStyle w:val="Guidance"/>
        </w:rPr>
        <w:t xml:space="preserve"> defines a joint arrangement as an arrangement of which two or more parties have joint control. A joint arrangement is either a joint operation or a joint venture, depending upon the rights and obligations of the parties to the arrangement. </w:t>
      </w:r>
    </w:p>
    <w:p w14:paraId="0CA5F6C4" w14:textId="77777777" w:rsidR="003719CD" w:rsidRPr="00267675" w:rsidRDefault="003719CD" w:rsidP="007D536F">
      <w:pPr>
        <w:pStyle w:val="GuidanceHeading"/>
        <w:rPr>
          <w:rStyle w:val="Guidance"/>
        </w:rPr>
      </w:pPr>
      <w:r w:rsidRPr="00267675">
        <w:rPr>
          <w:rStyle w:val="Guidance"/>
        </w:rPr>
        <w:t>Accounting for joint ventures using the equity method</w:t>
      </w:r>
    </w:p>
    <w:p w14:paraId="55F8697C" w14:textId="77777777" w:rsidR="003719CD" w:rsidRPr="00267675" w:rsidRDefault="003719CD" w:rsidP="007D536F">
      <w:pPr>
        <w:rPr>
          <w:rStyle w:val="Guidance"/>
        </w:rPr>
      </w:pPr>
      <w:r w:rsidRPr="00267675">
        <w:rPr>
          <w:rStyle w:val="Guidance"/>
        </w:rPr>
        <w:t xml:space="preserve">A joint venture is a joint arrangement whereby the parties that have joint control of the arrangement have rights to the net assets of the arrangement. </w:t>
      </w:r>
      <w:r w:rsidRPr="00954740">
        <w:rPr>
          <w:rStyle w:val="Reference"/>
        </w:rPr>
        <w:t>[AASB 11.16]</w:t>
      </w:r>
    </w:p>
    <w:p w14:paraId="35F3A14D" w14:textId="77777777" w:rsidR="003719CD" w:rsidRPr="00267675" w:rsidRDefault="003719CD" w:rsidP="007D536F">
      <w:pPr>
        <w:rPr>
          <w:rStyle w:val="Guidance"/>
        </w:rPr>
      </w:pPr>
      <w:r w:rsidRPr="00267675">
        <w:rPr>
          <w:rStyle w:val="Guidance"/>
        </w:rPr>
        <w:t xml:space="preserve">A joint venturer shall recognise its interest in a joint venture as an investment and shall account for that investment using the equity method in accordance with AASB 128 </w:t>
      </w:r>
      <w:r w:rsidRPr="00954740">
        <w:rPr>
          <w:rStyle w:val="Guidance"/>
          <w:i/>
          <w:iCs/>
        </w:rPr>
        <w:t>Investments in Associates and Joint Ventures</w:t>
      </w:r>
      <w:r w:rsidRPr="00267675">
        <w:rPr>
          <w:rStyle w:val="Guidance"/>
        </w:rPr>
        <w:t xml:space="preserve"> unless the entity is exempted from applying the equity method as specified in that standard. </w:t>
      </w:r>
      <w:r w:rsidRPr="00954740">
        <w:rPr>
          <w:rStyle w:val="Reference"/>
        </w:rPr>
        <w:t>[AASB 11.24]</w:t>
      </w:r>
    </w:p>
    <w:p w14:paraId="5E7FC5FC" w14:textId="77777777" w:rsidR="003719CD" w:rsidRPr="00954740" w:rsidRDefault="003719CD" w:rsidP="007D536F">
      <w:pPr>
        <w:rPr>
          <w:rStyle w:val="Reference"/>
        </w:rPr>
      </w:pPr>
      <w:r w:rsidRPr="007B41A6">
        <w:rPr>
          <w:rStyle w:val="Guidance"/>
          <w:b/>
          <w:bCs/>
        </w:rPr>
        <w:t>Application of equity method</w:t>
      </w:r>
      <w:r w:rsidRPr="00267675">
        <w:rPr>
          <w:rStyle w:val="Guidance"/>
        </w:rPr>
        <w:t xml:space="preserve">: Under the equity method, on initial recognition the investment in an associate or a joint venture is recognised at cost, and the carrying amount is increased or decreased to recognise the investor’s share of the profit or loss of the investee after the date of acquisition. The investor’s share of the investee’s profit or loss is recognised in the investor’s profit or loss. Distributions received from an investee reduce the carrying amount of the investment. Adjustments to the carrying amount may also be necessary for changes in the investor’s proportionate interest in the investee arising from changes in the investee’s other comprehensive income. Such changes include those arising from the revaluation of property, plant and equipment and from foreign exchange translation differences. The investor’s share of those changes is recognised in the investor’s other comprehensive income. </w:t>
      </w:r>
      <w:r w:rsidRPr="00954740">
        <w:rPr>
          <w:rStyle w:val="Reference"/>
        </w:rPr>
        <w:t>[AASB 128.10]</w:t>
      </w:r>
    </w:p>
    <w:p w14:paraId="66DB4B88" w14:textId="77777777" w:rsidR="003719CD" w:rsidRPr="00267675" w:rsidRDefault="003719CD" w:rsidP="007D536F">
      <w:pPr>
        <w:rPr>
          <w:rStyle w:val="Guidance"/>
        </w:rPr>
      </w:pPr>
      <w:r w:rsidRPr="007B41A6">
        <w:rPr>
          <w:rStyle w:val="Guidance"/>
          <w:b/>
          <w:bCs/>
        </w:rPr>
        <w:t>Significant judgements and assumptions</w:t>
      </w:r>
      <w:r w:rsidRPr="00267675">
        <w:rPr>
          <w:rStyle w:val="Guidance"/>
        </w:rPr>
        <w:t xml:space="preserve">: Disclose information about significant judgements and assumptions it has made (and changes to those judgements and assumptions) in determining: </w:t>
      </w:r>
    </w:p>
    <w:p w14:paraId="05ED8B55" w14:textId="7B97AD15" w:rsidR="003719CD" w:rsidRPr="00267675" w:rsidRDefault="003719CD" w:rsidP="00310F12">
      <w:pPr>
        <w:pStyle w:val="ListBullet"/>
        <w:rPr>
          <w:rStyle w:val="Guidance"/>
        </w:rPr>
      </w:pPr>
      <w:r w:rsidRPr="00267675">
        <w:rPr>
          <w:rStyle w:val="Guidance"/>
        </w:rPr>
        <w:t>that it has joint control of an arrangement or significant influence over another entity</w:t>
      </w:r>
    </w:p>
    <w:p w14:paraId="0506F714" w14:textId="77777777" w:rsidR="003719CD" w:rsidRPr="00267675" w:rsidRDefault="003719CD" w:rsidP="00310F12">
      <w:pPr>
        <w:pStyle w:val="ListBullet"/>
        <w:rPr>
          <w:rStyle w:val="Guidance"/>
        </w:rPr>
      </w:pPr>
      <w:r w:rsidRPr="00267675">
        <w:rPr>
          <w:rStyle w:val="Guidance"/>
        </w:rPr>
        <w:t>the type of joint arrangement (i.e. joint operation or joint venture) when the arrangement has been structured through a separate vehicle.</w:t>
      </w:r>
    </w:p>
    <w:p w14:paraId="77415A68" w14:textId="677139E7" w:rsidR="003719CD" w:rsidRPr="00267675" w:rsidRDefault="003719CD" w:rsidP="007D536F">
      <w:pPr>
        <w:rPr>
          <w:rStyle w:val="Guidance"/>
        </w:rPr>
      </w:pPr>
      <w:r w:rsidRPr="00267675">
        <w:rPr>
          <w:rStyle w:val="Guidance"/>
        </w:rPr>
        <w:t>Specifically, an entity shall disclose, for example, significant judgements and assumptions made in determining that</w:t>
      </w:r>
      <w:r w:rsidR="00B879B2">
        <w:rPr>
          <w:rStyle w:val="Guidance"/>
        </w:rPr>
        <w:t xml:space="preserve"> it either</w:t>
      </w:r>
      <w:r w:rsidRPr="00267675">
        <w:rPr>
          <w:rStyle w:val="Guidance"/>
        </w:rPr>
        <w:t xml:space="preserve">: </w:t>
      </w:r>
    </w:p>
    <w:p w14:paraId="21364510" w14:textId="3523C9F4" w:rsidR="003719CD" w:rsidRPr="00267675" w:rsidRDefault="003719CD" w:rsidP="00310F12">
      <w:pPr>
        <w:pStyle w:val="ListBullet"/>
        <w:rPr>
          <w:rStyle w:val="Guidance"/>
        </w:rPr>
      </w:pPr>
      <w:r w:rsidRPr="00267675">
        <w:rPr>
          <w:rStyle w:val="Guidance"/>
        </w:rPr>
        <w:t>does not have significant influence even though it holds 20 per cent or more of the voting rights of another entity</w:t>
      </w:r>
    </w:p>
    <w:p w14:paraId="3A044543" w14:textId="390770FB" w:rsidR="003719CD" w:rsidRPr="00267675" w:rsidRDefault="003719CD" w:rsidP="00310F12">
      <w:pPr>
        <w:pStyle w:val="ListBullet"/>
        <w:rPr>
          <w:rStyle w:val="Guidance"/>
        </w:rPr>
      </w:pPr>
      <w:r w:rsidRPr="00267675">
        <w:rPr>
          <w:rStyle w:val="Guidance"/>
        </w:rPr>
        <w:t>has significant influence even though it holds less than 20 per cent of the voting rights of another entity.</w:t>
      </w:r>
    </w:p>
    <w:p w14:paraId="50E1FBFF" w14:textId="77777777" w:rsidR="003719CD" w:rsidRPr="00267675" w:rsidRDefault="003719CD" w:rsidP="007D536F">
      <w:pPr>
        <w:pStyle w:val="GuidanceHeading"/>
        <w:rPr>
          <w:rStyle w:val="Guidance"/>
        </w:rPr>
      </w:pPr>
      <w:r w:rsidRPr="00267675">
        <w:rPr>
          <w:rStyle w:val="Guidance"/>
        </w:rPr>
        <w:t>Nature, extent and financial effects of an entity’s interests in joint arrangements and associates</w:t>
      </w:r>
    </w:p>
    <w:p w14:paraId="156C464F" w14:textId="77777777" w:rsidR="005F5CA9" w:rsidRDefault="00B879B2" w:rsidP="00EE78AC">
      <w:pPr>
        <w:pStyle w:val="ListBullet"/>
        <w:numPr>
          <w:ilvl w:val="0"/>
          <w:numId w:val="0"/>
        </w:numPr>
        <w:ind w:left="284" w:hanging="284"/>
        <w:rPr>
          <w:rStyle w:val="Guidance"/>
          <w:b/>
          <w:sz w:val="20"/>
        </w:rPr>
      </w:pPr>
      <w:r>
        <w:rPr>
          <w:rStyle w:val="Guidance"/>
        </w:rPr>
        <w:t>An entity shall disclose</w:t>
      </w:r>
      <w:r w:rsidR="005F5CA9">
        <w:rPr>
          <w:rStyle w:val="Guidance"/>
        </w:rPr>
        <w:t>:</w:t>
      </w:r>
    </w:p>
    <w:p w14:paraId="2F9AA80B" w14:textId="77777777" w:rsidR="003719CD" w:rsidRPr="00267675" w:rsidRDefault="003719CD" w:rsidP="00310F12">
      <w:pPr>
        <w:pStyle w:val="ListBullet"/>
        <w:rPr>
          <w:rStyle w:val="Guidance"/>
        </w:rPr>
      </w:pPr>
      <w:r w:rsidRPr="00267675">
        <w:rPr>
          <w:rStyle w:val="Guidance"/>
        </w:rPr>
        <w:t xml:space="preserve">for each joint arrangement and associate that is material to the reporting entity: </w:t>
      </w:r>
    </w:p>
    <w:p w14:paraId="5B2D77F3" w14:textId="66B4825D" w:rsidR="003719CD" w:rsidRPr="00267675" w:rsidRDefault="003719CD" w:rsidP="006D0A09">
      <w:pPr>
        <w:pStyle w:val="ListBullet2"/>
        <w:rPr>
          <w:rStyle w:val="Guidance"/>
        </w:rPr>
      </w:pPr>
      <w:r w:rsidRPr="00267675">
        <w:rPr>
          <w:rStyle w:val="Guidance"/>
        </w:rPr>
        <w:t>the name of the joint arrangement or associate</w:t>
      </w:r>
    </w:p>
    <w:p w14:paraId="7A5F89D4" w14:textId="5A650300" w:rsidR="003719CD" w:rsidRPr="00267675" w:rsidRDefault="003719CD" w:rsidP="006D0A09">
      <w:pPr>
        <w:pStyle w:val="ListBullet2"/>
        <w:rPr>
          <w:rStyle w:val="Guidance"/>
        </w:rPr>
      </w:pPr>
      <w:r w:rsidRPr="00267675">
        <w:rPr>
          <w:rStyle w:val="Guidance"/>
        </w:rPr>
        <w:t>the nature of the entity’s relationship with the joint arrangement or associate (</w:t>
      </w:r>
      <w:r w:rsidR="00E17D29">
        <w:rPr>
          <w:rStyle w:val="Guidance"/>
        </w:rPr>
        <w:t>e.g. by</w:t>
      </w:r>
      <w:r w:rsidRPr="00267675">
        <w:rPr>
          <w:rStyle w:val="Guidance"/>
        </w:rPr>
        <w:t xml:space="preserve"> describing the nature of the activities of the joint arrangement or associate and whether they are strategic to the entity’s activities)</w:t>
      </w:r>
    </w:p>
    <w:p w14:paraId="3E378114" w14:textId="57F32E8C" w:rsidR="003719CD" w:rsidRPr="00267675" w:rsidRDefault="003719CD" w:rsidP="006D0A09">
      <w:pPr>
        <w:pStyle w:val="ListBullet2"/>
        <w:rPr>
          <w:rStyle w:val="Guidance"/>
        </w:rPr>
      </w:pPr>
      <w:r w:rsidRPr="00267675">
        <w:rPr>
          <w:rStyle w:val="Guidance"/>
        </w:rPr>
        <w:t>the principal place of business (and country of incorporation, if applicable and different from the principal place of business) of the joint arrangement or associate</w:t>
      </w:r>
    </w:p>
    <w:p w14:paraId="725FA7DE" w14:textId="274DA154" w:rsidR="003719CD" w:rsidRPr="00267675" w:rsidRDefault="003719CD" w:rsidP="006D0A09">
      <w:pPr>
        <w:pStyle w:val="ListBullet2"/>
        <w:rPr>
          <w:rStyle w:val="Guidance"/>
        </w:rPr>
      </w:pPr>
      <w:r w:rsidRPr="00267675">
        <w:rPr>
          <w:rStyle w:val="Guidance"/>
        </w:rPr>
        <w:t>the proportion of ownership interest or participating share held by the entity and, if different, the proportion of voting rights held (if applicable)</w:t>
      </w:r>
      <w:r w:rsidR="00127B8C">
        <w:rPr>
          <w:rStyle w:val="Guidance"/>
        </w:rPr>
        <w:t>.</w:t>
      </w:r>
    </w:p>
    <w:p w14:paraId="5AB7D40D" w14:textId="6832DFA4" w:rsidR="003719CD" w:rsidRPr="00267675" w:rsidRDefault="003719CD" w:rsidP="00310F12">
      <w:pPr>
        <w:pStyle w:val="ListBullet"/>
        <w:rPr>
          <w:rStyle w:val="Guidance"/>
        </w:rPr>
      </w:pPr>
      <w:r w:rsidRPr="00267675">
        <w:rPr>
          <w:rStyle w:val="Guidance"/>
        </w:rPr>
        <w:t>for each joint venture and associate that is material to the reporting entity</w:t>
      </w:r>
      <w:r w:rsidR="00127B8C">
        <w:rPr>
          <w:rStyle w:val="Guidance"/>
        </w:rPr>
        <w:t>:</w:t>
      </w:r>
    </w:p>
    <w:p w14:paraId="594EDFD9" w14:textId="02BA8567" w:rsidR="003719CD" w:rsidRPr="00267675" w:rsidRDefault="003719CD" w:rsidP="006D0A09">
      <w:pPr>
        <w:pStyle w:val="ListBullet2"/>
        <w:rPr>
          <w:rStyle w:val="Guidance"/>
        </w:rPr>
      </w:pPr>
      <w:r w:rsidRPr="00267675">
        <w:rPr>
          <w:rStyle w:val="Guidance"/>
        </w:rPr>
        <w:t>whether the investment in the joint venture or associate is measured using the equity method or at fair value</w:t>
      </w:r>
    </w:p>
    <w:p w14:paraId="41EE5B9A" w14:textId="489C6655" w:rsidR="003719CD" w:rsidRPr="00267675" w:rsidRDefault="003719CD" w:rsidP="006D0A09">
      <w:pPr>
        <w:pStyle w:val="ListBullet2"/>
        <w:rPr>
          <w:rStyle w:val="Guidance"/>
        </w:rPr>
      </w:pPr>
      <w:r w:rsidRPr="00267675">
        <w:rPr>
          <w:rStyle w:val="Guidance"/>
        </w:rPr>
        <w:t>summarised financial information about the joint venture or associate as specified in paragraphs B12 and B13 of AASB 12</w:t>
      </w:r>
    </w:p>
    <w:p w14:paraId="703CFFA1" w14:textId="330EA146" w:rsidR="003719CD" w:rsidRPr="00267675" w:rsidRDefault="003719CD" w:rsidP="006D0A09">
      <w:pPr>
        <w:pStyle w:val="ListBullet2"/>
        <w:rPr>
          <w:rStyle w:val="Guidance"/>
        </w:rPr>
      </w:pPr>
      <w:r w:rsidRPr="00267675">
        <w:rPr>
          <w:rStyle w:val="Guidance"/>
        </w:rPr>
        <w:t>if the joint venture or associate is accounted for using the equity method, the fair value of its investment in the joint venture or associate, if there is a quoted market price for the investment</w:t>
      </w:r>
      <w:r w:rsidR="00127B8C">
        <w:rPr>
          <w:rStyle w:val="Guidance"/>
        </w:rPr>
        <w:t>.</w:t>
      </w:r>
    </w:p>
    <w:p w14:paraId="6F27B7C6" w14:textId="61B8E953" w:rsidR="003719CD" w:rsidRPr="00267675" w:rsidRDefault="003719CD" w:rsidP="00310F12">
      <w:pPr>
        <w:pStyle w:val="ListBullet"/>
        <w:rPr>
          <w:rStyle w:val="Guidance"/>
        </w:rPr>
      </w:pPr>
      <w:r w:rsidRPr="00267675">
        <w:rPr>
          <w:rStyle w:val="Guidance"/>
        </w:rPr>
        <w:t>financial information as specified in paragraph B16 about the entity’s investments in joint ventures and associates that are not individually material</w:t>
      </w:r>
      <w:r w:rsidR="009248FD">
        <w:rPr>
          <w:rStyle w:val="Guidance"/>
        </w:rPr>
        <w:t xml:space="preserve"> separately</w:t>
      </w:r>
      <w:r w:rsidRPr="00267675">
        <w:rPr>
          <w:rStyle w:val="Guidance"/>
        </w:rPr>
        <w:t xml:space="preserve">: </w:t>
      </w:r>
    </w:p>
    <w:p w14:paraId="61C22389" w14:textId="534DD577" w:rsidR="003719CD" w:rsidRPr="00267675" w:rsidRDefault="003719CD" w:rsidP="006D0A09">
      <w:pPr>
        <w:pStyle w:val="ListBullet2"/>
        <w:rPr>
          <w:rStyle w:val="Guidance"/>
        </w:rPr>
      </w:pPr>
      <w:r w:rsidRPr="00267675">
        <w:rPr>
          <w:rStyle w:val="Guidance"/>
        </w:rPr>
        <w:t xml:space="preserve">in aggregate for all individually immaterial joint ventures </w:t>
      </w:r>
    </w:p>
    <w:p w14:paraId="6FDA1B4E" w14:textId="77777777" w:rsidR="003719CD" w:rsidRPr="00267675" w:rsidRDefault="003719CD" w:rsidP="006D0A09">
      <w:pPr>
        <w:pStyle w:val="ListBullet2"/>
        <w:rPr>
          <w:rStyle w:val="Guidance"/>
        </w:rPr>
      </w:pPr>
      <w:r w:rsidRPr="00267675">
        <w:rPr>
          <w:rStyle w:val="Guidance"/>
        </w:rPr>
        <w:t>in aggregate for all individually immaterial associates.</w:t>
      </w:r>
    </w:p>
    <w:p w14:paraId="1D5665B1" w14:textId="6DA49353" w:rsidR="003719CD" w:rsidRPr="00267675" w:rsidRDefault="003719CD" w:rsidP="007D536F">
      <w:pPr>
        <w:pStyle w:val="GuidanceHeading"/>
        <w:rPr>
          <w:rStyle w:val="Guidance"/>
        </w:rPr>
      </w:pPr>
      <w:r w:rsidRPr="00267675">
        <w:rPr>
          <w:rStyle w:val="Guidance"/>
        </w:rPr>
        <w:lastRenderedPageBreak/>
        <w:t xml:space="preserve">Risks associated with an entity’s interests in joint ventures and associates </w:t>
      </w:r>
      <w:r w:rsidRPr="00EE78AC">
        <w:rPr>
          <w:rStyle w:val="Guidance"/>
          <w:color w:val="C00000"/>
        </w:rPr>
        <w:t>[AASB 12.23]</w:t>
      </w:r>
    </w:p>
    <w:p w14:paraId="1687EF93" w14:textId="77777777" w:rsidR="003719CD" w:rsidRPr="00267675" w:rsidRDefault="003719CD" w:rsidP="001F2260">
      <w:pPr>
        <w:keepNext/>
        <w:rPr>
          <w:rStyle w:val="Guidance"/>
        </w:rPr>
      </w:pPr>
      <w:r w:rsidRPr="00267675">
        <w:rPr>
          <w:rStyle w:val="Guidance"/>
        </w:rPr>
        <w:t>An entity shall disclose:</w:t>
      </w:r>
    </w:p>
    <w:p w14:paraId="77FE9DAF" w14:textId="04AF087D" w:rsidR="003719CD" w:rsidRPr="00267675" w:rsidRDefault="003719CD" w:rsidP="00310F12">
      <w:pPr>
        <w:pStyle w:val="ListBullet"/>
        <w:rPr>
          <w:rStyle w:val="Guidance"/>
        </w:rPr>
      </w:pPr>
      <w:r w:rsidRPr="00267675">
        <w:rPr>
          <w:rStyle w:val="Guidance"/>
        </w:rPr>
        <w:t>commitments that it has relating to its joint ventures separately from the amount of other commitments as specified in paragraphs B18–B20</w:t>
      </w:r>
      <w:r w:rsidR="00384089">
        <w:rPr>
          <w:rStyle w:val="Guidance"/>
        </w:rPr>
        <w:t xml:space="preserve"> </w:t>
      </w:r>
      <w:r w:rsidR="00384089" w:rsidRPr="00954740">
        <w:rPr>
          <w:rStyle w:val="Reference"/>
        </w:rPr>
        <w:t>[AASB 12.</w:t>
      </w:r>
      <w:r w:rsidR="00384089">
        <w:rPr>
          <w:rStyle w:val="Reference"/>
        </w:rPr>
        <w:t>23</w:t>
      </w:r>
      <w:r w:rsidR="004D09ED">
        <w:rPr>
          <w:rStyle w:val="Reference"/>
        </w:rPr>
        <w:t>(a)</w:t>
      </w:r>
      <w:r w:rsidR="00384089" w:rsidRPr="00954740">
        <w:rPr>
          <w:rStyle w:val="Reference"/>
        </w:rPr>
        <w:t>]</w:t>
      </w:r>
      <w:r w:rsidR="004D09ED">
        <w:rPr>
          <w:rStyle w:val="Reference"/>
        </w:rPr>
        <w:t>.</w:t>
      </w:r>
    </w:p>
    <w:p w14:paraId="7DF4471E" w14:textId="01DFE158" w:rsidR="003719CD" w:rsidRPr="00267675" w:rsidRDefault="003719CD" w:rsidP="00310F12">
      <w:pPr>
        <w:pStyle w:val="ListBullet"/>
        <w:rPr>
          <w:rStyle w:val="Guidance"/>
        </w:rPr>
      </w:pPr>
      <w:r w:rsidRPr="00267675">
        <w:rPr>
          <w:rStyle w:val="Guidance"/>
        </w:rPr>
        <w:t>in accordance with AASB 137, unless the probability of loss is remote, contingent liabilities incurred relating to its interests in joint ventures or associates (including its share of contingent liabilities incurred jointly with other investors with joint control of, or significant influence over, the joint ventures or associates), separately from the amount of other contingent liabilities</w:t>
      </w:r>
      <w:r w:rsidR="008773A4">
        <w:rPr>
          <w:rStyle w:val="Guidance"/>
        </w:rPr>
        <w:t>.</w:t>
      </w:r>
      <w:r w:rsidR="004D09ED">
        <w:rPr>
          <w:rStyle w:val="Reference"/>
        </w:rPr>
        <w:t xml:space="preserve"> </w:t>
      </w:r>
      <w:r w:rsidR="004D09ED" w:rsidRPr="00954740">
        <w:rPr>
          <w:rStyle w:val="Reference"/>
        </w:rPr>
        <w:t>[AASB 12.</w:t>
      </w:r>
      <w:r w:rsidR="004D09ED">
        <w:rPr>
          <w:rStyle w:val="Reference"/>
        </w:rPr>
        <w:t>23(a)</w:t>
      </w:r>
      <w:r w:rsidR="004D09ED" w:rsidRPr="00954740">
        <w:rPr>
          <w:rStyle w:val="Reference"/>
        </w:rPr>
        <w:t>]</w:t>
      </w:r>
      <w:r w:rsidR="004D09ED">
        <w:rPr>
          <w:rStyle w:val="Reference"/>
        </w:rPr>
        <w:t>.</w:t>
      </w:r>
    </w:p>
    <w:p w14:paraId="1F59568B" w14:textId="77777777" w:rsidR="003719CD" w:rsidRPr="00267675" w:rsidRDefault="003719CD" w:rsidP="007D536F">
      <w:pPr>
        <w:pStyle w:val="GuidanceHeading"/>
        <w:rPr>
          <w:rStyle w:val="Guidance"/>
        </w:rPr>
      </w:pPr>
      <w:r w:rsidRPr="00267675">
        <w:rPr>
          <w:rStyle w:val="Guidance"/>
        </w:rPr>
        <w:t>Disclosure in aggregate for individually immaterial associates and joint ventures</w:t>
      </w:r>
    </w:p>
    <w:p w14:paraId="4159C3B9" w14:textId="77777777" w:rsidR="003719CD" w:rsidRPr="00267675" w:rsidRDefault="003719CD" w:rsidP="007D536F">
      <w:pPr>
        <w:rPr>
          <w:rStyle w:val="Guidance"/>
        </w:rPr>
      </w:pPr>
      <w:r w:rsidRPr="00267675">
        <w:rPr>
          <w:rStyle w:val="Guidance"/>
        </w:rPr>
        <w:t xml:space="preserve">An entity shall disclose, in aggregate, the carrying amount of its interests in all individually immaterial joint ventures or associates that are accounted for using the equity method. </w:t>
      </w:r>
    </w:p>
    <w:p w14:paraId="2BB67703" w14:textId="77777777" w:rsidR="003719CD" w:rsidRPr="00267675" w:rsidRDefault="003719CD" w:rsidP="007D536F">
      <w:pPr>
        <w:rPr>
          <w:rStyle w:val="Guidance"/>
        </w:rPr>
      </w:pPr>
      <w:r w:rsidRPr="00267675">
        <w:rPr>
          <w:rStyle w:val="Guidance"/>
        </w:rPr>
        <w:t xml:space="preserve">An entity shall also disclose separately the aggregate amount of its share of those joint ventures’ or associates’: </w:t>
      </w:r>
    </w:p>
    <w:p w14:paraId="120069A9" w14:textId="5088C64D" w:rsidR="003719CD" w:rsidRPr="00267675" w:rsidRDefault="003719CD" w:rsidP="00310F12">
      <w:pPr>
        <w:pStyle w:val="ListBullet"/>
        <w:rPr>
          <w:rStyle w:val="Guidance"/>
        </w:rPr>
      </w:pPr>
      <w:r w:rsidRPr="00267675">
        <w:rPr>
          <w:rStyle w:val="Guidance"/>
        </w:rPr>
        <w:t>profit or loss from continuing operations</w:t>
      </w:r>
    </w:p>
    <w:p w14:paraId="34E23B62" w14:textId="2A2C4C45" w:rsidR="003719CD" w:rsidRPr="00267675" w:rsidRDefault="003719CD" w:rsidP="00310F12">
      <w:pPr>
        <w:pStyle w:val="ListBullet"/>
        <w:rPr>
          <w:rStyle w:val="Guidance"/>
        </w:rPr>
      </w:pPr>
      <w:r w:rsidRPr="00267675">
        <w:rPr>
          <w:rStyle w:val="Guidance"/>
        </w:rPr>
        <w:t>post-tax profit or loss from discontinued operations</w:t>
      </w:r>
    </w:p>
    <w:p w14:paraId="660CE0E9" w14:textId="0076B3CF" w:rsidR="003719CD" w:rsidRPr="00267675" w:rsidRDefault="003719CD" w:rsidP="00310F12">
      <w:pPr>
        <w:pStyle w:val="ListBullet"/>
        <w:rPr>
          <w:rStyle w:val="Guidance"/>
        </w:rPr>
      </w:pPr>
      <w:r w:rsidRPr="00267675">
        <w:rPr>
          <w:rStyle w:val="Guidance"/>
        </w:rPr>
        <w:t>other comprehensive income</w:t>
      </w:r>
    </w:p>
    <w:p w14:paraId="171D4155" w14:textId="77777777" w:rsidR="003719CD" w:rsidRPr="00267675" w:rsidRDefault="003719CD" w:rsidP="00310F12">
      <w:pPr>
        <w:pStyle w:val="ListBullet"/>
        <w:rPr>
          <w:rStyle w:val="Guidance"/>
        </w:rPr>
      </w:pPr>
      <w:r w:rsidRPr="00267675">
        <w:rPr>
          <w:rStyle w:val="Guidance"/>
        </w:rPr>
        <w:t xml:space="preserve">total comprehensive income. </w:t>
      </w:r>
    </w:p>
    <w:p w14:paraId="586028ED" w14:textId="77777777" w:rsidR="003719CD" w:rsidRPr="00267675" w:rsidRDefault="003719CD" w:rsidP="007D536F">
      <w:pPr>
        <w:rPr>
          <w:rStyle w:val="Guidance"/>
        </w:rPr>
      </w:pPr>
      <w:r w:rsidRPr="00267675">
        <w:rPr>
          <w:rStyle w:val="Guidance"/>
        </w:rPr>
        <w:t xml:space="preserve">An entity provides the disclosures separately for joint ventures and associates. </w:t>
      </w:r>
    </w:p>
    <w:p w14:paraId="7C0EFE23" w14:textId="77777777" w:rsidR="003719CD" w:rsidRPr="00267675" w:rsidRDefault="003719CD" w:rsidP="007D536F">
      <w:pPr>
        <w:pStyle w:val="GuidanceHeading"/>
        <w:rPr>
          <w:rStyle w:val="Guidance"/>
        </w:rPr>
      </w:pPr>
      <w:r w:rsidRPr="00267675">
        <w:rPr>
          <w:rStyle w:val="Guidance"/>
        </w:rPr>
        <w:t xml:space="preserve">Restrictions on fund transfers </w:t>
      </w:r>
      <w:r w:rsidRPr="00EC549F">
        <w:rPr>
          <w:rStyle w:val="Reference"/>
        </w:rPr>
        <w:t>[AASB 12.22(a)]</w:t>
      </w:r>
    </w:p>
    <w:p w14:paraId="66387016" w14:textId="77777777" w:rsidR="003719CD" w:rsidRPr="00267675" w:rsidRDefault="003719CD" w:rsidP="007D536F">
      <w:pPr>
        <w:rPr>
          <w:rStyle w:val="Guidance"/>
        </w:rPr>
      </w:pPr>
      <w:r w:rsidRPr="00267675">
        <w:rPr>
          <w:rStyle w:val="Guidance"/>
        </w:rPr>
        <w:t>The entity shall disclose the nature and extent of any significant restrictions (e.g. resulting from borrowing arrangements; regulatory requirements or contractual arrangements between investors with joint control of or significant influence over a joint venture or an associate) on the ability of joint ventures or associates to transfer funds to the entity in the form of cash dividends, or to repay loans or advances made by the entity.</w:t>
      </w:r>
    </w:p>
    <w:p w14:paraId="1E30E113" w14:textId="77777777" w:rsidR="003719CD" w:rsidRPr="00267675" w:rsidRDefault="003719CD" w:rsidP="007D536F">
      <w:pPr>
        <w:pStyle w:val="GuidanceHeading"/>
        <w:rPr>
          <w:rStyle w:val="Guidance"/>
        </w:rPr>
      </w:pPr>
      <w:r w:rsidRPr="00267675">
        <w:rPr>
          <w:rStyle w:val="Guidance"/>
        </w:rPr>
        <w:t xml:space="preserve">Unrecognised share of losses </w:t>
      </w:r>
      <w:r w:rsidRPr="00EC549F">
        <w:rPr>
          <w:rStyle w:val="Reference"/>
        </w:rPr>
        <w:t>[AASB 12.22 (c)]</w:t>
      </w:r>
    </w:p>
    <w:p w14:paraId="54374AA7" w14:textId="77777777" w:rsidR="003719CD" w:rsidRPr="00267675" w:rsidRDefault="003719CD" w:rsidP="007D536F">
      <w:pPr>
        <w:rPr>
          <w:rStyle w:val="Guidance"/>
        </w:rPr>
      </w:pPr>
      <w:r w:rsidRPr="00267675">
        <w:rPr>
          <w:rStyle w:val="Guidance"/>
        </w:rPr>
        <w:t>The entity shall disclose the unrecognised share of losses of an associate or joint venture, both for the period and cumulatively, if recognition of the associate’s or joint venture’s share of losses has been discontinued.</w:t>
      </w:r>
    </w:p>
    <w:p w14:paraId="6837BDB6" w14:textId="77777777" w:rsidR="003719CD" w:rsidRPr="00267675" w:rsidRDefault="003719CD" w:rsidP="007D536F">
      <w:pPr>
        <w:pStyle w:val="GuidanceHeading"/>
        <w:rPr>
          <w:rStyle w:val="Guidance"/>
        </w:rPr>
      </w:pPr>
      <w:r w:rsidRPr="00267675">
        <w:rPr>
          <w:rStyle w:val="Guidance"/>
        </w:rPr>
        <w:t xml:space="preserve">Different reporting periods </w:t>
      </w:r>
      <w:r w:rsidRPr="00EC549F">
        <w:rPr>
          <w:rStyle w:val="Reference"/>
        </w:rPr>
        <w:t>[AASB 12.22(b)]</w:t>
      </w:r>
    </w:p>
    <w:p w14:paraId="3D75CF2D" w14:textId="77777777" w:rsidR="003719CD" w:rsidRPr="00267675" w:rsidRDefault="003719CD" w:rsidP="007D536F">
      <w:pPr>
        <w:keepNext/>
        <w:rPr>
          <w:rStyle w:val="Guidance"/>
        </w:rPr>
      </w:pPr>
      <w:r w:rsidRPr="00267675">
        <w:rPr>
          <w:rStyle w:val="Guidance"/>
        </w:rPr>
        <w:t>When the financial statements of a joint venture or associate used in applying the equity method are as of a date or for a period that is different from that of the entity, the entity should disclose:</w:t>
      </w:r>
    </w:p>
    <w:p w14:paraId="6B99C5F0" w14:textId="64DCBD46" w:rsidR="003719CD" w:rsidRPr="00267675" w:rsidRDefault="003719CD" w:rsidP="00310F12">
      <w:pPr>
        <w:pStyle w:val="ListBullet"/>
        <w:rPr>
          <w:rStyle w:val="Guidance"/>
        </w:rPr>
      </w:pPr>
      <w:r w:rsidRPr="00267675">
        <w:rPr>
          <w:rStyle w:val="Guidance"/>
        </w:rPr>
        <w:t>the date of the end of the reporting period of the financial statements of that joint venture or associate</w:t>
      </w:r>
    </w:p>
    <w:p w14:paraId="054B8B2B" w14:textId="77777777" w:rsidR="003719CD" w:rsidRPr="00267675" w:rsidRDefault="003719CD" w:rsidP="00310F12">
      <w:pPr>
        <w:pStyle w:val="ListBullet"/>
        <w:rPr>
          <w:rStyle w:val="Guidance"/>
        </w:rPr>
      </w:pPr>
      <w:r w:rsidRPr="00267675">
        <w:rPr>
          <w:rStyle w:val="Guidance"/>
        </w:rPr>
        <w:t xml:space="preserve">the reason for using a different date or period. </w:t>
      </w:r>
    </w:p>
    <w:p w14:paraId="3E269137" w14:textId="1AEF93AC" w:rsidR="003719CD" w:rsidRPr="00267675" w:rsidRDefault="003719CD" w:rsidP="007D536F">
      <w:pPr>
        <w:rPr>
          <w:rStyle w:val="Guidance"/>
        </w:rPr>
      </w:pPr>
      <w:r w:rsidRPr="00267675">
        <w:rPr>
          <w:rStyle w:val="Guidance"/>
        </w:rPr>
        <w:t>This disclosure is not applicable if the financial statements of an associate or joint venture used in applying the equity method are as of a date or for a period that is different from that of the entity.</w:t>
      </w:r>
    </w:p>
    <w:p w14:paraId="689DC558" w14:textId="77777777" w:rsidR="003719CD" w:rsidRPr="00267675" w:rsidRDefault="003719CD" w:rsidP="007D536F">
      <w:pPr>
        <w:pStyle w:val="GuidanceHeading"/>
        <w:rPr>
          <w:rStyle w:val="Guidance"/>
        </w:rPr>
      </w:pPr>
      <w:r w:rsidRPr="00267675">
        <w:rPr>
          <w:rStyle w:val="Guidance"/>
        </w:rPr>
        <w:t xml:space="preserve">Equity accounted investment reduced to zero </w:t>
      </w:r>
      <w:r w:rsidRPr="00C71328">
        <w:rPr>
          <w:rStyle w:val="Reference"/>
        </w:rPr>
        <w:t>[AASB 128.38-39]</w:t>
      </w:r>
    </w:p>
    <w:p w14:paraId="07A89D0F" w14:textId="77777777" w:rsidR="003719CD" w:rsidRPr="00267675" w:rsidRDefault="003719CD" w:rsidP="007D536F">
      <w:pPr>
        <w:rPr>
          <w:rStyle w:val="Guidance"/>
        </w:rPr>
      </w:pPr>
      <w:r w:rsidRPr="00267675">
        <w:rPr>
          <w:rStyle w:val="Guidance"/>
        </w:rPr>
        <w:t>If an investor’s share of losses of an associate equals or exceeds its interest in the associate, the investor discontinues recognising its share of further losses. The interest in an associate is the carrying amount of the investment in the associate under the equity method together with any long-term interests that, in substance, form part of the investor’s net investment in the associate. For example, an item for which settlement is neither planned nor likely to occur in the foreseeable future is, in substance, an extension of the entity’s investment in that associate.</w:t>
      </w:r>
    </w:p>
    <w:p w14:paraId="6A9E04FD" w14:textId="77777777" w:rsidR="003719CD" w:rsidRPr="00267675" w:rsidRDefault="003719CD" w:rsidP="007D536F">
      <w:pPr>
        <w:rPr>
          <w:rStyle w:val="Guidance"/>
        </w:rPr>
      </w:pPr>
      <w:r w:rsidRPr="00267675">
        <w:rPr>
          <w:rStyle w:val="Guidance"/>
        </w:rPr>
        <w:t>Such items may include preference shares and long-term receivables or loans but do not include trade receivables, trade payables or any long-term receivables for which adequate collateral exists, such as secured loans. Losses recognised under the equity method in excess of the investor’s investment in ordinary shares are applied to the other components of the investor’s interest in an associate in the reverse order of their seniority (i.e. priority in liquidation).</w:t>
      </w:r>
    </w:p>
    <w:p w14:paraId="4B32551F" w14:textId="77777777" w:rsidR="003719CD" w:rsidRPr="00267675" w:rsidRDefault="003719CD" w:rsidP="007D536F">
      <w:pPr>
        <w:rPr>
          <w:rStyle w:val="Guidance"/>
        </w:rPr>
      </w:pPr>
      <w:r w:rsidRPr="00267675">
        <w:rPr>
          <w:rStyle w:val="Guidance"/>
        </w:rPr>
        <w:t>After the investor’s interest is reduced to zero, additional losses are provided for, and a liability is recognised, only to the extent that the investor has incurred legal or constructive obligations or made payments on behalf of the associate. If the associate subsequently reports profits, the investor resumes recognising its share of those profits only after its share of the profits equals the share of losses not recognised.</w:t>
      </w:r>
    </w:p>
    <w:p w14:paraId="64F85FB9" w14:textId="77777777" w:rsidR="003719CD" w:rsidRPr="00267675" w:rsidRDefault="003719CD" w:rsidP="007D536F">
      <w:pPr>
        <w:pStyle w:val="GuidanceHeading"/>
        <w:rPr>
          <w:rStyle w:val="Guidance"/>
        </w:rPr>
      </w:pPr>
      <w:r w:rsidRPr="00267675">
        <w:rPr>
          <w:rStyle w:val="Guidance"/>
        </w:rPr>
        <w:lastRenderedPageBreak/>
        <w:t>Discontinuing the use of the equity method</w:t>
      </w:r>
      <w:r w:rsidRPr="00C71328">
        <w:rPr>
          <w:rStyle w:val="Reference"/>
        </w:rPr>
        <w:t xml:space="preserve"> [AASB 128.22-23]</w:t>
      </w:r>
    </w:p>
    <w:p w14:paraId="277D37C4" w14:textId="3BF411AC" w:rsidR="003719CD" w:rsidRPr="00267675" w:rsidRDefault="003719CD" w:rsidP="007D536F">
      <w:pPr>
        <w:rPr>
          <w:rStyle w:val="Guidance"/>
        </w:rPr>
      </w:pPr>
      <w:r w:rsidRPr="00267675">
        <w:rPr>
          <w:rStyle w:val="Guidance"/>
        </w:rPr>
        <w:t xml:space="preserve">An entity shall discontinue the use of the equity method from the date that its investment ceases to be an associate or a joint venture as follows: </w:t>
      </w:r>
    </w:p>
    <w:p w14:paraId="09D121D7" w14:textId="3A7758C5" w:rsidR="003719CD" w:rsidRPr="00267675" w:rsidRDefault="00182BF6" w:rsidP="00310F12">
      <w:pPr>
        <w:pStyle w:val="ListBullet"/>
        <w:rPr>
          <w:rStyle w:val="Guidance"/>
        </w:rPr>
      </w:pPr>
      <w:r>
        <w:rPr>
          <w:rStyle w:val="Guidance"/>
        </w:rPr>
        <w:t>I</w:t>
      </w:r>
      <w:r w:rsidRPr="00267675">
        <w:rPr>
          <w:rStyle w:val="Guidance"/>
        </w:rPr>
        <w:t xml:space="preserve">f </w:t>
      </w:r>
      <w:r w:rsidR="003719CD" w:rsidRPr="00267675">
        <w:rPr>
          <w:rStyle w:val="Guidance"/>
        </w:rPr>
        <w:t>the investment becomes a subsidiary, the entity shall account for its investment in accordance with AASB</w:t>
      </w:r>
      <w:r w:rsidR="003719CD">
        <w:rPr>
          <w:rStyle w:val="Guidance"/>
        </w:rPr>
        <w:t> </w:t>
      </w:r>
      <w:r w:rsidR="003719CD" w:rsidRPr="00267675">
        <w:rPr>
          <w:rStyle w:val="Guidance"/>
        </w:rPr>
        <w:t xml:space="preserve">3 </w:t>
      </w:r>
      <w:r w:rsidR="003719CD" w:rsidRPr="00C71328">
        <w:rPr>
          <w:rStyle w:val="Guidance"/>
          <w:i/>
          <w:iCs/>
        </w:rPr>
        <w:t>Business Combinations</w:t>
      </w:r>
      <w:r w:rsidR="003719CD" w:rsidRPr="00267675">
        <w:rPr>
          <w:rStyle w:val="Guidance"/>
        </w:rPr>
        <w:t xml:space="preserve"> and AASB</w:t>
      </w:r>
      <w:r w:rsidR="003719CD">
        <w:rPr>
          <w:rStyle w:val="Guidance"/>
        </w:rPr>
        <w:t> </w:t>
      </w:r>
      <w:r w:rsidR="003719CD" w:rsidRPr="00267675">
        <w:rPr>
          <w:rStyle w:val="Guidance"/>
        </w:rPr>
        <w:t xml:space="preserve">10 </w:t>
      </w:r>
      <w:r w:rsidR="003719CD" w:rsidRPr="00C71328">
        <w:rPr>
          <w:rStyle w:val="Guidance"/>
          <w:i/>
          <w:iCs/>
        </w:rPr>
        <w:t>Consolidated Financial Statements</w:t>
      </w:r>
      <w:r w:rsidR="008773A4">
        <w:rPr>
          <w:rStyle w:val="Guidance"/>
          <w:i/>
          <w:iCs/>
        </w:rPr>
        <w:t>.</w:t>
      </w:r>
    </w:p>
    <w:p w14:paraId="370BDB18" w14:textId="6E6018E6" w:rsidR="003719CD" w:rsidRPr="00267675" w:rsidRDefault="00182BF6" w:rsidP="00310F12">
      <w:pPr>
        <w:pStyle w:val="ListBullet"/>
        <w:rPr>
          <w:rStyle w:val="Guidance"/>
        </w:rPr>
      </w:pPr>
      <w:r>
        <w:rPr>
          <w:rStyle w:val="Guidance"/>
        </w:rPr>
        <w:t>I</w:t>
      </w:r>
      <w:r w:rsidRPr="00267675">
        <w:rPr>
          <w:rStyle w:val="Guidance"/>
        </w:rPr>
        <w:t xml:space="preserve">f </w:t>
      </w:r>
      <w:r w:rsidR="003719CD" w:rsidRPr="00267675">
        <w:rPr>
          <w:rStyle w:val="Guidance"/>
        </w:rPr>
        <w:t>the retained interest in the former associate or joint venture is a financial asset, the entity shall measure the retained interest at fair value. The fair value of the retained interest shall be regarded as its fair value on initial recognition as a financial asset.</w:t>
      </w:r>
    </w:p>
    <w:p w14:paraId="5CE10514" w14:textId="77777777" w:rsidR="003719CD" w:rsidRPr="00267675" w:rsidRDefault="003719CD" w:rsidP="00291005">
      <w:pPr>
        <w:pStyle w:val="ListContinue"/>
        <w:rPr>
          <w:rStyle w:val="Guidance"/>
        </w:rPr>
      </w:pPr>
      <w:r w:rsidRPr="00267675">
        <w:rPr>
          <w:rStyle w:val="Guidance"/>
        </w:rPr>
        <w:t>The entity shall recognise in profit or loss any difference between:</w:t>
      </w:r>
    </w:p>
    <w:p w14:paraId="3F8CB68B" w14:textId="658802A7" w:rsidR="003719CD" w:rsidRPr="00267675" w:rsidRDefault="003719CD" w:rsidP="00291005">
      <w:pPr>
        <w:pStyle w:val="ListBullet2"/>
        <w:rPr>
          <w:rStyle w:val="Guidance"/>
        </w:rPr>
      </w:pPr>
      <w:r w:rsidRPr="00267675">
        <w:rPr>
          <w:rStyle w:val="Guidance"/>
        </w:rPr>
        <w:t>the fair value of any retained interest and any proceeds from disposing of a part interest in the associate or joint venture</w:t>
      </w:r>
    </w:p>
    <w:p w14:paraId="1443CA04" w14:textId="77777777" w:rsidR="003719CD" w:rsidRPr="00267675" w:rsidRDefault="003719CD" w:rsidP="00291005">
      <w:pPr>
        <w:pStyle w:val="ListBullet2"/>
        <w:rPr>
          <w:rStyle w:val="Guidance"/>
        </w:rPr>
      </w:pPr>
      <w:r w:rsidRPr="00267675">
        <w:rPr>
          <w:rStyle w:val="Guidance"/>
        </w:rPr>
        <w:t>the carrying amount of the investment at the date the equity method was discontinued.</w:t>
      </w:r>
    </w:p>
    <w:p w14:paraId="07A9B4ED" w14:textId="77777777" w:rsidR="003719CD" w:rsidRPr="00267675" w:rsidRDefault="003719CD" w:rsidP="00310F12">
      <w:pPr>
        <w:pStyle w:val="ListBullet"/>
        <w:rPr>
          <w:rStyle w:val="Guidance"/>
        </w:rPr>
      </w:pPr>
      <w:r w:rsidRPr="00267675">
        <w:rPr>
          <w:rStyle w:val="Guidance"/>
        </w:rPr>
        <w:t>When an entity discontinues the use of the equity method, the entity shall account for all amounts previously recognised in other comprehensive income in relation to that investment on the same basis as would have been required if the investee had directly disposed of the related assets or liabilities.</w:t>
      </w:r>
    </w:p>
    <w:p w14:paraId="148EA7CA" w14:textId="77777777" w:rsidR="003719CD" w:rsidRPr="00267675" w:rsidRDefault="003719CD" w:rsidP="007D536F">
      <w:pPr>
        <w:rPr>
          <w:rStyle w:val="Guidance"/>
        </w:rPr>
      </w:pPr>
      <w:r w:rsidRPr="00267675">
        <w:rPr>
          <w:rStyle w:val="Guidance"/>
        </w:rPr>
        <w:t>Therefore, if a gain or loss previously recognised in other comprehensive income by the investee would be reclassified to profit or loss on the disposal of the related assets or liabilities, the entity reclassifies the gain or loss from equity to profit or loss (as a reclassification adjustment) when the equity method is discontinued. For example, if an associate or a joint venture has cumulative exchange differences relating to a foreign operation and the entity discontinues the use of the equity method, the entity shall reclassify to profit or loss the gain or loss that had previously been recognised in other comprehensive income in relation to the foreign operation.</w:t>
      </w:r>
    </w:p>
    <w:p w14:paraId="3FC7B2FF" w14:textId="3FB7D6FC" w:rsidR="003719CD" w:rsidRPr="00267675" w:rsidRDefault="003719CD" w:rsidP="007D536F">
      <w:pPr>
        <w:rPr>
          <w:rStyle w:val="Guidance"/>
        </w:rPr>
      </w:pPr>
      <w:r w:rsidRPr="00267675">
        <w:rPr>
          <w:rStyle w:val="Guidance"/>
        </w:rPr>
        <w:t xml:space="preserve">All disclosures requirements in relation to joint ventures are applicable for both the current and the comparative periods irrespective of the fictitious discontinuation of the joint venture for the </w:t>
      </w:r>
      <w:r w:rsidR="001F2260" w:rsidRPr="001F2260">
        <w:rPr>
          <w:rStyle w:val="Guidance"/>
        </w:rPr>
        <w:fldChar w:fldCharType="begin"/>
      </w:r>
      <w:r w:rsidR="001F2260" w:rsidRPr="001F2260">
        <w:rPr>
          <w:rStyle w:val="Guidance"/>
        </w:rPr>
        <w:instrText xml:space="preserve"> DOCPROPERTY  FinYearCurrent  \* MERGEFORMAT </w:instrText>
      </w:r>
      <w:r w:rsidR="001F2260" w:rsidRPr="001F2260">
        <w:rPr>
          <w:rStyle w:val="Guidance"/>
        </w:rPr>
        <w:fldChar w:fldCharType="separate"/>
      </w:r>
      <w:r w:rsidR="00A545BA">
        <w:rPr>
          <w:rStyle w:val="Guidance"/>
        </w:rPr>
        <w:t>20X1</w:t>
      </w:r>
      <w:r w:rsidR="00A545BA">
        <w:rPr>
          <w:rStyle w:val="Guidance"/>
          <w:rFonts w:ascii="Cambria Math" w:hAnsi="Cambria Math" w:cs="Cambria Math"/>
        </w:rPr>
        <w:t>‑</w:t>
      </w:r>
      <w:r w:rsidR="009F161A">
        <w:rPr>
          <w:rStyle w:val="Guidance"/>
        </w:rPr>
        <w:t>X</w:t>
      </w:r>
      <w:r w:rsidR="00A545BA">
        <w:rPr>
          <w:rStyle w:val="Guidance"/>
        </w:rPr>
        <w:t>2</w:t>
      </w:r>
      <w:r w:rsidR="001F2260" w:rsidRPr="001F2260">
        <w:rPr>
          <w:rStyle w:val="Guidance"/>
        </w:rPr>
        <w:fldChar w:fldCharType="end"/>
      </w:r>
      <w:r w:rsidRPr="001F2260">
        <w:rPr>
          <w:rStyle w:val="Guidance"/>
        </w:rPr>
        <w:t xml:space="preserve"> </w:t>
      </w:r>
      <w:r w:rsidRPr="00267675">
        <w:rPr>
          <w:rStyle w:val="Guidance"/>
        </w:rPr>
        <w:t>year.</w:t>
      </w:r>
    </w:p>
    <w:p w14:paraId="6B2AA678" w14:textId="77777777" w:rsidR="003719CD" w:rsidRPr="00267675" w:rsidRDefault="003719CD" w:rsidP="007D536F">
      <w:pPr>
        <w:pStyle w:val="GuidanceHeading"/>
        <w:rPr>
          <w:rStyle w:val="Guidance"/>
        </w:rPr>
      </w:pPr>
      <w:r w:rsidRPr="00267675">
        <w:rPr>
          <w:rStyle w:val="Guidance"/>
        </w:rPr>
        <w:t>Interests in subsidiary and unconsolidated structured entities</w:t>
      </w:r>
    </w:p>
    <w:p w14:paraId="5E412E85" w14:textId="2971DF1B" w:rsidR="003719CD" w:rsidRPr="00267675" w:rsidRDefault="003719CD" w:rsidP="007D536F">
      <w:pPr>
        <w:rPr>
          <w:rStyle w:val="Guidance"/>
        </w:rPr>
      </w:pPr>
      <w:r w:rsidRPr="00267675">
        <w:rPr>
          <w:rStyle w:val="Guidance"/>
        </w:rPr>
        <w:t xml:space="preserve">Disclosure on interests in subsidiary and unconsolidated structured entities is not applicable if the department does not have control over another entity (i.e. no interests in subsidiaries) or has not identified any structure entity as defined by AASB 12 </w:t>
      </w:r>
      <w:r w:rsidRPr="00C71328">
        <w:rPr>
          <w:rStyle w:val="Guidance"/>
          <w:i/>
          <w:iCs/>
        </w:rPr>
        <w:t>Disclosures of Interests in Other Entities</w:t>
      </w:r>
      <w:r w:rsidRPr="00267675">
        <w:rPr>
          <w:rStyle w:val="Guidance"/>
        </w:rPr>
        <w:t xml:space="preserve">. In relation to disclosures required for subsidiaries, entities should complete the assessment of the control test in accordance with AASB 10 </w:t>
      </w:r>
      <w:r w:rsidRPr="00C71328">
        <w:rPr>
          <w:rStyle w:val="Guidance"/>
          <w:i/>
          <w:iCs/>
        </w:rPr>
        <w:t>Consolidated Financial Statements</w:t>
      </w:r>
      <w:r w:rsidRPr="00267675">
        <w:rPr>
          <w:rStyle w:val="Guidance"/>
        </w:rPr>
        <w:t xml:space="preserve"> to determine whether there are any entities that meet the control criteria set out in AASB 10, and whether the following disclosures will be applicable based on the relevant facts and circumstances. </w:t>
      </w:r>
      <w:r w:rsidRPr="2856114A">
        <w:rPr>
          <w:rStyle w:val="Guidance"/>
        </w:rPr>
        <w:t xml:space="preserve">Please refer to </w:t>
      </w:r>
      <w:hyperlink r:id="rId91">
        <w:r w:rsidRPr="2856114A">
          <w:rPr>
            <w:rStyle w:val="Hyperlink"/>
            <w:i/>
            <w:iCs/>
          </w:rPr>
          <w:t xml:space="preserve">AASB 10 Consolidated Financial Statements checklist – Control analysis for Victorian public sector entities </w:t>
        </w:r>
        <w:r w:rsidRPr="2856114A">
          <w:rPr>
            <w:rStyle w:val="Hyperlink"/>
          </w:rPr>
          <w:t>on the DTF website</w:t>
        </w:r>
      </w:hyperlink>
      <w:r w:rsidRPr="2856114A">
        <w:rPr>
          <w:rStyle w:val="Guidance"/>
        </w:rPr>
        <w:t xml:space="preserve"> for the assessment. </w:t>
      </w:r>
    </w:p>
    <w:p w14:paraId="49AB69B7" w14:textId="45FFAC04" w:rsidR="003719CD" w:rsidRPr="00267675" w:rsidRDefault="003719CD" w:rsidP="007D536F">
      <w:pPr>
        <w:rPr>
          <w:rStyle w:val="Guidance"/>
        </w:rPr>
      </w:pPr>
      <w:r w:rsidRPr="735EA6A0">
        <w:rPr>
          <w:rStyle w:val="Guidance"/>
        </w:rPr>
        <w:t xml:space="preserve">Where a department has identified that it has control over another entity and is required to consolidate its interests in the entity, the department will be required to present its financial statement for the department as a consolidated entity and as a parent for the current and comparative periods as required by AASB 10.4. Please refer to </w:t>
      </w:r>
      <w:hyperlink r:id="rId92">
        <w:r w:rsidRPr="735EA6A0">
          <w:rPr>
            <w:rStyle w:val="Hyperlink"/>
          </w:rPr>
          <w:t>Interests in subsidiary and unconsolidated structured entities on the DTF website</w:t>
        </w:r>
      </w:hyperlink>
      <w:r w:rsidRPr="735EA6A0">
        <w:rPr>
          <w:rStyle w:val="Guidance"/>
        </w:rPr>
        <w:t xml:space="preserve"> for more information.</w:t>
      </w:r>
    </w:p>
    <w:p w14:paraId="2E6CB822" w14:textId="77777777" w:rsidR="003719CD" w:rsidRDefault="003719CD" w:rsidP="007D536F">
      <w:pPr>
        <w:pStyle w:val="GuidanceEnd"/>
      </w:pPr>
    </w:p>
    <w:p w14:paraId="78E21D34" w14:textId="77777777" w:rsidR="003B7EFD" w:rsidRDefault="003B7EFD">
      <w:pPr>
        <w:keepLines w:val="0"/>
        <w:rPr>
          <w:rFonts w:asciiTheme="majorHAnsi" w:eastAsiaTheme="majorEastAsia" w:hAnsiTheme="majorHAnsi" w:cstheme="majorBidi"/>
          <w:b/>
          <w:sz w:val="26"/>
          <w:szCs w:val="26"/>
        </w:rPr>
      </w:pPr>
      <w:bookmarkStart w:id="70" w:name="_Toc64983160"/>
      <w:r>
        <w:br w:type="page"/>
      </w:r>
    </w:p>
    <w:p w14:paraId="1BE0CC4B" w14:textId="586A1630" w:rsidR="003719CD" w:rsidRDefault="003719CD" w:rsidP="00A80494">
      <w:pPr>
        <w:pStyle w:val="Heading2numbered"/>
      </w:pPr>
      <w:bookmarkStart w:id="71" w:name="_Toc96704908"/>
      <w:bookmarkStart w:id="72" w:name="_Toc130225969"/>
      <w:r>
        <w:lastRenderedPageBreak/>
        <w:t>Investments and other financial assets</w:t>
      </w:r>
      <w:bookmarkEnd w:id="70"/>
      <w:bookmarkEnd w:id="71"/>
      <w:bookmarkEnd w:id="72"/>
    </w:p>
    <w:p w14:paraId="1A0A07DB"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05FBB" w14:paraId="3D4BB29A" w14:textId="77777777" w:rsidTr="00105FB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0130037B" w14:textId="77777777" w:rsidR="00105FBB" w:rsidRDefault="00105FBB" w:rsidP="00105FBB">
            <w:pPr>
              <w:keepNext/>
              <w:jc w:val="left"/>
            </w:pPr>
            <w:r>
              <w:rPr>
                <w:color w:val="4472C4"/>
                <w:sz w:val="13"/>
              </w:rPr>
              <w:t>Source reference</w:t>
            </w:r>
          </w:p>
        </w:tc>
        <w:tc>
          <w:tcPr>
            <w:tcW w:w="6558" w:type="dxa"/>
          </w:tcPr>
          <w:p w14:paraId="2A02351D" w14:textId="77777777" w:rsidR="00105FBB" w:rsidRDefault="00105FBB" w:rsidP="00105FBB">
            <w:pPr>
              <w:keepNext/>
              <w:jc w:val="left"/>
            </w:pPr>
          </w:p>
        </w:tc>
        <w:tc>
          <w:tcPr>
            <w:tcW w:w="866" w:type="dxa"/>
          </w:tcPr>
          <w:p w14:paraId="31BC728D" w14:textId="22B73855" w:rsidR="00105FBB" w:rsidRPr="00105FBB" w:rsidRDefault="00105FBB" w:rsidP="00105FBB">
            <w:pPr>
              <w:keepNext/>
            </w:pPr>
            <w:fldSimple w:instr="DOCPROPERTY  YearCurrent \* MERGEFORMAT">
              <w:r w:rsidRPr="00105FBB">
                <w:t>20X2</w:t>
              </w:r>
            </w:fldSimple>
          </w:p>
        </w:tc>
        <w:tc>
          <w:tcPr>
            <w:tcW w:w="866" w:type="dxa"/>
          </w:tcPr>
          <w:p w14:paraId="25836879" w14:textId="0A47846C" w:rsidR="00105FBB" w:rsidRPr="00105FBB" w:rsidRDefault="00105FBB" w:rsidP="00105FBB">
            <w:pPr>
              <w:keepNext/>
            </w:pPr>
            <w:fldSimple w:instr="DOCPROPERTY  YearPrevious  \* MERGEFORMAT">
              <w:r w:rsidRPr="00105FBB">
                <w:t>20X1</w:t>
              </w:r>
            </w:fldSimple>
          </w:p>
        </w:tc>
      </w:tr>
      <w:tr w:rsidR="00182709" w14:paraId="7AEB3615" w14:textId="77777777" w:rsidTr="00105FBB">
        <w:tc>
          <w:tcPr>
            <w:tcW w:w="1349" w:type="dxa"/>
          </w:tcPr>
          <w:p w14:paraId="1C0F8877" w14:textId="77777777" w:rsidR="00182709" w:rsidRDefault="0044097C">
            <w:pPr>
              <w:jc w:val="left"/>
            </w:pPr>
            <w:r>
              <w:rPr>
                <w:color w:val="4472C4"/>
                <w:sz w:val="13"/>
              </w:rPr>
              <w:t>AASB 101.61</w:t>
            </w:r>
          </w:p>
        </w:tc>
        <w:tc>
          <w:tcPr>
            <w:tcW w:w="6558" w:type="dxa"/>
          </w:tcPr>
          <w:p w14:paraId="1AF2F62E" w14:textId="77777777" w:rsidR="00182709" w:rsidRDefault="0044097C">
            <w:pPr>
              <w:jc w:val="left"/>
            </w:pPr>
            <w:r>
              <w:rPr>
                <w:b/>
              </w:rPr>
              <w:t>Current investments and other financial assets</w:t>
            </w:r>
          </w:p>
        </w:tc>
        <w:tc>
          <w:tcPr>
            <w:tcW w:w="866" w:type="dxa"/>
          </w:tcPr>
          <w:p w14:paraId="75DAF7FB" w14:textId="77777777" w:rsidR="00182709" w:rsidRDefault="00182709"/>
        </w:tc>
        <w:tc>
          <w:tcPr>
            <w:tcW w:w="866" w:type="dxa"/>
          </w:tcPr>
          <w:p w14:paraId="6C685E01" w14:textId="77777777" w:rsidR="00182709" w:rsidRDefault="00182709"/>
        </w:tc>
      </w:tr>
      <w:tr w:rsidR="00182709" w14:paraId="031112E3" w14:textId="77777777" w:rsidTr="00105FBB">
        <w:tc>
          <w:tcPr>
            <w:tcW w:w="1349" w:type="dxa"/>
          </w:tcPr>
          <w:p w14:paraId="2C86CF39" w14:textId="77777777" w:rsidR="00182709" w:rsidRDefault="00182709">
            <w:pPr>
              <w:jc w:val="left"/>
            </w:pPr>
          </w:p>
        </w:tc>
        <w:tc>
          <w:tcPr>
            <w:tcW w:w="6558" w:type="dxa"/>
          </w:tcPr>
          <w:p w14:paraId="4AC88078" w14:textId="77777777" w:rsidR="00182709" w:rsidRDefault="0044097C">
            <w:pPr>
              <w:jc w:val="left"/>
            </w:pPr>
            <w:r>
              <w:rPr>
                <w:b/>
              </w:rPr>
              <w:t>Term deposits:</w:t>
            </w:r>
            <w:r>
              <w:rPr>
                <w:b/>
                <w:vertAlign w:val="superscript"/>
              </w:rPr>
              <w:t xml:space="preserve"> (a)</w:t>
            </w:r>
          </w:p>
        </w:tc>
        <w:tc>
          <w:tcPr>
            <w:tcW w:w="866" w:type="dxa"/>
          </w:tcPr>
          <w:p w14:paraId="08F54F5E" w14:textId="77777777" w:rsidR="00182709" w:rsidRDefault="00182709"/>
        </w:tc>
        <w:tc>
          <w:tcPr>
            <w:tcW w:w="866" w:type="dxa"/>
          </w:tcPr>
          <w:p w14:paraId="45F27F79" w14:textId="77777777" w:rsidR="00182709" w:rsidRDefault="00182709"/>
        </w:tc>
      </w:tr>
      <w:tr w:rsidR="00182709" w14:paraId="4868B62C" w14:textId="77777777" w:rsidTr="00105FBB">
        <w:tc>
          <w:tcPr>
            <w:tcW w:w="1349" w:type="dxa"/>
          </w:tcPr>
          <w:p w14:paraId="410E3E58" w14:textId="77777777" w:rsidR="00182709" w:rsidRDefault="00182709">
            <w:pPr>
              <w:jc w:val="left"/>
            </w:pPr>
          </w:p>
        </w:tc>
        <w:tc>
          <w:tcPr>
            <w:tcW w:w="6558" w:type="dxa"/>
          </w:tcPr>
          <w:p w14:paraId="5A7A926E" w14:textId="77777777" w:rsidR="00182709" w:rsidRDefault="0044097C">
            <w:pPr>
              <w:jc w:val="left"/>
            </w:pPr>
            <w:r>
              <w:t>Foreign currency term deposits &gt; three months</w:t>
            </w:r>
          </w:p>
        </w:tc>
        <w:tc>
          <w:tcPr>
            <w:tcW w:w="866" w:type="dxa"/>
          </w:tcPr>
          <w:p w14:paraId="2B507C59" w14:textId="77777777" w:rsidR="00182709" w:rsidRDefault="0044097C">
            <w:r>
              <w:t>1 000</w:t>
            </w:r>
          </w:p>
        </w:tc>
        <w:tc>
          <w:tcPr>
            <w:tcW w:w="866" w:type="dxa"/>
          </w:tcPr>
          <w:p w14:paraId="49BF3BDF" w14:textId="77777777" w:rsidR="00182709" w:rsidRDefault="0044097C">
            <w:r>
              <w:t>750</w:t>
            </w:r>
          </w:p>
        </w:tc>
      </w:tr>
      <w:tr w:rsidR="00182709" w14:paraId="26ECA7ED" w14:textId="77777777" w:rsidTr="00105FBB">
        <w:tc>
          <w:tcPr>
            <w:tcW w:w="1349" w:type="dxa"/>
          </w:tcPr>
          <w:p w14:paraId="74219FDB" w14:textId="77777777" w:rsidR="00182709" w:rsidRDefault="00182709">
            <w:pPr>
              <w:jc w:val="left"/>
            </w:pPr>
          </w:p>
        </w:tc>
        <w:tc>
          <w:tcPr>
            <w:tcW w:w="6558" w:type="dxa"/>
          </w:tcPr>
          <w:p w14:paraId="48FE87A6" w14:textId="77777777" w:rsidR="00182709" w:rsidRDefault="0044097C">
            <w:pPr>
              <w:jc w:val="left"/>
            </w:pPr>
            <w:r>
              <w:t>Australian dollar term deposits &gt; three months</w:t>
            </w:r>
          </w:p>
        </w:tc>
        <w:tc>
          <w:tcPr>
            <w:tcW w:w="866" w:type="dxa"/>
          </w:tcPr>
          <w:p w14:paraId="67A6C524" w14:textId="77777777" w:rsidR="00182709" w:rsidRDefault="0044097C">
            <w:r>
              <w:t>941</w:t>
            </w:r>
          </w:p>
        </w:tc>
        <w:tc>
          <w:tcPr>
            <w:tcW w:w="866" w:type="dxa"/>
          </w:tcPr>
          <w:p w14:paraId="03E5EE1E" w14:textId="77777777" w:rsidR="00182709" w:rsidRDefault="0044097C">
            <w:r>
              <w:t>2 443</w:t>
            </w:r>
          </w:p>
        </w:tc>
      </w:tr>
      <w:tr w:rsidR="00182709" w14:paraId="50F4C471" w14:textId="77777777" w:rsidTr="00105FBB">
        <w:tc>
          <w:tcPr>
            <w:tcW w:w="1349" w:type="dxa"/>
          </w:tcPr>
          <w:p w14:paraId="5FF2FD52" w14:textId="77777777" w:rsidR="00182709" w:rsidRDefault="00182709">
            <w:pPr>
              <w:jc w:val="left"/>
            </w:pPr>
          </w:p>
        </w:tc>
        <w:tc>
          <w:tcPr>
            <w:tcW w:w="6558" w:type="dxa"/>
          </w:tcPr>
          <w:p w14:paraId="07ED24E9" w14:textId="77777777" w:rsidR="00182709" w:rsidRDefault="0044097C">
            <w:pPr>
              <w:jc w:val="left"/>
            </w:pPr>
            <w:r>
              <w:rPr>
                <w:b/>
              </w:rPr>
              <w:t xml:space="preserve">Debt securities: </w:t>
            </w:r>
            <w:r>
              <w:rPr>
                <w:b/>
                <w:vertAlign w:val="superscript"/>
              </w:rPr>
              <w:t>(b)</w:t>
            </w:r>
          </w:p>
        </w:tc>
        <w:tc>
          <w:tcPr>
            <w:tcW w:w="866" w:type="dxa"/>
          </w:tcPr>
          <w:p w14:paraId="2FADA443" w14:textId="77777777" w:rsidR="00182709" w:rsidRDefault="00182709"/>
        </w:tc>
        <w:tc>
          <w:tcPr>
            <w:tcW w:w="866" w:type="dxa"/>
          </w:tcPr>
          <w:p w14:paraId="338358DC" w14:textId="77777777" w:rsidR="00182709" w:rsidRDefault="00182709"/>
        </w:tc>
      </w:tr>
      <w:tr w:rsidR="00182709" w14:paraId="2553642D" w14:textId="77777777" w:rsidTr="00105FBB">
        <w:tc>
          <w:tcPr>
            <w:tcW w:w="1349" w:type="dxa"/>
          </w:tcPr>
          <w:p w14:paraId="5920F8B1" w14:textId="77777777" w:rsidR="00182709" w:rsidRDefault="00182709">
            <w:pPr>
              <w:jc w:val="left"/>
            </w:pPr>
          </w:p>
        </w:tc>
        <w:tc>
          <w:tcPr>
            <w:tcW w:w="6558" w:type="dxa"/>
          </w:tcPr>
          <w:p w14:paraId="60F18FBE" w14:textId="65935752" w:rsidR="00182709" w:rsidRDefault="0044097C">
            <w:pPr>
              <w:jc w:val="left"/>
            </w:pPr>
            <w:r w:rsidRPr="2856114A">
              <w:t>Five</w:t>
            </w:r>
            <w:r w:rsidR="00B26EC9">
              <w:t>-</w:t>
            </w:r>
            <w:r w:rsidRPr="2856114A">
              <w:t>year</w:t>
            </w:r>
            <w:r>
              <w:t xml:space="preserve"> government bonds</w:t>
            </w:r>
          </w:p>
        </w:tc>
        <w:tc>
          <w:tcPr>
            <w:tcW w:w="866" w:type="dxa"/>
          </w:tcPr>
          <w:p w14:paraId="2E244604" w14:textId="77777777" w:rsidR="00182709" w:rsidRDefault="0044097C">
            <w:r>
              <w:t>778</w:t>
            </w:r>
          </w:p>
        </w:tc>
        <w:tc>
          <w:tcPr>
            <w:tcW w:w="866" w:type="dxa"/>
          </w:tcPr>
          <w:p w14:paraId="409EC0B3" w14:textId="77777777" w:rsidR="00182709" w:rsidRDefault="0044097C">
            <w:r>
              <w:t>406</w:t>
            </w:r>
          </w:p>
        </w:tc>
      </w:tr>
      <w:tr w:rsidR="00182709" w14:paraId="3E187562" w14:textId="77777777" w:rsidTr="00105FBB">
        <w:tc>
          <w:tcPr>
            <w:tcW w:w="1349" w:type="dxa"/>
          </w:tcPr>
          <w:p w14:paraId="0B36E153" w14:textId="77777777" w:rsidR="00182709" w:rsidRDefault="00182709">
            <w:pPr>
              <w:jc w:val="left"/>
            </w:pPr>
          </w:p>
        </w:tc>
        <w:tc>
          <w:tcPr>
            <w:tcW w:w="6558" w:type="dxa"/>
          </w:tcPr>
          <w:p w14:paraId="536EF1DC" w14:textId="796C8812" w:rsidR="00182709" w:rsidRDefault="0044097C">
            <w:pPr>
              <w:jc w:val="left"/>
            </w:pPr>
            <w:r w:rsidRPr="2856114A">
              <w:t>Ten</w:t>
            </w:r>
            <w:r w:rsidR="00B26EC9">
              <w:t>-</w:t>
            </w:r>
            <w:r w:rsidRPr="2856114A">
              <w:t>year</w:t>
            </w:r>
            <w:r>
              <w:t xml:space="preserve"> government bonds</w:t>
            </w:r>
          </w:p>
        </w:tc>
        <w:tc>
          <w:tcPr>
            <w:tcW w:w="866" w:type="dxa"/>
          </w:tcPr>
          <w:p w14:paraId="6241746A" w14:textId="77777777" w:rsidR="00182709" w:rsidRDefault="0044097C">
            <w:r>
              <w:t>220</w:t>
            </w:r>
          </w:p>
        </w:tc>
        <w:tc>
          <w:tcPr>
            <w:tcW w:w="866" w:type="dxa"/>
          </w:tcPr>
          <w:p w14:paraId="041BEB24" w14:textId="77777777" w:rsidR="00182709" w:rsidRDefault="0044097C">
            <w:r>
              <w:t>340</w:t>
            </w:r>
          </w:p>
        </w:tc>
      </w:tr>
      <w:tr w:rsidR="00182709" w14:paraId="6EBD5753" w14:textId="77777777" w:rsidTr="00105FBB">
        <w:tc>
          <w:tcPr>
            <w:tcW w:w="1349" w:type="dxa"/>
          </w:tcPr>
          <w:p w14:paraId="4B5BF802" w14:textId="77777777" w:rsidR="00182709" w:rsidRDefault="00182709">
            <w:pPr>
              <w:jc w:val="left"/>
            </w:pPr>
          </w:p>
        </w:tc>
        <w:tc>
          <w:tcPr>
            <w:tcW w:w="6558" w:type="dxa"/>
            <w:tcBorders>
              <w:bottom w:val="single" w:sz="12" w:space="0" w:color="auto"/>
            </w:tcBorders>
          </w:tcPr>
          <w:p w14:paraId="2246428A" w14:textId="77777777" w:rsidR="00182709" w:rsidRDefault="0044097C">
            <w:pPr>
              <w:jc w:val="left"/>
            </w:pPr>
            <w:r>
              <w:t>Debentures</w:t>
            </w:r>
          </w:p>
        </w:tc>
        <w:tc>
          <w:tcPr>
            <w:tcW w:w="866" w:type="dxa"/>
            <w:tcBorders>
              <w:bottom w:val="single" w:sz="12" w:space="0" w:color="auto"/>
            </w:tcBorders>
          </w:tcPr>
          <w:p w14:paraId="7C736B7D" w14:textId="77777777" w:rsidR="00182709" w:rsidRDefault="0044097C">
            <w:r>
              <w:t>565</w:t>
            </w:r>
          </w:p>
        </w:tc>
        <w:tc>
          <w:tcPr>
            <w:tcW w:w="866" w:type="dxa"/>
            <w:tcBorders>
              <w:bottom w:val="single" w:sz="12" w:space="0" w:color="auto"/>
            </w:tcBorders>
          </w:tcPr>
          <w:p w14:paraId="72EFA5ED" w14:textId="77777777" w:rsidR="00182709" w:rsidRDefault="0044097C">
            <w:r>
              <w:t>..</w:t>
            </w:r>
          </w:p>
        </w:tc>
      </w:tr>
      <w:tr w:rsidR="00671D55" w14:paraId="1FD58604" w14:textId="77777777" w:rsidTr="00105FBB">
        <w:tc>
          <w:tcPr>
            <w:tcW w:w="1349" w:type="dxa"/>
          </w:tcPr>
          <w:p w14:paraId="70CC1072" w14:textId="77777777" w:rsidR="00182709" w:rsidRDefault="00182709">
            <w:pPr>
              <w:jc w:val="left"/>
            </w:pPr>
          </w:p>
        </w:tc>
        <w:tc>
          <w:tcPr>
            <w:tcW w:w="6558" w:type="dxa"/>
          </w:tcPr>
          <w:p w14:paraId="5F9FEB02" w14:textId="77777777" w:rsidR="00182709" w:rsidRDefault="0044097C">
            <w:pPr>
              <w:jc w:val="left"/>
            </w:pPr>
            <w:r>
              <w:rPr>
                <w:b/>
              </w:rPr>
              <w:t>Total current investments and other financial assets</w:t>
            </w:r>
          </w:p>
        </w:tc>
        <w:tc>
          <w:tcPr>
            <w:tcW w:w="866" w:type="dxa"/>
          </w:tcPr>
          <w:p w14:paraId="1507A6D6" w14:textId="77777777" w:rsidR="00182709" w:rsidRDefault="0044097C">
            <w:r>
              <w:rPr>
                <w:b/>
              </w:rPr>
              <w:t>3 504</w:t>
            </w:r>
          </w:p>
        </w:tc>
        <w:tc>
          <w:tcPr>
            <w:tcW w:w="866" w:type="dxa"/>
          </w:tcPr>
          <w:p w14:paraId="619823ED" w14:textId="77777777" w:rsidR="00182709" w:rsidRDefault="0044097C">
            <w:r>
              <w:rPr>
                <w:b/>
              </w:rPr>
              <w:t>3 939</w:t>
            </w:r>
          </w:p>
        </w:tc>
      </w:tr>
      <w:tr w:rsidR="00671D55" w14:paraId="09FA536C" w14:textId="77777777" w:rsidTr="00105FBB">
        <w:tc>
          <w:tcPr>
            <w:tcW w:w="1349" w:type="dxa"/>
          </w:tcPr>
          <w:p w14:paraId="3A8A3976" w14:textId="77777777" w:rsidR="00182709" w:rsidRDefault="0044097C">
            <w:pPr>
              <w:jc w:val="left"/>
            </w:pPr>
            <w:r>
              <w:rPr>
                <w:color w:val="4472C4"/>
                <w:sz w:val="13"/>
              </w:rPr>
              <w:t>AASB 101.61</w:t>
            </w:r>
          </w:p>
        </w:tc>
        <w:tc>
          <w:tcPr>
            <w:tcW w:w="6558" w:type="dxa"/>
          </w:tcPr>
          <w:p w14:paraId="63CB38E9" w14:textId="77777777" w:rsidR="00182709" w:rsidRDefault="0044097C">
            <w:pPr>
              <w:jc w:val="left"/>
            </w:pPr>
            <w:r>
              <w:rPr>
                <w:b/>
              </w:rPr>
              <w:t>Non‑current investments and other financial assets</w:t>
            </w:r>
          </w:p>
        </w:tc>
        <w:tc>
          <w:tcPr>
            <w:tcW w:w="866" w:type="dxa"/>
          </w:tcPr>
          <w:p w14:paraId="065322B5" w14:textId="77777777" w:rsidR="00182709" w:rsidRDefault="00182709"/>
        </w:tc>
        <w:tc>
          <w:tcPr>
            <w:tcW w:w="866" w:type="dxa"/>
          </w:tcPr>
          <w:p w14:paraId="3E6727FC" w14:textId="77777777" w:rsidR="00182709" w:rsidRDefault="00182709"/>
        </w:tc>
      </w:tr>
      <w:tr w:rsidR="00182709" w14:paraId="74A0D831" w14:textId="77777777" w:rsidTr="00105FBB">
        <w:tc>
          <w:tcPr>
            <w:tcW w:w="1349" w:type="dxa"/>
          </w:tcPr>
          <w:p w14:paraId="3FFFAADA" w14:textId="77777777" w:rsidR="00182709" w:rsidRDefault="00182709">
            <w:pPr>
              <w:jc w:val="left"/>
            </w:pPr>
          </w:p>
        </w:tc>
        <w:tc>
          <w:tcPr>
            <w:tcW w:w="6558" w:type="dxa"/>
          </w:tcPr>
          <w:p w14:paraId="4E4A478F" w14:textId="77777777" w:rsidR="00182709" w:rsidRDefault="0044097C">
            <w:pPr>
              <w:jc w:val="left"/>
            </w:pPr>
            <w:r>
              <w:t>Equities and managed investment schemes:</w:t>
            </w:r>
          </w:p>
        </w:tc>
        <w:tc>
          <w:tcPr>
            <w:tcW w:w="866" w:type="dxa"/>
          </w:tcPr>
          <w:p w14:paraId="12A8150A" w14:textId="77777777" w:rsidR="00182709" w:rsidRDefault="00182709"/>
        </w:tc>
        <w:tc>
          <w:tcPr>
            <w:tcW w:w="866" w:type="dxa"/>
          </w:tcPr>
          <w:p w14:paraId="553BDD2D" w14:textId="77777777" w:rsidR="00182709" w:rsidRDefault="00182709"/>
        </w:tc>
      </w:tr>
      <w:tr w:rsidR="00182709" w14:paraId="50FAB1D1" w14:textId="77777777" w:rsidTr="00105FBB">
        <w:tc>
          <w:tcPr>
            <w:tcW w:w="1349" w:type="dxa"/>
          </w:tcPr>
          <w:p w14:paraId="5992CFA1" w14:textId="77777777" w:rsidR="00182709" w:rsidRDefault="00182709">
            <w:pPr>
              <w:jc w:val="left"/>
            </w:pPr>
          </w:p>
        </w:tc>
        <w:tc>
          <w:tcPr>
            <w:tcW w:w="6558" w:type="dxa"/>
          </w:tcPr>
          <w:p w14:paraId="703428D4" w14:textId="77777777" w:rsidR="00182709" w:rsidRDefault="0044097C">
            <w:pPr>
              <w:jc w:val="left"/>
            </w:pPr>
            <w:r>
              <w:t xml:space="preserve">Listed securities </w:t>
            </w:r>
            <w:r>
              <w:rPr>
                <w:vertAlign w:val="superscript"/>
              </w:rPr>
              <w:t>(c)</w:t>
            </w:r>
          </w:p>
        </w:tc>
        <w:tc>
          <w:tcPr>
            <w:tcW w:w="866" w:type="dxa"/>
          </w:tcPr>
          <w:p w14:paraId="1C0F48F3" w14:textId="77777777" w:rsidR="00182709" w:rsidRDefault="0044097C">
            <w:r>
              <w:t>1 614</w:t>
            </w:r>
          </w:p>
        </w:tc>
        <w:tc>
          <w:tcPr>
            <w:tcW w:w="866" w:type="dxa"/>
          </w:tcPr>
          <w:p w14:paraId="116E568A" w14:textId="77777777" w:rsidR="00182709" w:rsidRDefault="0044097C">
            <w:r>
              <w:t>1 492</w:t>
            </w:r>
          </w:p>
        </w:tc>
      </w:tr>
      <w:tr w:rsidR="00182709" w14:paraId="33B1CAB1" w14:textId="77777777" w:rsidTr="00105FBB">
        <w:tc>
          <w:tcPr>
            <w:tcW w:w="1349" w:type="dxa"/>
          </w:tcPr>
          <w:p w14:paraId="3C8475EB" w14:textId="77777777" w:rsidR="00182709" w:rsidRDefault="00182709">
            <w:pPr>
              <w:jc w:val="left"/>
            </w:pPr>
          </w:p>
        </w:tc>
        <w:tc>
          <w:tcPr>
            <w:tcW w:w="6558" w:type="dxa"/>
          </w:tcPr>
          <w:p w14:paraId="40AC8DCA" w14:textId="77777777" w:rsidR="00182709" w:rsidRDefault="0044097C">
            <w:pPr>
              <w:jc w:val="left"/>
            </w:pPr>
            <w:r>
              <w:t xml:space="preserve">Unlisted securities </w:t>
            </w:r>
            <w:r>
              <w:rPr>
                <w:vertAlign w:val="superscript"/>
              </w:rPr>
              <w:t>(d)</w:t>
            </w:r>
          </w:p>
        </w:tc>
        <w:tc>
          <w:tcPr>
            <w:tcW w:w="866" w:type="dxa"/>
          </w:tcPr>
          <w:p w14:paraId="36C85AEC" w14:textId="77777777" w:rsidR="00182709" w:rsidRDefault="0044097C">
            <w:r>
              <w:t>322</w:t>
            </w:r>
          </w:p>
        </w:tc>
        <w:tc>
          <w:tcPr>
            <w:tcW w:w="866" w:type="dxa"/>
          </w:tcPr>
          <w:p w14:paraId="3F54CFB9" w14:textId="77777777" w:rsidR="00182709" w:rsidRDefault="0044097C">
            <w:r>
              <w:t>538</w:t>
            </w:r>
          </w:p>
        </w:tc>
      </w:tr>
      <w:tr w:rsidR="00182709" w14:paraId="774D524F" w14:textId="77777777" w:rsidTr="00105FBB">
        <w:tc>
          <w:tcPr>
            <w:tcW w:w="1349" w:type="dxa"/>
          </w:tcPr>
          <w:p w14:paraId="46B9C403" w14:textId="77777777" w:rsidR="00182709" w:rsidRDefault="00182709">
            <w:pPr>
              <w:jc w:val="left"/>
            </w:pPr>
          </w:p>
        </w:tc>
        <w:tc>
          <w:tcPr>
            <w:tcW w:w="6558" w:type="dxa"/>
          </w:tcPr>
          <w:p w14:paraId="5FA18D84" w14:textId="77777777" w:rsidR="00182709" w:rsidRDefault="0044097C">
            <w:pPr>
              <w:jc w:val="left"/>
            </w:pPr>
            <w:r>
              <w:t>Managed investment schemes</w:t>
            </w:r>
            <w:r>
              <w:rPr>
                <w:vertAlign w:val="superscript"/>
              </w:rPr>
              <w:t xml:space="preserve"> (c)</w:t>
            </w:r>
          </w:p>
        </w:tc>
        <w:tc>
          <w:tcPr>
            <w:tcW w:w="866" w:type="dxa"/>
          </w:tcPr>
          <w:p w14:paraId="53BEE668" w14:textId="77777777" w:rsidR="00182709" w:rsidRDefault="0044097C">
            <w:r>
              <w:t>229</w:t>
            </w:r>
          </w:p>
        </w:tc>
        <w:tc>
          <w:tcPr>
            <w:tcW w:w="866" w:type="dxa"/>
          </w:tcPr>
          <w:p w14:paraId="5D99FB5F" w14:textId="77777777" w:rsidR="00182709" w:rsidRDefault="0044097C">
            <w:r>
              <w:t>2 149</w:t>
            </w:r>
          </w:p>
        </w:tc>
      </w:tr>
      <w:tr w:rsidR="00182709" w14:paraId="6AAD323B" w14:textId="77777777" w:rsidTr="00105FBB">
        <w:tc>
          <w:tcPr>
            <w:tcW w:w="1349" w:type="dxa"/>
          </w:tcPr>
          <w:p w14:paraId="6C5BA8FE" w14:textId="77777777" w:rsidR="00182709" w:rsidRDefault="00182709">
            <w:pPr>
              <w:jc w:val="left"/>
            </w:pPr>
          </w:p>
        </w:tc>
        <w:tc>
          <w:tcPr>
            <w:tcW w:w="6558" w:type="dxa"/>
          </w:tcPr>
          <w:p w14:paraId="136F01B3" w14:textId="77777777" w:rsidR="00182709" w:rsidRDefault="0044097C">
            <w:pPr>
              <w:jc w:val="left"/>
            </w:pPr>
            <w:r>
              <w:rPr>
                <w:b/>
              </w:rPr>
              <w:t>Debt securities:</w:t>
            </w:r>
          </w:p>
        </w:tc>
        <w:tc>
          <w:tcPr>
            <w:tcW w:w="866" w:type="dxa"/>
          </w:tcPr>
          <w:p w14:paraId="24A0F962" w14:textId="77777777" w:rsidR="00182709" w:rsidRDefault="00182709"/>
        </w:tc>
        <w:tc>
          <w:tcPr>
            <w:tcW w:w="866" w:type="dxa"/>
          </w:tcPr>
          <w:p w14:paraId="4E8BF7C5" w14:textId="77777777" w:rsidR="00182709" w:rsidRDefault="00182709"/>
        </w:tc>
      </w:tr>
      <w:tr w:rsidR="00182709" w14:paraId="08B8E38A" w14:textId="77777777" w:rsidTr="00105FBB">
        <w:tc>
          <w:tcPr>
            <w:tcW w:w="1349" w:type="dxa"/>
          </w:tcPr>
          <w:p w14:paraId="116CF055" w14:textId="77777777" w:rsidR="00182709" w:rsidRDefault="00182709">
            <w:pPr>
              <w:jc w:val="left"/>
            </w:pPr>
          </w:p>
        </w:tc>
        <w:tc>
          <w:tcPr>
            <w:tcW w:w="6558" w:type="dxa"/>
          </w:tcPr>
          <w:p w14:paraId="1B4C99C3" w14:textId="275717AD" w:rsidR="00182709" w:rsidRDefault="0044097C">
            <w:pPr>
              <w:jc w:val="left"/>
            </w:pPr>
            <w:r w:rsidRPr="2856114A">
              <w:t>Five</w:t>
            </w:r>
            <w:r w:rsidR="00B26EC9">
              <w:t>-</w:t>
            </w:r>
            <w:r w:rsidRPr="2856114A">
              <w:t>year</w:t>
            </w:r>
            <w:r>
              <w:t xml:space="preserve"> government bonds at fair value through profit or loss</w:t>
            </w:r>
          </w:p>
        </w:tc>
        <w:tc>
          <w:tcPr>
            <w:tcW w:w="866" w:type="dxa"/>
          </w:tcPr>
          <w:p w14:paraId="64B3A01C" w14:textId="77777777" w:rsidR="00182709" w:rsidRDefault="0044097C">
            <w:r>
              <w:t>3 823</w:t>
            </w:r>
          </w:p>
        </w:tc>
        <w:tc>
          <w:tcPr>
            <w:tcW w:w="866" w:type="dxa"/>
          </w:tcPr>
          <w:p w14:paraId="5A123CF2" w14:textId="77777777" w:rsidR="00182709" w:rsidRDefault="0044097C">
            <w:r>
              <w:t>2 409</w:t>
            </w:r>
          </w:p>
        </w:tc>
      </w:tr>
      <w:tr w:rsidR="00182709" w14:paraId="253C6773" w14:textId="77777777" w:rsidTr="00105FBB">
        <w:tc>
          <w:tcPr>
            <w:tcW w:w="1349" w:type="dxa"/>
          </w:tcPr>
          <w:p w14:paraId="37FDCD85" w14:textId="77777777" w:rsidR="00182709" w:rsidRDefault="00182709">
            <w:pPr>
              <w:jc w:val="left"/>
            </w:pPr>
          </w:p>
        </w:tc>
        <w:tc>
          <w:tcPr>
            <w:tcW w:w="6558" w:type="dxa"/>
          </w:tcPr>
          <w:p w14:paraId="1EC23D7C" w14:textId="673810E6" w:rsidR="00182709" w:rsidRDefault="0044097C">
            <w:pPr>
              <w:jc w:val="left"/>
            </w:pPr>
            <w:r w:rsidRPr="2856114A">
              <w:t>Five</w:t>
            </w:r>
            <w:r w:rsidR="00B26EC9">
              <w:t>-</w:t>
            </w:r>
            <w:r w:rsidRPr="2856114A">
              <w:t>year</w:t>
            </w:r>
            <w:r>
              <w:t xml:space="preserve"> government bonds</w:t>
            </w:r>
          </w:p>
        </w:tc>
        <w:tc>
          <w:tcPr>
            <w:tcW w:w="866" w:type="dxa"/>
          </w:tcPr>
          <w:p w14:paraId="1CBD938B" w14:textId="77777777" w:rsidR="00182709" w:rsidRDefault="0044097C">
            <w:r>
              <w:t>455</w:t>
            </w:r>
          </w:p>
        </w:tc>
        <w:tc>
          <w:tcPr>
            <w:tcW w:w="866" w:type="dxa"/>
          </w:tcPr>
          <w:p w14:paraId="2FD1F8A4" w14:textId="77777777" w:rsidR="00182709" w:rsidRDefault="0044097C">
            <w:r>
              <w:t>2 195</w:t>
            </w:r>
          </w:p>
        </w:tc>
      </w:tr>
      <w:tr w:rsidR="00182709" w14:paraId="024F827E" w14:textId="77777777" w:rsidTr="00105FBB">
        <w:tc>
          <w:tcPr>
            <w:tcW w:w="1349" w:type="dxa"/>
          </w:tcPr>
          <w:p w14:paraId="19595F47" w14:textId="77777777" w:rsidR="00182709" w:rsidRDefault="00182709">
            <w:pPr>
              <w:jc w:val="left"/>
            </w:pPr>
          </w:p>
        </w:tc>
        <w:tc>
          <w:tcPr>
            <w:tcW w:w="6558" w:type="dxa"/>
          </w:tcPr>
          <w:p w14:paraId="14A8D8A0" w14:textId="17D23ECF" w:rsidR="00182709" w:rsidRDefault="0044097C">
            <w:pPr>
              <w:jc w:val="left"/>
            </w:pPr>
            <w:r w:rsidRPr="2856114A">
              <w:t>Ten</w:t>
            </w:r>
            <w:r w:rsidR="00B26EC9">
              <w:t>-</w:t>
            </w:r>
            <w:r w:rsidRPr="2856114A">
              <w:t>year</w:t>
            </w:r>
            <w:r>
              <w:t xml:space="preserve"> government bonds</w:t>
            </w:r>
          </w:p>
        </w:tc>
        <w:tc>
          <w:tcPr>
            <w:tcW w:w="866" w:type="dxa"/>
          </w:tcPr>
          <w:p w14:paraId="2C8B1D96" w14:textId="77777777" w:rsidR="00182709" w:rsidRDefault="0044097C">
            <w:r>
              <w:t>1 880</w:t>
            </w:r>
          </w:p>
        </w:tc>
        <w:tc>
          <w:tcPr>
            <w:tcW w:w="866" w:type="dxa"/>
          </w:tcPr>
          <w:p w14:paraId="6FFAC474" w14:textId="77777777" w:rsidR="00182709" w:rsidRDefault="0044097C">
            <w:r>
              <w:t>1 880</w:t>
            </w:r>
          </w:p>
        </w:tc>
      </w:tr>
      <w:tr w:rsidR="00182709" w14:paraId="551A2D70" w14:textId="77777777" w:rsidTr="00105FBB">
        <w:tc>
          <w:tcPr>
            <w:tcW w:w="1349" w:type="dxa"/>
          </w:tcPr>
          <w:p w14:paraId="3F4DC210" w14:textId="77777777" w:rsidR="00182709" w:rsidRDefault="00182709">
            <w:pPr>
              <w:jc w:val="left"/>
            </w:pPr>
          </w:p>
        </w:tc>
        <w:tc>
          <w:tcPr>
            <w:tcW w:w="6558" w:type="dxa"/>
          </w:tcPr>
          <w:p w14:paraId="251AB2B0" w14:textId="77777777" w:rsidR="00182709" w:rsidRDefault="0044097C">
            <w:pPr>
              <w:jc w:val="left"/>
            </w:pPr>
            <w:r>
              <w:t>Debentures</w:t>
            </w:r>
          </w:p>
        </w:tc>
        <w:tc>
          <w:tcPr>
            <w:tcW w:w="866" w:type="dxa"/>
          </w:tcPr>
          <w:p w14:paraId="0C45D060" w14:textId="77777777" w:rsidR="00182709" w:rsidRDefault="0044097C">
            <w:r>
              <w:t>1 300</w:t>
            </w:r>
          </w:p>
        </w:tc>
        <w:tc>
          <w:tcPr>
            <w:tcW w:w="866" w:type="dxa"/>
          </w:tcPr>
          <w:p w14:paraId="6D579C75" w14:textId="77777777" w:rsidR="00182709" w:rsidRDefault="0044097C">
            <w:r>
              <w:t>192</w:t>
            </w:r>
          </w:p>
        </w:tc>
      </w:tr>
      <w:tr w:rsidR="00182709" w14:paraId="4BDC0163" w14:textId="77777777" w:rsidTr="00105FBB">
        <w:tc>
          <w:tcPr>
            <w:tcW w:w="1349" w:type="dxa"/>
          </w:tcPr>
          <w:p w14:paraId="684E021E" w14:textId="77777777" w:rsidR="00182709" w:rsidRDefault="00182709">
            <w:pPr>
              <w:jc w:val="left"/>
            </w:pPr>
          </w:p>
        </w:tc>
        <w:tc>
          <w:tcPr>
            <w:tcW w:w="6558" w:type="dxa"/>
          </w:tcPr>
          <w:p w14:paraId="13B43056" w14:textId="77777777" w:rsidR="00182709" w:rsidRDefault="0044097C">
            <w:pPr>
              <w:jc w:val="left"/>
            </w:pPr>
            <w:r>
              <w:rPr>
                <w:b/>
              </w:rPr>
              <w:t xml:space="preserve">Term deposits: </w:t>
            </w:r>
            <w:r>
              <w:rPr>
                <w:b/>
                <w:vertAlign w:val="superscript"/>
              </w:rPr>
              <w:t>(a)</w:t>
            </w:r>
          </w:p>
        </w:tc>
        <w:tc>
          <w:tcPr>
            <w:tcW w:w="866" w:type="dxa"/>
          </w:tcPr>
          <w:p w14:paraId="02AF1B41" w14:textId="77777777" w:rsidR="00182709" w:rsidRDefault="00182709"/>
        </w:tc>
        <w:tc>
          <w:tcPr>
            <w:tcW w:w="866" w:type="dxa"/>
          </w:tcPr>
          <w:p w14:paraId="12B52F15" w14:textId="77777777" w:rsidR="00182709" w:rsidRDefault="00182709"/>
        </w:tc>
      </w:tr>
      <w:tr w:rsidR="00182709" w14:paraId="3307DDB6" w14:textId="77777777" w:rsidTr="00105FBB">
        <w:tc>
          <w:tcPr>
            <w:tcW w:w="1349" w:type="dxa"/>
          </w:tcPr>
          <w:p w14:paraId="522E0BC1" w14:textId="77777777" w:rsidR="00182709" w:rsidRDefault="00182709">
            <w:pPr>
              <w:jc w:val="left"/>
            </w:pPr>
          </w:p>
        </w:tc>
        <w:tc>
          <w:tcPr>
            <w:tcW w:w="6558" w:type="dxa"/>
            <w:tcBorders>
              <w:bottom w:val="single" w:sz="12" w:space="0" w:color="auto"/>
            </w:tcBorders>
          </w:tcPr>
          <w:p w14:paraId="4B85CE51" w14:textId="77777777" w:rsidR="00182709" w:rsidRDefault="0044097C">
            <w:pPr>
              <w:jc w:val="left"/>
            </w:pPr>
            <w:r>
              <w:t>Australian dollar term deposits &gt; 12 months</w:t>
            </w:r>
          </w:p>
        </w:tc>
        <w:tc>
          <w:tcPr>
            <w:tcW w:w="866" w:type="dxa"/>
            <w:tcBorders>
              <w:bottom w:val="single" w:sz="12" w:space="0" w:color="auto"/>
            </w:tcBorders>
          </w:tcPr>
          <w:p w14:paraId="6748E625" w14:textId="77777777" w:rsidR="00182709" w:rsidRDefault="0044097C">
            <w:r>
              <w:t>949</w:t>
            </w:r>
          </w:p>
        </w:tc>
        <w:tc>
          <w:tcPr>
            <w:tcW w:w="866" w:type="dxa"/>
            <w:tcBorders>
              <w:bottom w:val="single" w:sz="12" w:space="0" w:color="auto"/>
            </w:tcBorders>
          </w:tcPr>
          <w:p w14:paraId="72B208C8" w14:textId="77777777" w:rsidR="00182709" w:rsidRDefault="0044097C">
            <w:r>
              <w:t>1 937</w:t>
            </w:r>
          </w:p>
        </w:tc>
      </w:tr>
      <w:tr w:rsidR="00671D55" w14:paraId="51464E4E" w14:textId="77777777" w:rsidTr="00105FBB">
        <w:tc>
          <w:tcPr>
            <w:tcW w:w="1349" w:type="dxa"/>
          </w:tcPr>
          <w:p w14:paraId="4FD16F1A" w14:textId="77777777" w:rsidR="00182709" w:rsidRDefault="00182709">
            <w:pPr>
              <w:jc w:val="left"/>
            </w:pPr>
          </w:p>
        </w:tc>
        <w:tc>
          <w:tcPr>
            <w:tcW w:w="6558" w:type="dxa"/>
          </w:tcPr>
          <w:p w14:paraId="30A00613" w14:textId="77777777" w:rsidR="00182709" w:rsidRDefault="0044097C">
            <w:pPr>
              <w:jc w:val="left"/>
            </w:pPr>
            <w:r>
              <w:rPr>
                <w:b/>
              </w:rPr>
              <w:t>Total non‑current investments and other financial assets</w:t>
            </w:r>
          </w:p>
        </w:tc>
        <w:tc>
          <w:tcPr>
            <w:tcW w:w="866" w:type="dxa"/>
          </w:tcPr>
          <w:p w14:paraId="0615C146" w14:textId="77777777" w:rsidR="00182709" w:rsidRDefault="0044097C">
            <w:r>
              <w:rPr>
                <w:b/>
              </w:rPr>
              <w:t>10 572</w:t>
            </w:r>
          </w:p>
        </w:tc>
        <w:tc>
          <w:tcPr>
            <w:tcW w:w="866" w:type="dxa"/>
          </w:tcPr>
          <w:p w14:paraId="0BA46104" w14:textId="77777777" w:rsidR="00182709" w:rsidRDefault="0044097C">
            <w:r>
              <w:rPr>
                <w:b/>
              </w:rPr>
              <w:t>12 792</w:t>
            </w:r>
          </w:p>
        </w:tc>
      </w:tr>
      <w:tr w:rsidR="00671D55" w14:paraId="0103B2DE" w14:textId="77777777" w:rsidTr="00105FBB">
        <w:tc>
          <w:tcPr>
            <w:tcW w:w="1349" w:type="dxa"/>
            <w:tcBorders>
              <w:bottom w:val="nil"/>
            </w:tcBorders>
          </w:tcPr>
          <w:p w14:paraId="47957A26" w14:textId="77777777" w:rsidR="00182709" w:rsidRDefault="00182709">
            <w:pPr>
              <w:jc w:val="left"/>
            </w:pPr>
          </w:p>
        </w:tc>
        <w:tc>
          <w:tcPr>
            <w:tcW w:w="6558" w:type="dxa"/>
          </w:tcPr>
          <w:p w14:paraId="4C7BE4D6" w14:textId="77777777" w:rsidR="00182709" w:rsidRDefault="0044097C">
            <w:pPr>
              <w:jc w:val="left"/>
            </w:pPr>
            <w:r>
              <w:rPr>
                <w:b/>
              </w:rPr>
              <w:t>Total investments and other financial assets</w:t>
            </w:r>
          </w:p>
        </w:tc>
        <w:tc>
          <w:tcPr>
            <w:tcW w:w="866" w:type="dxa"/>
          </w:tcPr>
          <w:p w14:paraId="4806C833" w14:textId="77777777" w:rsidR="00182709" w:rsidRDefault="0044097C">
            <w:r>
              <w:rPr>
                <w:b/>
              </w:rPr>
              <w:t>14 076</w:t>
            </w:r>
          </w:p>
        </w:tc>
        <w:tc>
          <w:tcPr>
            <w:tcW w:w="866" w:type="dxa"/>
          </w:tcPr>
          <w:p w14:paraId="473B19EE" w14:textId="77777777" w:rsidR="00182709" w:rsidRDefault="0044097C">
            <w:r>
              <w:rPr>
                <w:b/>
              </w:rPr>
              <w:t>16 731</w:t>
            </w:r>
          </w:p>
        </w:tc>
      </w:tr>
    </w:tbl>
    <w:p w14:paraId="5059229A" w14:textId="77777777" w:rsidR="003719CD" w:rsidRDefault="003719CD" w:rsidP="007D536F">
      <w:pPr>
        <w:pStyle w:val="Note"/>
      </w:pPr>
      <w:r>
        <w:t>Notes:</w:t>
      </w:r>
    </w:p>
    <w:p w14:paraId="06915DBE" w14:textId="77777777" w:rsidR="003719CD" w:rsidRDefault="003719CD" w:rsidP="007D536F">
      <w:pPr>
        <w:pStyle w:val="Note"/>
      </w:pPr>
      <w:r>
        <w:t>(a)</w:t>
      </w:r>
      <w:r>
        <w:tab/>
        <w:t>Term deposits under ‘investments and other financial assets’ class include only term deposits with maturity greater than 90 days.</w:t>
      </w:r>
    </w:p>
    <w:p w14:paraId="11C5F5CD" w14:textId="77777777" w:rsidR="003719CD" w:rsidRDefault="003719CD" w:rsidP="007D536F">
      <w:pPr>
        <w:pStyle w:val="Note"/>
      </w:pPr>
      <w:r>
        <w:t>(b)</w:t>
      </w:r>
      <w:r>
        <w:tab/>
        <w:t>These are debt securities that are maturing within the next 12 months.</w:t>
      </w:r>
    </w:p>
    <w:p w14:paraId="727380A7" w14:textId="77777777" w:rsidR="003719CD" w:rsidRDefault="003719CD" w:rsidP="007D536F">
      <w:pPr>
        <w:pStyle w:val="Note"/>
      </w:pPr>
      <w:r>
        <w:t>(c)</w:t>
      </w:r>
      <w:r>
        <w:tab/>
        <w:t>The Department measures all its listed equities and managed investment schemes at fair value through net result. Unless such assets are part of a disposal group held for sale, all equities and managed investment schemes are classified as non-current.</w:t>
      </w:r>
    </w:p>
    <w:p w14:paraId="541B75F0" w14:textId="77777777" w:rsidR="003719CD" w:rsidRDefault="003719CD" w:rsidP="007D536F">
      <w:pPr>
        <w:pStyle w:val="Note"/>
      </w:pPr>
      <w:r>
        <w:t>(d)</w:t>
      </w:r>
      <w:r>
        <w:tab/>
        <w:t>Unlisted securities include shares in Entity ABC, which were gifted to the Department under the Davey Bequest and can only be sold to fund projects for the development of new technology. The Department designated all its unlisted equity investments as fair value through other comprehensive income.</w:t>
      </w:r>
    </w:p>
    <w:p w14:paraId="3C8847FD" w14:textId="6373EB67" w:rsidR="003719CD" w:rsidRDefault="003719CD" w:rsidP="00DC39DE"/>
    <w:p w14:paraId="533E798B" w14:textId="77777777" w:rsidR="003719CD" w:rsidRDefault="003719CD" w:rsidP="007D536F">
      <w:pPr>
        <w:pStyle w:val="GuidanceBlockHeading"/>
      </w:pPr>
      <w:r>
        <w:t>Guidance – Investments and other financial assets</w:t>
      </w:r>
    </w:p>
    <w:p w14:paraId="1EC9B206" w14:textId="77777777" w:rsidR="003719CD" w:rsidRPr="00812864" w:rsidRDefault="003719CD" w:rsidP="007D536F">
      <w:pPr>
        <w:pStyle w:val="GuidanceHeading"/>
        <w:rPr>
          <w:rStyle w:val="Guidance"/>
        </w:rPr>
      </w:pPr>
      <w:r w:rsidRPr="00812864">
        <w:rPr>
          <w:rStyle w:val="Guidance"/>
        </w:rPr>
        <w:t>Restricted assets</w:t>
      </w:r>
    </w:p>
    <w:p w14:paraId="3ABF5291" w14:textId="146FCC86" w:rsidR="003719CD" w:rsidRPr="00812864" w:rsidRDefault="003719CD" w:rsidP="007D536F">
      <w:pPr>
        <w:rPr>
          <w:rStyle w:val="Guidance"/>
        </w:rPr>
      </w:pPr>
      <w:r w:rsidRPr="00812864">
        <w:rPr>
          <w:rStyle w:val="Guidance"/>
        </w:rPr>
        <w:t>Where the use of an asset, which is recognised in the balance sheet of a department is restricted, wholly or in part, by regulations or other externally imposed requirements, and information about those restrictions is relevant to assessing the performance or financial position of the department, the following must be disclosed</w:t>
      </w:r>
      <w:r w:rsidR="008D43CC">
        <w:rPr>
          <w:rStyle w:val="Guidance"/>
        </w:rPr>
        <w:t>, including</w:t>
      </w:r>
      <w:r w:rsidRPr="00812864">
        <w:rPr>
          <w:rStyle w:val="Guidance"/>
        </w:rPr>
        <w:t>:</w:t>
      </w:r>
    </w:p>
    <w:p w14:paraId="58CF5BF7" w14:textId="7408F19B" w:rsidR="003719CD" w:rsidRPr="00812864" w:rsidRDefault="003719CD" w:rsidP="00310F12">
      <w:pPr>
        <w:pStyle w:val="ListBullet"/>
        <w:rPr>
          <w:rStyle w:val="Guidance"/>
        </w:rPr>
      </w:pPr>
      <w:r w:rsidRPr="00812864">
        <w:rPr>
          <w:rStyle w:val="Guidance"/>
        </w:rPr>
        <w:t>the identity and carrying amount of those assets, the use of which is restricted</w:t>
      </w:r>
    </w:p>
    <w:p w14:paraId="26080406" w14:textId="77777777" w:rsidR="003719CD" w:rsidRPr="00812864" w:rsidRDefault="003719CD" w:rsidP="00310F12">
      <w:pPr>
        <w:pStyle w:val="ListBullet"/>
        <w:rPr>
          <w:rStyle w:val="Guidance"/>
        </w:rPr>
      </w:pPr>
      <w:r w:rsidRPr="00812864">
        <w:rPr>
          <w:rStyle w:val="Guidance"/>
        </w:rPr>
        <w:t>the nature of those restrictions.</w:t>
      </w:r>
    </w:p>
    <w:p w14:paraId="1C8F263C" w14:textId="77777777" w:rsidR="003719CD" w:rsidRPr="00812864" w:rsidRDefault="003719CD" w:rsidP="007D536F">
      <w:pPr>
        <w:pStyle w:val="GuidanceHeading"/>
        <w:rPr>
          <w:rStyle w:val="Guidance"/>
        </w:rPr>
      </w:pPr>
      <w:r w:rsidRPr="00812864">
        <w:rPr>
          <w:rStyle w:val="Guidance"/>
        </w:rPr>
        <w:t>Derecognition of financial assets</w:t>
      </w:r>
    </w:p>
    <w:p w14:paraId="3ABA8D49" w14:textId="77777777" w:rsidR="003719CD" w:rsidRPr="00812864" w:rsidRDefault="003719CD" w:rsidP="007D536F">
      <w:pPr>
        <w:rPr>
          <w:rStyle w:val="Guidance"/>
        </w:rPr>
      </w:pPr>
      <w:r w:rsidRPr="00812864">
        <w:rPr>
          <w:rStyle w:val="Guidance"/>
        </w:rPr>
        <w:t>These requirements are addressed in the ‘Financial Instruments’ note and are not repeated here.</w:t>
      </w:r>
    </w:p>
    <w:p w14:paraId="21CAF9EB" w14:textId="77777777" w:rsidR="003719CD" w:rsidRPr="00812864" w:rsidRDefault="003719CD" w:rsidP="007D536F">
      <w:pPr>
        <w:pStyle w:val="GuidanceEnd"/>
      </w:pPr>
    </w:p>
    <w:p w14:paraId="2C3F0D70" w14:textId="77777777" w:rsidR="003B7EFD" w:rsidRDefault="003B7EFD">
      <w:pPr>
        <w:keepLines w:val="0"/>
        <w:rPr>
          <w:rFonts w:asciiTheme="majorHAnsi" w:eastAsiaTheme="majorEastAsia" w:hAnsiTheme="majorHAnsi" w:cstheme="majorBidi"/>
          <w:b/>
          <w:sz w:val="26"/>
          <w:szCs w:val="26"/>
        </w:rPr>
      </w:pPr>
      <w:bookmarkStart w:id="73" w:name="_Toc64983161"/>
      <w:r>
        <w:br w:type="page"/>
      </w:r>
    </w:p>
    <w:p w14:paraId="02E28265" w14:textId="28785AC5" w:rsidR="003719CD" w:rsidRDefault="003719CD" w:rsidP="00A80494">
      <w:pPr>
        <w:pStyle w:val="Heading2numbered"/>
      </w:pPr>
      <w:bookmarkStart w:id="74" w:name="_Toc96704909"/>
      <w:bookmarkStart w:id="75" w:name="_Toc130225970"/>
      <w:r>
        <w:lastRenderedPageBreak/>
        <w:t>Acquisition and disposal of entities</w:t>
      </w:r>
      <w:bookmarkEnd w:id="73"/>
      <w:bookmarkEnd w:id="74"/>
      <w:bookmarkEnd w:id="75"/>
    </w:p>
    <w:p w14:paraId="46B0FDE2" w14:textId="77777777" w:rsidR="003719CD" w:rsidRDefault="003719CD" w:rsidP="00A80494">
      <w:pPr>
        <w:pStyle w:val="Heading3numbered"/>
      </w:pPr>
      <w:r>
        <w:t xml:space="preserve">Entity acquired </w:t>
      </w:r>
      <w:r w:rsidRPr="00812864">
        <w:rPr>
          <w:rStyle w:val="Reference"/>
        </w:rPr>
        <w:t>[AASB 107.40]</w:t>
      </w:r>
    </w:p>
    <w:p w14:paraId="0F08B2DB" w14:textId="1035652B" w:rsidR="003719CD" w:rsidRDefault="003719CD" w:rsidP="00DC39DE">
      <w:r>
        <w:t xml:space="preserve">On 2 August </w:t>
      </w:r>
      <w:fldSimple w:instr="DOCPROPERTY  YearPrevious  \* MERGEFORMAT">
        <w:r w:rsidR="00A545BA">
          <w:t>20X1</w:t>
        </w:r>
      </w:fldSimple>
      <w:r>
        <w:t>, the Department acquired 100 per cent of the net assets of IT Communications Pty Limited for cash consideration of $26 million. Details of the acquisition are as follows:</w:t>
      </w:r>
    </w:p>
    <w:p w14:paraId="5BC22751"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105FBB" w14:paraId="3EE01F8F"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631268D4" w14:textId="77777777" w:rsidR="00105FBB" w:rsidRDefault="00105FBB" w:rsidP="00105FBB">
            <w:pPr>
              <w:keepNext/>
            </w:pPr>
          </w:p>
        </w:tc>
        <w:tc>
          <w:tcPr>
            <w:tcW w:w="907" w:type="dxa"/>
          </w:tcPr>
          <w:p w14:paraId="544C69C7" w14:textId="04E19113"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105FBB">
                <w:t>20X2</w:t>
              </w:r>
            </w:fldSimple>
          </w:p>
        </w:tc>
        <w:tc>
          <w:tcPr>
            <w:tcW w:w="907" w:type="dxa"/>
          </w:tcPr>
          <w:p w14:paraId="1282CC31" w14:textId="486C6A09"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105FBB">
                <w:t>20X1</w:t>
              </w:r>
            </w:fldSimple>
          </w:p>
        </w:tc>
      </w:tr>
      <w:tr w:rsidR="008E5233" w14:paraId="2ECB49A8" w14:textId="77777777">
        <w:tc>
          <w:tcPr>
            <w:cnfStyle w:val="001000000000" w:firstRow="0" w:lastRow="0" w:firstColumn="1" w:lastColumn="0" w:oddVBand="0" w:evenVBand="0" w:oddHBand="0" w:evenHBand="0" w:firstRowFirstColumn="0" w:firstRowLastColumn="0" w:lastRowFirstColumn="0" w:lastRowLastColumn="0"/>
            <w:tcW w:w="7825" w:type="dxa"/>
          </w:tcPr>
          <w:p w14:paraId="37278DC9" w14:textId="77777777" w:rsidR="008E5233" w:rsidRDefault="005648A9">
            <w:r>
              <w:rPr>
                <w:b/>
              </w:rPr>
              <w:t>Consideration</w:t>
            </w:r>
          </w:p>
        </w:tc>
        <w:tc>
          <w:tcPr>
            <w:tcW w:w="907" w:type="dxa"/>
          </w:tcPr>
          <w:p w14:paraId="037733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F0E33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D75EAE7" w14:textId="77777777">
        <w:tc>
          <w:tcPr>
            <w:cnfStyle w:val="001000000000" w:firstRow="0" w:lastRow="0" w:firstColumn="1" w:lastColumn="0" w:oddVBand="0" w:evenVBand="0" w:oddHBand="0" w:evenHBand="0" w:firstRowFirstColumn="0" w:firstRowLastColumn="0" w:lastRowFirstColumn="0" w:lastRowLastColumn="0"/>
            <w:tcW w:w="7825" w:type="dxa"/>
          </w:tcPr>
          <w:p w14:paraId="47D58A5F" w14:textId="77777777" w:rsidR="008E5233" w:rsidRDefault="005648A9">
            <w:r>
              <w:t>Cash and cash equivalents</w:t>
            </w:r>
          </w:p>
        </w:tc>
        <w:tc>
          <w:tcPr>
            <w:tcW w:w="907" w:type="dxa"/>
          </w:tcPr>
          <w:p w14:paraId="662A3E45" w14:textId="77777777" w:rsidR="008E5233" w:rsidRDefault="005648A9">
            <w:pPr>
              <w:cnfStyle w:val="000000000000" w:firstRow="0" w:lastRow="0" w:firstColumn="0" w:lastColumn="0" w:oddVBand="0" w:evenVBand="0" w:oddHBand="0" w:evenHBand="0" w:firstRowFirstColumn="0" w:firstRowLastColumn="0" w:lastRowFirstColumn="0" w:lastRowLastColumn="0"/>
            </w:pPr>
            <w:r>
              <w:t>26 035</w:t>
            </w:r>
          </w:p>
        </w:tc>
        <w:tc>
          <w:tcPr>
            <w:tcW w:w="907" w:type="dxa"/>
          </w:tcPr>
          <w:p w14:paraId="7DA3BC2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DEAB4FA" w14:textId="77777777">
        <w:tc>
          <w:tcPr>
            <w:cnfStyle w:val="001000000000" w:firstRow="0" w:lastRow="0" w:firstColumn="1" w:lastColumn="0" w:oddVBand="0" w:evenVBand="0" w:oddHBand="0" w:evenHBand="0" w:firstRowFirstColumn="0" w:firstRowLastColumn="0" w:lastRowFirstColumn="0" w:lastRowLastColumn="0"/>
            <w:tcW w:w="7825" w:type="dxa"/>
          </w:tcPr>
          <w:p w14:paraId="7FC1655F" w14:textId="77777777" w:rsidR="008E5233" w:rsidRDefault="005648A9">
            <w:r>
              <w:t>Land and buildings</w:t>
            </w:r>
          </w:p>
        </w:tc>
        <w:tc>
          <w:tcPr>
            <w:tcW w:w="907" w:type="dxa"/>
          </w:tcPr>
          <w:p w14:paraId="395AFC5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28EDE1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165DD58" w14:textId="77777777">
        <w:tc>
          <w:tcPr>
            <w:cnfStyle w:val="001000000000" w:firstRow="0" w:lastRow="0" w:firstColumn="1" w:lastColumn="0" w:oddVBand="0" w:evenVBand="0" w:oddHBand="0" w:evenHBand="0" w:firstRowFirstColumn="0" w:firstRowLastColumn="0" w:lastRowFirstColumn="0" w:lastRowLastColumn="0"/>
            <w:tcW w:w="7825" w:type="dxa"/>
          </w:tcPr>
          <w:p w14:paraId="602DC3A5" w14:textId="77777777" w:rsidR="008E5233" w:rsidRDefault="005648A9">
            <w:r>
              <w:t>Ordinary shares</w:t>
            </w:r>
          </w:p>
        </w:tc>
        <w:tc>
          <w:tcPr>
            <w:tcW w:w="907" w:type="dxa"/>
          </w:tcPr>
          <w:p w14:paraId="56B76F4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34C49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D46DEEA" w14:textId="77777777">
        <w:tc>
          <w:tcPr>
            <w:cnfStyle w:val="001000000000" w:firstRow="0" w:lastRow="0" w:firstColumn="1" w:lastColumn="0" w:oddVBand="0" w:evenVBand="0" w:oddHBand="0" w:evenHBand="0" w:firstRowFirstColumn="0" w:firstRowLastColumn="0" w:lastRowFirstColumn="0" w:lastRowLastColumn="0"/>
            <w:tcW w:w="7825" w:type="dxa"/>
          </w:tcPr>
          <w:p w14:paraId="7BE95DAB" w14:textId="77777777" w:rsidR="008E5233" w:rsidRDefault="005648A9">
            <w:r>
              <w:t>Deferred purchase consideration</w:t>
            </w:r>
          </w:p>
        </w:tc>
        <w:tc>
          <w:tcPr>
            <w:tcW w:w="907" w:type="dxa"/>
          </w:tcPr>
          <w:p w14:paraId="42BB6E1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7C5EA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F69252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02E29918" w14:textId="77777777" w:rsidR="008E5233" w:rsidRDefault="005648A9">
            <w:r>
              <w:t>Other</w:t>
            </w:r>
          </w:p>
        </w:tc>
        <w:tc>
          <w:tcPr>
            <w:tcW w:w="907" w:type="dxa"/>
            <w:tcBorders>
              <w:bottom w:val="single" w:sz="12" w:space="0" w:color="auto"/>
            </w:tcBorders>
          </w:tcPr>
          <w:p w14:paraId="4A17D84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FD0FC3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23EAE005"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FC2E1BE" w14:textId="77777777" w:rsidR="008E5233" w:rsidRDefault="005648A9">
            <w:r>
              <w:rPr>
                <w:b/>
              </w:rPr>
              <w:t>Total consideration</w:t>
            </w:r>
          </w:p>
        </w:tc>
        <w:tc>
          <w:tcPr>
            <w:tcW w:w="907" w:type="dxa"/>
          </w:tcPr>
          <w:p w14:paraId="525B260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26 035</w:t>
            </w:r>
          </w:p>
        </w:tc>
        <w:tc>
          <w:tcPr>
            <w:tcW w:w="907" w:type="dxa"/>
          </w:tcPr>
          <w:p w14:paraId="0DCF3CA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2E4FD8DE"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5BCEEEF" w14:textId="77777777" w:rsidR="008E5233" w:rsidRDefault="005648A9">
            <w:r>
              <w:rPr>
                <w:b/>
              </w:rPr>
              <w:t>Fair value of net assets acquired</w:t>
            </w:r>
          </w:p>
        </w:tc>
        <w:tc>
          <w:tcPr>
            <w:tcW w:w="907" w:type="dxa"/>
          </w:tcPr>
          <w:p w14:paraId="4C27325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16C34CE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DA27D4D" w14:textId="77777777">
        <w:tc>
          <w:tcPr>
            <w:cnfStyle w:val="001000000000" w:firstRow="0" w:lastRow="0" w:firstColumn="1" w:lastColumn="0" w:oddVBand="0" w:evenVBand="0" w:oddHBand="0" w:evenHBand="0" w:firstRowFirstColumn="0" w:firstRowLastColumn="0" w:lastRowFirstColumn="0" w:lastRowLastColumn="0"/>
            <w:tcW w:w="7825" w:type="dxa"/>
          </w:tcPr>
          <w:p w14:paraId="52ED9EC6" w14:textId="77777777" w:rsidR="008E5233" w:rsidRDefault="005648A9">
            <w:r>
              <w:rPr>
                <w:b/>
              </w:rPr>
              <w:t>Assets</w:t>
            </w:r>
          </w:p>
        </w:tc>
        <w:tc>
          <w:tcPr>
            <w:tcW w:w="907" w:type="dxa"/>
          </w:tcPr>
          <w:p w14:paraId="00F0EA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3563B8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3930B09" w14:textId="77777777">
        <w:tc>
          <w:tcPr>
            <w:cnfStyle w:val="001000000000" w:firstRow="0" w:lastRow="0" w:firstColumn="1" w:lastColumn="0" w:oddVBand="0" w:evenVBand="0" w:oddHBand="0" w:evenHBand="0" w:firstRowFirstColumn="0" w:firstRowLastColumn="0" w:lastRowFirstColumn="0" w:lastRowLastColumn="0"/>
            <w:tcW w:w="7825" w:type="dxa"/>
          </w:tcPr>
          <w:p w14:paraId="6DADC6AA" w14:textId="77777777" w:rsidR="008E5233" w:rsidRDefault="005648A9">
            <w:r>
              <w:t>Cash and deposits</w:t>
            </w:r>
          </w:p>
        </w:tc>
        <w:tc>
          <w:tcPr>
            <w:tcW w:w="907" w:type="dxa"/>
          </w:tcPr>
          <w:p w14:paraId="3EAB63D7" w14:textId="77777777" w:rsidR="008E5233" w:rsidRDefault="005648A9">
            <w:pPr>
              <w:cnfStyle w:val="000000000000" w:firstRow="0" w:lastRow="0" w:firstColumn="0" w:lastColumn="0" w:oddVBand="0" w:evenVBand="0" w:oddHBand="0" w:evenHBand="0" w:firstRowFirstColumn="0" w:firstRowLastColumn="0" w:lastRowFirstColumn="0" w:lastRowLastColumn="0"/>
            </w:pPr>
            <w:r>
              <w:t>2 628</w:t>
            </w:r>
          </w:p>
        </w:tc>
        <w:tc>
          <w:tcPr>
            <w:tcW w:w="907" w:type="dxa"/>
          </w:tcPr>
          <w:p w14:paraId="5022012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860C6C7" w14:textId="77777777">
        <w:tc>
          <w:tcPr>
            <w:cnfStyle w:val="001000000000" w:firstRow="0" w:lastRow="0" w:firstColumn="1" w:lastColumn="0" w:oddVBand="0" w:evenVBand="0" w:oddHBand="0" w:evenHBand="0" w:firstRowFirstColumn="0" w:firstRowLastColumn="0" w:lastRowFirstColumn="0" w:lastRowLastColumn="0"/>
            <w:tcW w:w="7825" w:type="dxa"/>
          </w:tcPr>
          <w:p w14:paraId="7B1B3840" w14:textId="77777777" w:rsidR="008E5233" w:rsidRDefault="005648A9">
            <w:r>
              <w:t>Receivables</w:t>
            </w:r>
          </w:p>
        </w:tc>
        <w:tc>
          <w:tcPr>
            <w:tcW w:w="907" w:type="dxa"/>
          </w:tcPr>
          <w:p w14:paraId="5E49E33D" w14:textId="77777777" w:rsidR="008E5233" w:rsidRDefault="005648A9">
            <w:pPr>
              <w:cnfStyle w:val="000000000000" w:firstRow="0" w:lastRow="0" w:firstColumn="0" w:lastColumn="0" w:oddVBand="0" w:evenVBand="0" w:oddHBand="0" w:evenHBand="0" w:firstRowFirstColumn="0" w:firstRowLastColumn="0" w:lastRowFirstColumn="0" w:lastRowLastColumn="0"/>
            </w:pPr>
            <w:r>
              <w:t>1 356</w:t>
            </w:r>
          </w:p>
        </w:tc>
        <w:tc>
          <w:tcPr>
            <w:tcW w:w="907" w:type="dxa"/>
          </w:tcPr>
          <w:p w14:paraId="539F7B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CA75165" w14:textId="77777777">
        <w:tc>
          <w:tcPr>
            <w:cnfStyle w:val="001000000000" w:firstRow="0" w:lastRow="0" w:firstColumn="1" w:lastColumn="0" w:oddVBand="0" w:evenVBand="0" w:oddHBand="0" w:evenHBand="0" w:firstRowFirstColumn="0" w:firstRowLastColumn="0" w:lastRowFirstColumn="0" w:lastRowLastColumn="0"/>
            <w:tcW w:w="7825" w:type="dxa"/>
          </w:tcPr>
          <w:p w14:paraId="23B677D1" w14:textId="77777777" w:rsidR="008E5233" w:rsidRDefault="005648A9">
            <w:r>
              <w:t>Investments and other financial assets</w:t>
            </w:r>
          </w:p>
        </w:tc>
        <w:tc>
          <w:tcPr>
            <w:tcW w:w="907" w:type="dxa"/>
          </w:tcPr>
          <w:p w14:paraId="2A1F5742" w14:textId="77777777" w:rsidR="008E5233" w:rsidRDefault="005648A9">
            <w:pPr>
              <w:cnfStyle w:val="000000000000" w:firstRow="0" w:lastRow="0" w:firstColumn="0" w:lastColumn="0" w:oddVBand="0" w:evenVBand="0" w:oddHBand="0" w:evenHBand="0" w:firstRowFirstColumn="0" w:firstRowLastColumn="0" w:lastRowFirstColumn="0" w:lastRowLastColumn="0"/>
            </w:pPr>
            <w:r>
              <w:t>1 899</w:t>
            </w:r>
          </w:p>
        </w:tc>
        <w:tc>
          <w:tcPr>
            <w:tcW w:w="907" w:type="dxa"/>
          </w:tcPr>
          <w:p w14:paraId="0F6339A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8B65B4E" w14:textId="77777777">
        <w:tc>
          <w:tcPr>
            <w:cnfStyle w:val="001000000000" w:firstRow="0" w:lastRow="0" w:firstColumn="1" w:lastColumn="0" w:oddVBand="0" w:evenVBand="0" w:oddHBand="0" w:evenHBand="0" w:firstRowFirstColumn="0" w:firstRowLastColumn="0" w:lastRowFirstColumn="0" w:lastRowLastColumn="0"/>
            <w:tcW w:w="7825" w:type="dxa"/>
          </w:tcPr>
          <w:p w14:paraId="69EA8374" w14:textId="77777777" w:rsidR="008E5233" w:rsidRDefault="005648A9">
            <w:r>
              <w:t>Inventories</w:t>
            </w:r>
          </w:p>
        </w:tc>
        <w:tc>
          <w:tcPr>
            <w:tcW w:w="907" w:type="dxa"/>
          </w:tcPr>
          <w:p w14:paraId="64C1EB68" w14:textId="77777777" w:rsidR="008E5233" w:rsidRDefault="005648A9">
            <w:pPr>
              <w:cnfStyle w:val="000000000000" w:firstRow="0" w:lastRow="0" w:firstColumn="0" w:lastColumn="0" w:oddVBand="0" w:evenVBand="0" w:oddHBand="0" w:evenHBand="0" w:firstRowFirstColumn="0" w:firstRowLastColumn="0" w:lastRowFirstColumn="0" w:lastRowLastColumn="0"/>
            </w:pPr>
            <w:r>
              <w:t>1 819</w:t>
            </w:r>
          </w:p>
        </w:tc>
        <w:tc>
          <w:tcPr>
            <w:tcW w:w="907" w:type="dxa"/>
          </w:tcPr>
          <w:p w14:paraId="7E70CEB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E4C9550" w14:textId="77777777">
        <w:tc>
          <w:tcPr>
            <w:cnfStyle w:val="001000000000" w:firstRow="0" w:lastRow="0" w:firstColumn="1" w:lastColumn="0" w:oddVBand="0" w:evenVBand="0" w:oddHBand="0" w:evenHBand="0" w:firstRowFirstColumn="0" w:firstRowLastColumn="0" w:lastRowFirstColumn="0" w:lastRowLastColumn="0"/>
            <w:tcW w:w="7825" w:type="dxa"/>
          </w:tcPr>
          <w:p w14:paraId="16D994AF" w14:textId="77777777" w:rsidR="008E5233" w:rsidRDefault="005648A9">
            <w:r>
              <w:t>Property, plant and equipment</w:t>
            </w:r>
          </w:p>
        </w:tc>
        <w:tc>
          <w:tcPr>
            <w:tcW w:w="907" w:type="dxa"/>
          </w:tcPr>
          <w:p w14:paraId="3429ACC8" w14:textId="77777777" w:rsidR="008E5233" w:rsidRDefault="005648A9">
            <w:pPr>
              <w:cnfStyle w:val="000000000000" w:firstRow="0" w:lastRow="0" w:firstColumn="0" w:lastColumn="0" w:oddVBand="0" w:evenVBand="0" w:oddHBand="0" w:evenHBand="0" w:firstRowFirstColumn="0" w:firstRowLastColumn="0" w:lastRowFirstColumn="0" w:lastRowLastColumn="0"/>
            </w:pPr>
            <w:r>
              <w:t>20 392</w:t>
            </w:r>
          </w:p>
        </w:tc>
        <w:tc>
          <w:tcPr>
            <w:tcW w:w="907" w:type="dxa"/>
          </w:tcPr>
          <w:p w14:paraId="3DD638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3E219B7" w14:textId="77777777">
        <w:tc>
          <w:tcPr>
            <w:cnfStyle w:val="001000000000" w:firstRow="0" w:lastRow="0" w:firstColumn="1" w:lastColumn="0" w:oddVBand="0" w:evenVBand="0" w:oddHBand="0" w:evenHBand="0" w:firstRowFirstColumn="0" w:firstRowLastColumn="0" w:lastRowFirstColumn="0" w:lastRowLastColumn="0"/>
            <w:tcW w:w="7825" w:type="dxa"/>
          </w:tcPr>
          <w:p w14:paraId="3B08FD4C" w14:textId="77777777" w:rsidR="008E5233" w:rsidRDefault="005648A9">
            <w:r>
              <w:t>Other non‑financial assets</w:t>
            </w:r>
          </w:p>
        </w:tc>
        <w:tc>
          <w:tcPr>
            <w:tcW w:w="907" w:type="dxa"/>
          </w:tcPr>
          <w:p w14:paraId="62EA2147" w14:textId="77777777" w:rsidR="008E5233" w:rsidRDefault="005648A9">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4B0B845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5156ED3" w14:textId="77777777">
        <w:tc>
          <w:tcPr>
            <w:cnfStyle w:val="001000000000" w:firstRow="0" w:lastRow="0" w:firstColumn="1" w:lastColumn="0" w:oddVBand="0" w:evenVBand="0" w:oddHBand="0" w:evenHBand="0" w:firstRowFirstColumn="0" w:firstRowLastColumn="0" w:lastRowFirstColumn="0" w:lastRowLastColumn="0"/>
            <w:tcW w:w="7825" w:type="dxa"/>
          </w:tcPr>
          <w:p w14:paraId="640135DA" w14:textId="77777777" w:rsidR="008E5233" w:rsidRDefault="005648A9">
            <w:r>
              <w:t>Biological assets</w:t>
            </w:r>
          </w:p>
        </w:tc>
        <w:tc>
          <w:tcPr>
            <w:tcW w:w="907" w:type="dxa"/>
          </w:tcPr>
          <w:p w14:paraId="1D7BEB20" w14:textId="77777777" w:rsidR="008E5233" w:rsidRDefault="005648A9">
            <w:pPr>
              <w:cnfStyle w:val="000000000000" w:firstRow="0" w:lastRow="0" w:firstColumn="0" w:lastColumn="0" w:oddVBand="0" w:evenVBand="0" w:oddHBand="0" w:evenHBand="0" w:firstRowFirstColumn="0" w:firstRowLastColumn="0" w:lastRowFirstColumn="0" w:lastRowLastColumn="0"/>
            </w:pPr>
            <w:r>
              <w:t>122</w:t>
            </w:r>
          </w:p>
        </w:tc>
        <w:tc>
          <w:tcPr>
            <w:tcW w:w="907" w:type="dxa"/>
          </w:tcPr>
          <w:p w14:paraId="35F7F8E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99D3BA8" w14:textId="77777777">
        <w:tc>
          <w:tcPr>
            <w:cnfStyle w:val="001000000000" w:firstRow="0" w:lastRow="0" w:firstColumn="1" w:lastColumn="0" w:oddVBand="0" w:evenVBand="0" w:oddHBand="0" w:evenHBand="0" w:firstRowFirstColumn="0" w:firstRowLastColumn="0" w:lastRowFirstColumn="0" w:lastRowLastColumn="0"/>
            <w:tcW w:w="7825" w:type="dxa"/>
          </w:tcPr>
          <w:p w14:paraId="22493626" w14:textId="77777777" w:rsidR="008E5233" w:rsidRDefault="005648A9">
            <w:r>
              <w:t>Intangible assets</w:t>
            </w:r>
          </w:p>
        </w:tc>
        <w:tc>
          <w:tcPr>
            <w:tcW w:w="907" w:type="dxa"/>
          </w:tcPr>
          <w:p w14:paraId="6DAF0AB2" w14:textId="77777777" w:rsidR="008E5233" w:rsidRDefault="005648A9">
            <w:pPr>
              <w:cnfStyle w:val="000000000000" w:firstRow="0" w:lastRow="0" w:firstColumn="0" w:lastColumn="0" w:oddVBand="0" w:evenVBand="0" w:oddHBand="0" w:evenHBand="0" w:firstRowFirstColumn="0" w:firstRowLastColumn="0" w:lastRowFirstColumn="0" w:lastRowLastColumn="0"/>
            </w:pPr>
            <w:r>
              <w:t>2 362</w:t>
            </w:r>
          </w:p>
        </w:tc>
        <w:tc>
          <w:tcPr>
            <w:tcW w:w="907" w:type="dxa"/>
          </w:tcPr>
          <w:p w14:paraId="6F3A460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BF05124" w14:textId="77777777">
        <w:tc>
          <w:tcPr>
            <w:cnfStyle w:val="001000000000" w:firstRow="0" w:lastRow="0" w:firstColumn="1" w:lastColumn="0" w:oddVBand="0" w:evenVBand="0" w:oddHBand="0" w:evenHBand="0" w:firstRowFirstColumn="0" w:firstRowLastColumn="0" w:lastRowFirstColumn="0" w:lastRowLastColumn="0"/>
            <w:tcW w:w="7825" w:type="dxa"/>
          </w:tcPr>
          <w:p w14:paraId="10067007" w14:textId="77777777" w:rsidR="008E5233" w:rsidRDefault="005648A9">
            <w:r>
              <w:rPr>
                <w:b/>
              </w:rPr>
              <w:t>Liabilities</w:t>
            </w:r>
          </w:p>
        </w:tc>
        <w:tc>
          <w:tcPr>
            <w:tcW w:w="907" w:type="dxa"/>
          </w:tcPr>
          <w:p w14:paraId="620487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62D9787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090F9B2" w14:textId="77777777">
        <w:tc>
          <w:tcPr>
            <w:cnfStyle w:val="001000000000" w:firstRow="0" w:lastRow="0" w:firstColumn="1" w:lastColumn="0" w:oddVBand="0" w:evenVBand="0" w:oddHBand="0" w:evenHBand="0" w:firstRowFirstColumn="0" w:firstRowLastColumn="0" w:lastRowFirstColumn="0" w:lastRowLastColumn="0"/>
            <w:tcW w:w="7825" w:type="dxa"/>
          </w:tcPr>
          <w:p w14:paraId="5D65A3F9" w14:textId="77777777" w:rsidR="008E5233" w:rsidRDefault="005648A9">
            <w:r>
              <w:t>Payables</w:t>
            </w:r>
          </w:p>
        </w:tc>
        <w:tc>
          <w:tcPr>
            <w:tcW w:w="907" w:type="dxa"/>
          </w:tcPr>
          <w:p w14:paraId="1F5075C1" w14:textId="77777777" w:rsidR="008E5233" w:rsidRDefault="005648A9">
            <w:pPr>
              <w:cnfStyle w:val="000000000000" w:firstRow="0" w:lastRow="0" w:firstColumn="0" w:lastColumn="0" w:oddVBand="0" w:evenVBand="0" w:oddHBand="0" w:evenHBand="0" w:firstRowFirstColumn="0" w:firstRowLastColumn="0" w:lastRowFirstColumn="0" w:lastRowLastColumn="0"/>
            </w:pPr>
            <w:r>
              <w:t>(3 219)</w:t>
            </w:r>
          </w:p>
        </w:tc>
        <w:tc>
          <w:tcPr>
            <w:tcW w:w="907" w:type="dxa"/>
          </w:tcPr>
          <w:p w14:paraId="6CC22E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C363D21" w14:textId="77777777">
        <w:tc>
          <w:tcPr>
            <w:cnfStyle w:val="001000000000" w:firstRow="0" w:lastRow="0" w:firstColumn="1" w:lastColumn="0" w:oddVBand="0" w:evenVBand="0" w:oddHBand="0" w:evenHBand="0" w:firstRowFirstColumn="0" w:firstRowLastColumn="0" w:lastRowFirstColumn="0" w:lastRowLastColumn="0"/>
            <w:tcW w:w="7825" w:type="dxa"/>
          </w:tcPr>
          <w:p w14:paraId="04C80998" w14:textId="77777777" w:rsidR="008E5233" w:rsidRDefault="005648A9">
            <w:r>
              <w:t>Provisions</w:t>
            </w:r>
          </w:p>
        </w:tc>
        <w:tc>
          <w:tcPr>
            <w:tcW w:w="907" w:type="dxa"/>
          </w:tcPr>
          <w:p w14:paraId="0924BD4D" w14:textId="77777777" w:rsidR="008E5233" w:rsidRDefault="005648A9">
            <w:pPr>
              <w:cnfStyle w:val="000000000000" w:firstRow="0" w:lastRow="0" w:firstColumn="0" w:lastColumn="0" w:oddVBand="0" w:evenVBand="0" w:oddHBand="0" w:evenHBand="0" w:firstRowFirstColumn="0" w:firstRowLastColumn="0" w:lastRowFirstColumn="0" w:lastRowLastColumn="0"/>
            </w:pPr>
            <w:r>
              <w:t>(1 246)</w:t>
            </w:r>
          </w:p>
        </w:tc>
        <w:tc>
          <w:tcPr>
            <w:tcW w:w="907" w:type="dxa"/>
          </w:tcPr>
          <w:p w14:paraId="617EE57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90C5BAF"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7D40397" w14:textId="77777777" w:rsidR="008E5233" w:rsidRDefault="005648A9">
            <w:r>
              <w:t>Other liabilities</w:t>
            </w:r>
          </w:p>
        </w:tc>
        <w:tc>
          <w:tcPr>
            <w:tcW w:w="907" w:type="dxa"/>
            <w:tcBorders>
              <w:bottom w:val="single" w:sz="12" w:space="0" w:color="auto"/>
            </w:tcBorders>
          </w:tcPr>
          <w:p w14:paraId="0B9A8137" w14:textId="77777777" w:rsidR="008E5233" w:rsidRDefault="005648A9">
            <w:pPr>
              <w:cnfStyle w:val="000000000000" w:firstRow="0" w:lastRow="0" w:firstColumn="0" w:lastColumn="0" w:oddVBand="0" w:evenVBand="0" w:oddHBand="0" w:evenHBand="0" w:firstRowFirstColumn="0" w:firstRowLastColumn="0" w:lastRowFirstColumn="0" w:lastRowLastColumn="0"/>
            </w:pPr>
            <w:r>
              <w:t>(87)</w:t>
            </w:r>
          </w:p>
        </w:tc>
        <w:tc>
          <w:tcPr>
            <w:tcW w:w="907" w:type="dxa"/>
            <w:tcBorders>
              <w:bottom w:val="single" w:sz="12" w:space="0" w:color="auto"/>
            </w:tcBorders>
          </w:tcPr>
          <w:p w14:paraId="415BC7C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4825B60C"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6A263777" w14:textId="77777777" w:rsidR="008E5233" w:rsidRDefault="005648A9">
            <w:r>
              <w:rPr>
                <w:b/>
              </w:rPr>
              <w:t>Net assets acquired</w:t>
            </w:r>
          </w:p>
        </w:tc>
        <w:tc>
          <w:tcPr>
            <w:tcW w:w="907" w:type="dxa"/>
          </w:tcPr>
          <w:p w14:paraId="572AC9D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26 035</w:t>
            </w:r>
          </w:p>
        </w:tc>
        <w:tc>
          <w:tcPr>
            <w:tcW w:w="907" w:type="dxa"/>
          </w:tcPr>
          <w:p w14:paraId="1F8E0F6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625B11D4"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A1B73EC" w14:textId="77777777" w:rsidR="008E5233" w:rsidRDefault="005648A9">
            <w:r>
              <w:rPr>
                <w:b/>
              </w:rPr>
              <w:t>Net cash outflows on acquisition</w:t>
            </w:r>
          </w:p>
        </w:tc>
        <w:tc>
          <w:tcPr>
            <w:tcW w:w="907" w:type="dxa"/>
          </w:tcPr>
          <w:p w14:paraId="6A3B19D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85B6FF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599DD06" w14:textId="77777777">
        <w:tc>
          <w:tcPr>
            <w:cnfStyle w:val="001000000000" w:firstRow="0" w:lastRow="0" w:firstColumn="1" w:lastColumn="0" w:oddVBand="0" w:evenVBand="0" w:oddHBand="0" w:evenHBand="0" w:firstRowFirstColumn="0" w:firstRowLastColumn="0" w:lastRowFirstColumn="0" w:lastRowLastColumn="0"/>
            <w:tcW w:w="7825" w:type="dxa"/>
          </w:tcPr>
          <w:p w14:paraId="67E2165A" w14:textId="77777777" w:rsidR="008E5233" w:rsidRDefault="005648A9">
            <w:r>
              <w:t>Cash and cash equivalents consideration</w:t>
            </w:r>
          </w:p>
        </w:tc>
        <w:tc>
          <w:tcPr>
            <w:tcW w:w="907" w:type="dxa"/>
          </w:tcPr>
          <w:p w14:paraId="678063E4" w14:textId="77777777" w:rsidR="008E5233" w:rsidRDefault="005648A9">
            <w:pPr>
              <w:cnfStyle w:val="000000000000" w:firstRow="0" w:lastRow="0" w:firstColumn="0" w:lastColumn="0" w:oddVBand="0" w:evenVBand="0" w:oddHBand="0" w:evenHBand="0" w:firstRowFirstColumn="0" w:firstRowLastColumn="0" w:lastRowFirstColumn="0" w:lastRowLastColumn="0"/>
            </w:pPr>
            <w:r>
              <w:t>26 035</w:t>
            </w:r>
          </w:p>
        </w:tc>
        <w:tc>
          <w:tcPr>
            <w:tcW w:w="907" w:type="dxa"/>
          </w:tcPr>
          <w:p w14:paraId="438522E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2D5794A"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AC123D7" w14:textId="77777777" w:rsidR="008E5233" w:rsidRDefault="005648A9">
            <w:r>
              <w:t>Less cash and cash equivalent balances acquired</w:t>
            </w:r>
          </w:p>
        </w:tc>
        <w:tc>
          <w:tcPr>
            <w:tcW w:w="907" w:type="dxa"/>
            <w:tcBorders>
              <w:bottom w:val="single" w:sz="12" w:space="0" w:color="auto"/>
            </w:tcBorders>
          </w:tcPr>
          <w:p w14:paraId="3E88E831" w14:textId="77777777" w:rsidR="008E5233" w:rsidRDefault="005648A9">
            <w:pPr>
              <w:cnfStyle w:val="000000000000" w:firstRow="0" w:lastRow="0" w:firstColumn="0" w:lastColumn="0" w:oddVBand="0" w:evenVBand="0" w:oddHBand="0" w:evenHBand="0" w:firstRowFirstColumn="0" w:firstRowLastColumn="0" w:lastRowFirstColumn="0" w:lastRowLastColumn="0"/>
            </w:pPr>
            <w:r>
              <w:t>(2 628)</w:t>
            </w:r>
          </w:p>
        </w:tc>
        <w:tc>
          <w:tcPr>
            <w:tcW w:w="907" w:type="dxa"/>
            <w:tcBorders>
              <w:bottom w:val="single" w:sz="12" w:space="0" w:color="auto"/>
            </w:tcBorders>
          </w:tcPr>
          <w:p w14:paraId="254067A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3FC46CA2"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429ADCE1" w14:textId="77777777" w:rsidR="008E5233" w:rsidRDefault="005648A9">
            <w:r>
              <w:rPr>
                <w:b/>
              </w:rPr>
              <w:t>Net cash outflows</w:t>
            </w:r>
          </w:p>
        </w:tc>
        <w:tc>
          <w:tcPr>
            <w:tcW w:w="907" w:type="dxa"/>
          </w:tcPr>
          <w:p w14:paraId="4A188B2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23 407</w:t>
            </w:r>
          </w:p>
        </w:tc>
        <w:tc>
          <w:tcPr>
            <w:tcW w:w="907" w:type="dxa"/>
          </w:tcPr>
          <w:p w14:paraId="2A9EB10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4D5B152F" w14:textId="77777777" w:rsidR="003719CD" w:rsidRDefault="003719CD" w:rsidP="007D536F"/>
    <w:p w14:paraId="21347588" w14:textId="77777777" w:rsidR="003B7EFD" w:rsidRDefault="003B7EFD">
      <w:pPr>
        <w:keepLines w:val="0"/>
        <w:rPr>
          <w:rFonts w:asciiTheme="majorHAnsi" w:eastAsiaTheme="majorEastAsia" w:hAnsiTheme="majorHAnsi" w:cstheme="majorBidi"/>
          <w:b/>
          <w:sz w:val="22"/>
          <w:szCs w:val="24"/>
        </w:rPr>
      </w:pPr>
      <w:r>
        <w:br w:type="page"/>
      </w:r>
    </w:p>
    <w:p w14:paraId="3A487C8C" w14:textId="24A9CD44" w:rsidR="003719CD" w:rsidRDefault="003719CD" w:rsidP="00A80494">
      <w:pPr>
        <w:pStyle w:val="Heading3numbered"/>
      </w:pPr>
      <w:r>
        <w:lastRenderedPageBreak/>
        <w:t xml:space="preserve">Entity disposed </w:t>
      </w:r>
      <w:r w:rsidRPr="00812864">
        <w:rPr>
          <w:rStyle w:val="Reference"/>
        </w:rPr>
        <w:t>[AASB 107.40]</w:t>
      </w:r>
    </w:p>
    <w:p w14:paraId="09DEE3D9" w14:textId="77777777" w:rsidR="003719CD" w:rsidRDefault="003719CD" w:rsidP="00DC39DE">
      <w:r>
        <w:t>During the financial year, the Department lost control of one business due to disposal. Details of the disposal are as follows:</w:t>
      </w:r>
    </w:p>
    <w:p w14:paraId="46D7BF44"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105FBB" w14:paraId="01CF67A9"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30B40431" w14:textId="77777777" w:rsidR="00105FBB" w:rsidRDefault="00105FBB" w:rsidP="00105FBB">
            <w:pPr>
              <w:keepNext/>
            </w:pPr>
          </w:p>
        </w:tc>
        <w:tc>
          <w:tcPr>
            <w:tcW w:w="907" w:type="dxa"/>
          </w:tcPr>
          <w:p w14:paraId="0511A651" w14:textId="38F128C1"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105FBB">
                <w:t>20X2</w:t>
              </w:r>
            </w:fldSimple>
          </w:p>
        </w:tc>
        <w:tc>
          <w:tcPr>
            <w:tcW w:w="907" w:type="dxa"/>
          </w:tcPr>
          <w:p w14:paraId="11263517" w14:textId="435448A2" w:rsidR="00105FBB" w:rsidRPr="00105FBB" w:rsidRDefault="00105FBB" w:rsidP="00105FBB">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105FBB">
                <w:t>20X1</w:t>
              </w:r>
            </w:fldSimple>
          </w:p>
        </w:tc>
      </w:tr>
      <w:tr w:rsidR="008E5233" w14:paraId="16825317" w14:textId="77777777">
        <w:tc>
          <w:tcPr>
            <w:cnfStyle w:val="001000000000" w:firstRow="0" w:lastRow="0" w:firstColumn="1" w:lastColumn="0" w:oddVBand="0" w:evenVBand="0" w:oddHBand="0" w:evenHBand="0" w:firstRowFirstColumn="0" w:firstRowLastColumn="0" w:lastRowFirstColumn="0" w:lastRowLastColumn="0"/>
            <w:tcW w:w="7825" w:type="dxa"/>
          </w:tcPr>
          <w:p w14:paraId="0CC869A2" w14:textId="77777777" w:rsidR="008E5233" w:rsidRDefault="005648A9">
            <w:r>
              <w:rPr>
                <w:b/>
              </w:rPr>
              <w:t>Consideration</w:t>
            </w:r>
          </w:p>
        </w:tc>
        <w:tc>
          <w:tcPr>
            <w:tcW w:w="907" w:type="dxa"/>
          </w:tcPr>
          <w:p w14:paraId="7F8917E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9672EF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BA3DA0C" w14:textId="77777777">
        <w:tc>
          <w:tcPr>
            <w:cnfStyle w:val="001000000000" w:firstRow="0" w:lastRow="0" w:firstColumn="1" w:lastColumn="0" w:oddVBand="0" w:evenVBand="0" w:oddHBand="0" w:evenHBand="0" w:firstRowFirstColumn="0" w:firstRowLastColumn="0" w:lastRowFirstColumn="0" w:lastRowLastColumn="0"/>
            <w:tcW w:w="7825" w:type="dxa"/>
          </w:tcPr>
          <w:p w14:paraId="20BA4F28" w14:textId="77777777" w:rsidR="008E5233" w:rsidRDefault="005648A9">
            <w:r>
              <w:t>Cash and cash equivalents</w:t>
            </w:r>
          </w:p>
        </w:tc>
        <w:tc>
          <w:tcPr>
            <w:tcW w:w="907" w:type="dxa"/>
          </w:tcPr>
          <w:p w14:paraId="267B750B" w14:textId="77777777" w:rsidR="008E5233" w:rsidRDefault="005648A9">
            <w:pPr>
              <w:cnfStyle w:val="000000000000" w:firstRow="0" w:lastRow="0" w:firstColumn="0" w:lastColumn="0" w:oddVBand="0" w:evenVBand="0" w:oddHBand="0" w:evenHBand="0" w:firstRowFirstColumn="0" w:firstRowLastColumn="0" w:lastRowFirstColumn="0" w:lastRowLastColumn="0"/>
            </w:pPr>
            <w:r>
              <w:t>17 795</w:t>
            </w:r>
          </w:p>
        </w:tc>
        <w:tc>
          <w:tcPr>
            <w:tcW w:w="907" w:type="dxa"/>
          </w:tcPr>
          <w:p w14:paraId="6945F3B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554267F" w14:textId="77777777">
        <w:tc>
          <w:tcPr>
            <w:cnfStyle w:val="001000000000" w:firstRow="0" w:lastRow="0" w:firstColumn="1" w:lastColumn="0" w:oddVBand="0" w:evenVBand="0" w:oddHBand="0" w:evenHBand="0" w:firstRowFirstColumn="0" w:firstRowLastColumn="0" w:lastRowFirstColumn="0" w:lastRowLastColumn="0"/>
            <w:tcW w:w="7825" w:type="dxa"/>
          </w:tcPr>
          <w:p w14:paraId="17F0D009" w14:textId="77777777" w:rsidR="008E5233" w:rsidRDefault="005648A9">
            <w:r>
              <w:t>Land and buildings</w:t>
            </w:r>
          </w:p>
        </w:tc>
        <w:tc>
          <w:tcPr>
            <w:tcW w:w="907" w:type="dxa"/>
          </w:tcPr>
          <w:p w14:paraId="0C699C4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A9DDD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23D05F8" w14:textId="77777777">
        <w:tc>
          <w:tcPr>
            <w:cnfStyle w:val="001000000000" w:firstRow="0" w:lastRow="0" w:firstColumn="1" w:lastColumn="0" w:oddVBand="0" w:evenVBand="0" w:oddHBand="0" w:evenHBand="0" w:firstRowFirstColumn="0" w:firstRowLastColumn="0" w:lastRowFirstColumn="0" w:lastRowLastColumn="0"/>
            <w:tcW w:w="7825" w:type="dxa"/>
          </w:tcPr>
          <w:p w14:paraId="2855A21E" w14:textId="77777777" w:rsidR="008E5233" w:rsidRDefault="005648A9">
            <w:r>
              <w:t>Ordinary shares</w:t>
            </w:r>
          </w:p>
        </w:tc>
        <w:tc>
          <w:tcPr>
            <w:tcW w:w="907" w:type="dxa"/>
          </w:tcPr>
          <w:p w14:paraId="7839136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AAC46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F7E9FEC" w14:textId="77777777">
        <w:tc>
          <w:tcPr>
            <w:cnfStyle w:val="001000000000" w:firstRow="0" w:lastRow="0" w:firstColumn="1" w:lastColumn="0" w:oddVBand="0" w:evenVBand="0" w:oddHBand="0" w:evenHBand="0" w:firstRowFirstColumn="0" w:firstRowLastColumn="0" w:lastRowFirstColumn="0" w:lastRowLastColumn="0"/>
            <w:tcW w:w="7825" w:type="dxa"/>
          </w:tcPr>
          <w:p w14:paraId="2A1AEC89" w14:textId="77777777" w:rsidR="008E5233" w:rsidRDefault="005648A9">
            <w:r>
              <w:t>Deferred purchase consideration</w:t>
            </w:r>
          </w:p>
        </w:tc>
        <w:tc>
          <w:tcPr>
            <w:tcW w:w="907" w:type="dxa"/>
          </w:tcPr>
          <w:p w14:paraId="65F11DE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E153AD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A18FD4D"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7C9F088" w14:textId="77777777" w:rsidR="008E5233" w:rsidRDefault="005648A9">
            <w:r>
              <w:t>Other</w:t>
            </w:r>
          </w:p>
        </w:tc>
        <w:tc>
          <w:tcPr>
            <w:tcW w:w="907" w:type="dxa"/>
            <w:tcBorders>
              <w:bottom w:val="single" w:sz="12" w:space="0" w:color="auto"/>
            </w:tcBorders>
          </w:tcPr>
          <w:p w14:paraId="191D7C6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B3A63F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23A0A0BE"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1BBA4A44" w14:textId="77777777" w:rsidR="008E5233" w:rsidRDefault="005648A9">
            <w:r>
              <w:rPr>
                <w:b/>
              </w:rPr>
              <w:t>Total consideration</w:t>
            </w:r>
          </w:p>
        </w:tc>
        <w:tc>
          <w:tcPr>
            <w:tcW w:w="907" w:type="dxa"/>
          </w:tcPr>
          <w:p w14:paraId="54BFDDA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17 795</w:t>
            </w:r>
          </w:p>
        </w:tc>
        <w:tc>
          <w:tcPr>
            <w:tcW w:w="907" w:type="dxa"/>
          </w:tcPr>
          <w:p w14:paraId="5FA65BE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069B0800"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8F819F7" w14:textId="77777777" w:rsidR="008E5233" w:rsidRDefault="005648A9">
            <w:r>
              <w:rPr>
                <w:b/>
              </w:rPr>
              <w:t>Book value of net assets disposed</w:t>
            </w:r>
          </w:p>
        </w:tc>
        <w:tc>
          <w:tcPr>
            <w:tcW w:w="907" w:type="dxa"/>
          </w:tcPr>
          <w:p w14:paraId="4108EEC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EBC03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38110A1" w14:textId="77777777">
        <w:tc>
          <w:tcPr>
            <w:cnfStyle w:val="001000000000" w:firstRow="0" w:lastRow="0" w:firstColumn="1" w:lastColumn="0" w:oddVBand="0" w:evenVBand="0" w:oddHBand="0" w:evenHBand="0" w:firstRowFirstColumn="0" w:firstRowLastColumn="0" w:lastRowFirstColumn="0" w:lastRowLastColumn="0"/>
            <w:tcW w:w="7825" w:type="dxa"/>
          </w:tcPr>
          <w:p w14:paraId="36FE0E1D" w14:textId="77777777" w:rsidR="008E5233" w:rsidRDefault="005648A9">
            <w:r>
              <w:rPr>
                <w:b/>
              </w:rPr>
              <w:t>Assets</w:t>
            </w:r>
          </w:p>
        </w:tc>
        <w:tc>
          <w:tcPr>
            <w:tcW w:w="907" w:type="dxa"/>
          </w:tcPr>
          <w:p w14:paraId="4B702E1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9A469F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D04A369" w14:textId="77777777">
        <w:tc>
          <w:tcPr>
            <w:cnfStyle w:val="001000000000" w:firstRow="0" w:lastRow="0" w:firstColumn="1" w:lastColumn="0" w:oddVBand="0" w:evenVBand="0" w:oddHBand="0" w:evenHBand="0" w:firstRowFirstColumn="0" w:firstRowLastColumn="0" w:lastRowFirstColumn="0" w:lastRowLastColumn="0"/>
            <w:tcW w:w="7825" w:type="dxa"/>
          </w:tcPr>
          <w:p w14:paraId="2967AE4E" w14:textId="77777777" w:rsidR="008E5233" w:rsidRDefault="005648A9">
            <w:r>
              <w:t>Cash and deposits</w:t>
            </w:r>
          </w:p>
        </w:tc>
        <w:tc>
          <w:tcPr>
            <w:tcW w:w="907" w:type="dxa"/>
          </w:tcPr>
          <w:p w14:paraId="0996BA8F" w14:textId="77777777" w:rsidR="008E5233" w:rsidRDefault="005648A9">
            <w:pPr>
              <w:cnfStyle w:val="000000000000" w:firstRow="0" w:lastRow="0" w:firstColumn="0" w:lastColumn="0" w:oddVBand="0" w:evenVBand="0" w:oddHBand="0" w:evenHBand="0" w:firstRowFirstColumn="0" w:firstRowLastColumn="0" w:lastRowFirstColumn="0" w:lastRowLastColumn="0"/>
            </w:pPr>
            <w:r>
              <w:t>(348)</w:t>
            </w:r>
          </w:p>
        </w:tc>
        <w:tc>
          <w:tcPr>
            <w:tcW w:w="907" w:type="dxa"/>
          </w:tcPr>
          <w:p w14:paraId="767FB9B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295B189" w14:textId="77777777">
        <w:tc>
          <w:tcPr>
            <w:cnfStyle w:val="001000000000" w:firstRow="0" w:lastRow="0" w:firstColumn="1" w:lastColumn="0" w:oddVBand="0" w:evenVBand="0" w:oddHBand="0" w:evenHBand="0" w:firstRowFirstColumn="0" w:firstRowLastColumn="0" w:lastRowFirstColumn="0" w:lastRowLastColumn="0"/>
            <w:tcW w:w="7825" w:type="dxa"/>
          </w:tcPr>
          <w:p w14:paraId="55FDA56C" w14:textId="77777777" w:rsidR="008E5233" w:rsidRDefault="005648A9">
            <w:r>
              <w:t>Receivables</w:t>
            </w:r>
          </w:p>
        </w:tc>
        <w:tc>
          <w:tcPr>
            <w:tcW w:w="907" w:type="dxa"/>
          </w:tcPr>
          <w:p w14:paraId="7EBFF580" w14:textId="77777777" w:rsidR="008E5233" w:rsidRDefault="005648A9">
            <w:pPr>
              <w:cnfStyle w:val="000000000000" w:firstRow="0" w:lastRow="0" w:firstColumn="0" w:lastColumn="0" w:oddVBand="0" w:evenVBand="0" w:oddHBand="0" w:evenHBand="0" w:firstRowFirstColumn="0" w:firstRowLastColumn="0" w:lastRowFirstColumn="0" w:lastRowLastColumn="0"/>
            </w:pPr>
            <w:r>
              <w:t>7 372</w:t>
            </w:r>
          </w:p>
        </w:tc>
        <w:tc>
          <w:tcPr>
            <w:tcW w:w="907" w:type="dxa"/>
          </w:tcPr>
          <w:p w14:paraId="253A247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A4FF20C" w14:textId="77777777">
        <w:tc>
          <w:tcPr>
            <w:cnfStyle w:val="001000000000" w:firstRow="0" w:lastRow="0" w:firstColumn="1" w:lastColumn="0" w:oddVBand="0" w:evenVBand="0" w:oddHBand="0" w:evenHBand="0" w:firstRowFirstColumn="0" w:firstRowLastColumn="0" w:lastRowFirstColumn="0" w:lastRowLastColumn="0"/>
            <w:tcW w:w="7825" w:type="dxa"/>
          </w:tcPr>
          <w:p w14:paraId="03C8B97A" w14:textId="77777777" w:rsidR="008E5233" w:rsidRDefault="005648A9">
            <w:r>
              <w:t>Investments and other financial assets</w:t>
            </w:r>
          </w:p>
        </w:tc>
        <w:tc>
          <w:tcPr>
            <w:tcW w:w="907" w:type="dxa"/>
          </w:tcPr>
          <w:p w14:paraId="46803597" w14:textId="77777777" w:rsidR="008E5233" w:rsidRDefault="005648A9">
            <w:pPr>
              <w:cnfStyle w:val="000000000000" w:firstRow="0" w:lastRow="0" w:firstColumn="0" w:lastColumn="0" w:oddVBand="0" w:evenVBand="0" w:oddHBand="0" w:evenHBand="0" w:firstRowFirstColumn="0" w:firstRowLastColumn="0" w:lastRowFirstColumn="0" w:lastRowLastColumn="0"/>
            </w:pPr>
            <w:r>
              <w:t>4 065</w:t>
            </w:r>
          </w:p>
        </w:tc>
        <w:tc>
          <w:tcPr>
            <w:tcW w:w="907" w:type="dxa"/>
          </w:tcPr>
          <w:p w14:paraId="3F94CB8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52C75EC" w14:textId="77777777">
        <w:tc>
          <w:tcPr>
            <w:cnfStyle w:val="001000000000" w:firstRow="0" w:lastRow="0" w:firstColumn="1" w:lastColumn="0" w:oddVBand="0" w:evenVBand="0" w:oddHBand="0" w:evenHBand="0" w:firstRowFirstColumn="0" w:firstRowLastColumn="0" w:lastRowFirstColumn="0" w:lastRowLastColumn="0"/>
            <w:tcW w:w="7825" w:type="dxa"/>
          </w:tcPr>
          <w:p w14:paraId="78059C8F" w14:textId="77777777" w:rsidR="008E5233" w:rsidRDefault="005648A9">
            <w:r>
              <w:t>Inventories</w:t>
            </w:r>
          </w:p>
        </w:tc>
        <w:tc>
          <w:tcPr>
            <w:tcW w:w="907" w:type="dxa"/>
          </w:tcPr>
          <w:p w14:paraId="0A5410DD" w14:textId="77777777" w:rsidR="008E5233" w:rsidRDefault="005648A9">
            <w:pPr>
              <w:cnfStyle w:val="000000000000" w:firstRow="0" w:lastRow="0" w:firstColumn="0" w:lastColumn="0" w:oddVBand="0" w:evenVBand="0" w:oddHBand="0" w:evenHBand="0" w:firstRowFirstColumn="0" w:firstRowLastColumn="0" w:lastRowFirstColumn="0" w:lastRowLastColumn="0"/>
            </w:pPr>
            <w:r>
              <w:t>2 555</w:t>
            </w:r>
          </w:p>
        </w:tc>
        <w:tc>
          <w:tcPr>
            <w:tcW w:w="907" w:type="dxa"/>
          </w:tcPr>
          <w:p w14:paraId="5617ABF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7E575CF" w14:textId="77777777">
        <w:tc>
          <w:tcPr>
            <w:cnfStyle w:val="001000000000" w:firstRow="0" w:lastRow="0" w:firstColumn="1" w:lastColumn="0" w:oddVBand="0" w:evenVBand="0" w:oddHBand="0" w:evenHBand="0" w:firstRowFirstColumn="0" w:firstRowLastColumn="0" w:lastRowFirstColumn="0" w:lastRowLastColumn="0"/>
            <w:tcW w:w="7825" w:type="dxa"/>
          </w:tcPr>
          <w:p w14:paraId="75B4C71B" w14:textId="77777777" w:rsidR="008E5233" w:rsidRDefault="005648A9">
            <w:r>
              <w:t>Property, plant and equipment</w:t>
            </w:r>
          </w:p>
        </w:tc>
        <w:tc>
          <w:tcPr>
            <w:tcW w:w="907" w:type="dxa"/>
          </w:tcPr>
          <w:p w14:paraId="334757FC" w14:textId="77777777" w:rsidR="008E5233" w:rsidRDefault="005648A9">
            <w:pPr>
              <w:cnfStyle w:val="000000000000" w:firstRow="0" w:lastRow="0" w:firstColumn="0" w:lastColumn="0" w:oddVBand="0" w:evenVBand="0" w:oddHBand="0" w:evenHBand="0" w:firstRowFirstColumn="0" w:firstRowLastColumn="0" w:lastRowFirstColumn="0" w:lastRowLastColumn="0"/>
            </w:pPr>
            <w:r>
              <w:t>14 227</w:t>
            </w:r>
          </w:p>
        </w:tc>
        <w:tc>
          <w:tcPr>
            <w:tcW w:w="907" w:type="dxa"/>
          </w:tcPr>
          <w:p w14:paraId="53073E1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D19B98B" w14:textId="77777777">
        <w:tc>
          <w:tcPr>
            <w:cnfStyle w:val="001000000000" w:firstRow="0" w:lastRow="0" w:firstColumn="1" w:lastColumn="0" w:oddVBand="0" w:evenVBand="0" w:oddHBand="0" w:evenHBand="0" w:firstRowFirstColumn="0" w:firstRowLastColumn="0" w:lastRowFirstColumn="0" w:lastRowLastColumn="0"/>
            <w:tcW w:w="7825" w:type="dxa"/>
          </w:tcPr>
          <w:p w14:paraId="18E5594C" w14:textId="77777777" w:rsidR="008E5233" w:rsidRDefault="005648A9">
            <w:r>
              <w:rPr>
                <w:b/>
              </w:rPr>
              <w:t>Liabilities</w:t>
            </w:r>
          </w:p>
        </w:tc>
        <w:tc>
          <w:tcPr>
            <w:tcW w:w="907" w:type="dxa"/>
          </w:tcPr>
          <w:p w14:paraId="319F7CF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E891C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727C309" w14:textId="77777777">
        <w:tc>
          <w:tcPr>
            <w:cnfStyle w:val="001000000000" w:firstRow="0" w:lastRow="0" w:firstColumn="1" w:lastColumn="0" w:oddVBand="0" w:evenVBand="0" w:oddHBand="0" w:evenHBand="0" w:firstRowFirstColumn="0" w:firstRowLastColumn="0" w:lastRowFirstColumn="0" w:lastRowLastColumn="0"/>
            <w:tcW w:w="7825" w:type="dxa"/>
          </w:tcPr>
          <w:p w14:paraId="5EF005A7" w14:textId="77777777" w:rsidR="008E5233" w:rsidRDefault="005648A9">
            <w:r>
              <w:t>Payables</w:t>
            </w:r>
          </w:p>
        </w:tc>
        <w:tc>
          <w:tcPr>
            <w:tcW w:w="907" w:type="dxa"/>
          </w:tcPr>
          <w:p w14:paraId="3915B0C2" w14:textId="77777777" w:rsidR="008E5233" w:rsidRDefault="005648A9">
            <w:pPr>
              <w:cnfStyle w:val="000000000000" w:firstRow="0" w:lastRow="0" w:firstColumn="0" w:lastColumn="0" w:oddVBand="0" w:evenVBand="0" w:oddHBand="0" w:evenHBand="0" w:firstRowFirstColumn="0" w:firstRowLastColumn="0" w:lastRowFirstColumn="0" w:lastRowLastColumn="0"/>
            </w:pPr>
            <w:r>
              <w:t>(2 778)</w:t>
            </w:r>
          </w:p>
        </w:tc>
        <w:tc>
          <w:tcPr>
            <w:tcW w:w="907" w:type="dxa"/>
          </w:tcPr>
          <w:p w14:paraId="102ADB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0E57C65" w14:textId="77777777">
        <w:tc>
          <w:tcPr>
            <w:cnfStyle w:val="001000000000" w:firstRow="0" w:lastRow="0" w:firstColumn="1" w:lastColumn="0" w:oddVBand="0" w:evenVBand="0" w:oddHBand="0" w:evenHBand="0" w:firstRowFirstColumn="0" w:firstRowLastColumn="0" w:lastRowFirstColumn="0" w:lastRowLastColumn="0"/>
            <w:tcW w:w="7825" w:type="dxa"/>
          </w:tcPr>
          <w:p w14:paraId="2B72211D" w14:textId="77777777" w:rsidR="008E5233" w:rsidRDefault="005648A9">
            <w:r>
              <w:t>Borrowings</w:t>
            </w:r>
          </w:p>
        </w:tc>
        <w:tc>
          <w:tcPr>
            <w:tcW w:w="907" w:type="dxa"/>
          </w:tcPr>
          <w:p w14:paraId="546D1E24" w14:textId="77777777" w:rsidR="008E5233" w:rsidRDefault="005648A9">
            <w:pPr>
              <w:cnfStyle w:val="000000000000" w:firstRow="0" w:lastRow="0" w:firstColumn="0" w:lastColumn="0" w:oddVBand="0" w:evenVBand="0" w:oddHBand="0" w:evenHBand="0" w:firstRowFirstColumn="0" w:firstRowLastColumn="0" w:lastRowFirstColumn="0" w:lastRowLastColumn="0"/>
            </w:pPr>
            <w:r>
              <w:t>(2 599)</w:t>
            </w:r>
          </w:p>
        </w:tc>
        <w:tc>
          <w:tcPr>
            <w:tcW w:w="907" w:type="dxa"/>
          </w:tcPr>
          <w:p w14:paraId="792A25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C82554D" w14:textId="77777777">
        <w:tc>
          <w:tcPr>
            <w:cnfStyle w:val="001000000000" w:firstRow="0" w:lastRow="0" w:firstColumn="1" w:lastColumn="0" w:oddVBand="0" w:evenVBand="0" w:oddHBand="0" w:evenHBand="0" w:firstRowFirstColumn="0" w:firstRowLastColumn="0" w:lastRowFirstColumn="0" w:lastRowLastColumn="0"/>
            <w:tcW w:w="7825" w:type="dxa"/>
          </w:tcPr>
          <w:p w14:paraId="5EE219EA" w14:textId="77777777" w:rsidR="008E5233" w:rsidRDefault="005648A9">
            <w:r>
              <w:t>Provisions</w:t>
            </w:r>
          </w:p>
        </w:tc>
        <w:tc>
          <w:tcPr>
            <w:tcW w:w="907" w:type="dxa"/>
          </w:tcPr>
          <w:p w14:paraId="2308FD14" w14:textId="77777777" w:rsidR="008E5233" w:rsidRDefault="005648A9">
            <w:pPr>
              <w:cnfStyle w:val="000000000000" w:firstRow="0" w:lastRow="0" w:firstColumn="0" w:lastColumn="0" w:oddVBand="0" w:evenVBand="0" w:oddHBand="0" w:evenHBand="0" w:firstRowFirstColumn="0" w:firstRowLastColumn="0" w:lastRowFirstColumn="0" w:lastRowLastColumn="0"/>
            </w:pPr>
            <w:r>
              <w:t>(4 678)</w:t>
            </w:r>
          </w:p>
        </w:tc>
        <w:tc>
          <w:tcPr>
            <w:tcW w:w="907" w:type="dxa"/>
          </w:tcPr>
          <w:p w14:paraId="2AE19E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5518EB8"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F0F2B57" w14:textId="77777777" w:rsidR="008E5233" w:rsidRDefault="005648A9">
            <w:r>
              <w:t>Other liabilities</w:t>
            </w:r>
          </w:p>
        </w:tc>
        <w:tc>
          <w:tcPr>
            <w:tcW w:w="907" w:type="dxa"/>
            <w:tcBorders>
              <w:bottom w:val="single" w:sz="12" w:space="0" w:color="auto"/>
            </w:tcBorders>
          </w:tcPr>
          <w:p w14:paraId="23FE5D35"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c>
          <w:tcPr>
            <w:tcW w:w="907" w:type="dxa"/>
            <w:tcBorders>
              <w:bottom w:val="single" w:sz="12" w:space="0" w:color="auto"/>
            </w:tcBorders>
          </w:tcPr>
          <w:p w14:paraId="704A815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6F4299BB"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54DD230D" w14:textId="77777777" w:rsidR="008E5233" w:rsidRDefault="005648A9">
            <w:r>
              <w:rPr>
                <w:b/>
              </w:rPr>
              <w:t>Net assets acquired</w:t>
            </w:r>
          </w:p>
        </w:tc>
        <w:tc>
          <w:tcPr>
            <w:tcW w:w="907" w:type="dxa"/>
          </w:tcPr>
          <w:p w14:paraId="42968D7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17 796</w:t>
            </w:r>
          </w:p>
        </w:tc>
        <w:tc>
          <w:tcPr>
            <w:tcW w:w="907" w:type="dxa"/>
          </w:tcPr>
          <w:p w14:paraId="24BD6BE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39288CFC"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1CEFA82E" w14:textId="77777777" w:rsidR="008E5233" w:rsidRDefault="005648A9">
            <w:r>
              <w:rPr>
                <w:b/>
              </w:rPr>
              <w:t>Net cash inflows on disposal</w:t>
            </w:r>
          </w:p>
        </w:tc>
        <w:tc>
          <w:tcPr>
            <w:tcW w:w="907" w:type="dxa"/>
          </w:tcPr>
          <w:p w14:paraId="3113B3F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BEC00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F3AD5B6" w14:textId="77777777">
        <w:tc>
          <w:tcPr>
            <w:cnfStyle w:val="001000000000" w:firstRow="0" w:lastRow="0" w:firstColumn="1" w:lastColumn="0" w:oddVBand="0" w:evenVBand="0" w:oddHBand="0" w:evenHBand="0" w:firstRowFirstColumn="0" w:firstRowLastColumn="0" w:lastRowFirstColumn="0" w:lastRowLastColumn="0"/>
            <w:tcW w:w="7825" w:type="dxa"/>
          </w:tcPr>
          <w:p w14:paraId="4EF79211" w14:textId="77777777" w:rsidR="008E5233" w:rsidRDefault="005648A9">
            <w:r>
              <w:t>Cash and cash equivalents consideration</w:t>
            </w:r>
          </w:p>
        </w:tc>
        <w:tc>
          <w:tcPr>
            <w:tcW w:w="907" w:type="dxa"/>
          </w:tcPr>
          <w:p w14:paraId="0AAB7F4E" w14:textId="77777777" w:rsidR="008E5233" w:rsidRDefault="005648A9">
            <w:pPr>
              <w:cnfStyle w:val="000000000000" w:firstRow="0" w:lastRow="0" w:firstColumn="0" w:lastColumn="0" w:oddVBand="0" w:evenVBand="0" w:oddHBand="0" w:evenHBand="0" w:firstRowFirstColumn="0" w:firstRowLastColumn="0" w:lastRowFirstColumn="0" w:lastRowLastColumn="0"/>
            </w:pPr>
            <w:r>
              <w:t>17 795</w:t>
            </w:r>
          </w:p>
        </w:tc>
        <w:tc>
          <w:tcPr>
            <w:tcW w:w="907" w:type="dxa"/>
          </w:tcPr>
          <w:p w14:paraId="703F80B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B7DA86B"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F25751F" w14:textId="77777777" w:rsidR="008E5233" w:rsidRDefault="005648A9">
            <w:r>
              <w:t>Less cash and cash equivalent balances acquired</w:t>
            </w:r>
          </w:p>
        </w:tc>
        <w:tc>
          <w:tcPr>
            <w:tcW w:w="907" w:type="dxa"/>
            <w:tcBorders>
              <w:bottom w:val="single" w:sz="12" w:space="0" w:color="auto"/>
            </w:tcBorders>
          </w:tcPr>
          <w:p w14:paraId="7B0ADD1B" w14:textId="77777777" w:rsidR="008E5233" w:rsidRDefault="005648A9">
            <w:pPr>
              <w:cnfStyle w:val="000000000000" w:firstRow="0" w:lastRow="0" w:firstColumn="0" w:lastColumn="0" w:oddVBand="0" w:evenVBand="0" w:oddHBand="0" w:evenHBand="0" w:firstRowFirstColumn="0" w:firstRowLastColumn="0" w:lastRowFirstColumn="0" w:lastRowLastColumn="0"/>
            </w:pPr>
            <w:r>
              <w:t>(348)</w:t>
            </w:r>
          </w:p>
        </w:tc>
        <w:tc>
          <w:tcPr>
            <w:tcW w:w="907" w:type="dxa"/>
            <w:tcBorders>
              <w:bottom w:val="single" w:sz="12" w:space="0" w:color="auto"/>
            </w:tcBorders>
          </w:tcPr>
          <w:p w14:paraId="6AD1538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43E4BDCD"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EB31D5D" w14:textId="77777777" w:rsidR="008E5233" w:rsidRDefault="005648A9">
            <w:r>
              <w:rPr>
                <w:b/>
              </w:rPr>
              <w:t>Net cash flows</w:t>
            </w:r>
          </w:p>
        </w:tc>
        <w:tc>
          <w:tcPr>
            <w:tcW w:w="907" w:type="dxa"/>
          </w:tcPr>
          <w:p w14:paraId="587A427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17 447</w:t>
            </w:r>
          </w:p>
        </w:tc>
        <w:tc>
          <w:tcPr>
            <w:tcW w:w="907" w:type="dxa"/>
          </w:tcPr>
          <w:p w14:paraId="6553B1B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75F9059A" w14:textId="77777777" w:rsidR="003719CD" w:rsidRDefault="003719CD" w:rsidP="007D536F"/>
    <w:p w14:paraId="6D58D243" w14:textId="77777777" w:rsidR="003719CD" w:rsidRDefault="003719CD" w:rsidP="007D536F">
      <w:pPr>
        <w:pStyle w:val="GuidanceBlockHeading"/>
      </w:pPr>
      <w:r>
        <w:t>Guidance – Obtaining and losing control of subsidiaries and other businesses</w:t>
      </w:r>
    </w:p>
    <w:p w14:paraId="03875525" w14:textId="77777777" w:rsidR="003719CD" w:rsidRPr="00BE2BB0" w:rsidRDefault="003719CD" w:rsidP="007D536F">
      <w:pPr>
        <w:rPr>
          <w:rStyle w:val="Guidance"/>
        </w:rPr>
      </w:pPr>
      <w:r w:rsidRPr="00BE2BB0">
        <w:rPr>
          <w:rStyle w:val="Guidance"/>
        </w:rPr>
        <w:t xml:space="preserve">The aggregate cash flows arising from acquisitions and from obtaining or losing control of subsidiaries or other businesses shall be presented separately and classified as investing activities. </w:t>
      </w:r>
      <w:r w:rsidRPr="00BE2BB0">
        <w:rPr>
          <w:rStyle w:val="Reference"/>
        </w:rPr>
        <w:t>[AASB107.39]</w:t>
      </w:r>
    </w:p>
    <w:p w14:paraId="79DA2934" w14:textId="258DE285" w:rsidR="003719CD" w:rsidRPr="00BE2BB0" w:rsidRDefault="003719CD" w:rsidP="007D536F">
      <w:pPr>
        <w:rPr>
          <w:rStyle w:val="Guidance"/>
        </w:rPr>
      </w:pPr>
      <w:r w:rsidRPr="00BE2BB0">
        <w:rPr>
          <w:rStyle w:val="Guidance"/>
        </w:rPr>
        <w:t>An entity shall disclose, in aggregate, in respect of both obtaining and losing control of subsidiaries and other business units during the period:</w:t>
      </w:r>
    </w:p>
    <w:p w14:paraId="416BBC02" w14:textId="13110EE6" w:rsidR="003719CD" w:rsidRPr="00BE2BB0" w:rsidRDefault="003719CD" w:rsidP="00310F12">
      <w:pPr>
        <w:pStyle w:val="ListBullet"/>
        <w:rPr>
          <w:rStyle w:val="Guidance"/>
        </w:rPr>
      </w:pPr>
      <w:r w:rsidRPr="00BE2BB0">
        <w:rPr>
          <w:rStyle w:val="Guidance"/>
        </w:rPr>
        <w:t>the total consideration paid or received</w:t>
      </w:r>
    </w:p>
    <w:p w14:paraId="5D1865FA" w14:textId="1075392B" w:rsidR="003719CD" w:rsidRPr="00BE2BB0" w:rsidRDefault="003719CD" w:rsidP="00310F12">
      <w:pPr>
        <w:pStyle w:val="ListBullet"/>
        <w:rPr>
          <w:rStyle w:val="Guidance"/>
        </w:rPr>
      </w:pPr>
      <w:r w:rsidRPr="00BE2BB0">
        <w:rPr>
          <w:rStyle w:val="Guidance"/>
        </w:rPr>
        <w:t>the portion of the purchase or disposal consideration discharged by means of cash and cash equivalents</w:t>
      </w:r>
    </w:p>
    <w:p w14:paraId="0C0D0C14" w14:textId="7C1ECF27" w:rsidR="003719CD" w:rsidRPr="00BE2BB0" w:rsidRDefault="003719CD" w:rsidP="00310F12">
      <w:pPr>
        <w:pStyle w:val="ListBullet"/>
        <w:rPr>
          <w:rStyle w:val="Guidance"/>
        </w:rPr>
      </w:pPr>
      <w:r w:rsidRPr="00BE2BB0">
        <w:rPr>
          <w:rStyle w:val="Guidance"/>
        </w:rPr>
        <w:t xml:space="preserve">the amount of cash and cash equivalents in the subsidiaries or other businesses over which control is obtained or lost </w:t>
      </w:r>
    </w:p>
    <w:p w14:paraId="6B951016" w14:textId="77777777" w:rsidR="003719CD" w:rsidRPr="00BE2BB0" w:rsidRDefault="003719CD" w:rsidP="00310F12">
      <w:pPr>
        <w:pStyle w:val="ListBullet"/>
        <w:rPr>
          <w:rStyle w:val="Guidance"/>
        </w:rPr>
      </w:pPr>
      <w:r w:rsidRPr="00BE2BB0">
        <w:rPr>
          <w:rStyle w:val="Guidance"/>
        </w:rPr>
        <w:t xml:space="preserve">the amount of the assets and liabilities other than cash or cash equivalents in the subsidiaries or other businesses over which control is obtained or lost, summarised by each major category. </w:t>
      </w:r>
      <w:r w:rsidRPr="00BE2BB0">
        <w:rPr>
          <w:rStyle w:val="Reference"/>
        </w:rPr>
        <w:t>[AASB107.40]</w:t>
      </w:r>
    </w:p>
    <w:p w14:paraId="50971E5E" w14:textId="77777777" w:rsidR="003719CD" w:rsidRPr="00BE2BB0" w:rsidRDefault="003719CD" w:rsidP="007D536F">
      <w:pPr>
        <w:rPr>
          <w:rStyle w:val="Guidance"/>
        </w:rPr>
      </w:pPr>
      <w:r w:rsidRPr="00BE2BB0">
        <w:rPr>
          <w:rStyle w:val="Guidance"/>
        </w:rPr>
        <w:t>The following additional information shall be provided if it is relevant in understanding the financial position and liquidity of an entity:</w:t>
      </w:r>
    </w:p>
    <w:p w14:paraId="5074D816" w14:textId="7030F99A" w:rsidR="003719CD" w:rsidRPr="00BE2BB0" w:rsidRDefault="00E11BFD" w:rsidP="00310F12">
      <w:pPr>
        <w:pStyle w:val="ListBullet"/>
        <w:rPr>
          <w:rStyle w:val="Guidance"/>
        </w:rPr>
      </w:pPr>
      <w:r>
        <w:rPr>
          <w:rStyle w:val="Guidance"/>
        </w:rPr>
        <w:t>T</w:t>
      </w:r>
      <w:r w:rsidR="003719CD" w:rsidRPr="00BE2BB0">
        <w:rPr>
          <w:rStyle w:val="Guidance"/>
        </w:rPr>
        <w:t>he amount of undrawn borrowing facilities that may be available for future operating activities and to settle capital commitments, indicating any restrictions on the use of these facilities</w:t>
      </w:r>
    </w:p>
    <w:p w14:paraId="2D9298F6" w14:textId="21E48AA6" w:rsidR="003719CD" w:rsidRPr="00BE2BB0" w:rsidRDefault="00E11BFD" w:rsidP="00310F12">
      <w:pPr>
        <w:pStyle w:val="ListBullet"/>
        <w:rPr>
          <w:rStyle w:val="Guidance"/>
        </w:rPr>
      </w:pPr>
      <w:r>
        <w:rPr>
          <w:rStyle w:val="Guidance"/>
        </w:rPr>
        <w:t>T</w:t>
      </w:r>
      <w:r w:rsidR="003719CD" w:rsidRPr="00BE2BB0">
        <w:rPr>
          <w:rStyle w:val="Guidance"/>
        </w:rPr>
        <w:t>he aggregate amount of cash flows that represent increases in operating capacity separately from those cash flows that are required to maintain operating capacity</w:t>
      </w:r>
    </w:p>
    <w:p w14:paraId="6C02EE74" w14:textId="57A7C5F7" w:rsidR="003719CD" w:rsidRPr="00BE2BB0" w:rsidRDefault="00E11BFD" w:rsidP="00310F12">
      <w:pPr>
        <w:pStyle w:val="ListBullet"/>
        <w:rPr>
          <w:rStyle w:val="Guidance"/>
        </w:rPr>
      </w:pPr>
      <w:r>
        <w:rPr>
          <w:rStyle w:val="Guidance"/>
        </w:rPr>
        <w:t>T</w:t>
      </w:r>
      <w:r w:rsidR="003719CD" w:rsidRPr="00BE2BB0">
        <w:rPr>
          <w:rStyle w:val="Guidance"/>
        </w:rPr>
        <w:t xml:space="preserve">he amount of the cash flows arising from the operating, investing and financing activities of each reportable segment. </w:t>
      </w:r>
      <w:r w:rsidR="003719CD" w:rsidRPr="00BE2BB0">
        <w:rPr>
          <w:rStyle w:val="Reference"/>
        </w:rPr>
        <w:t>[AASB107.50]</w:t>
      </w:r>
    </w:p>
    <w:p w14:paraId="62FF5847" w14:textId="77777777" w:rsidR="00E43051" w:rsidRDefault="00E43051" w:rsidP="007D536F">
      <w:pPr>
        <w:pStyle w:val="GuidanceEnd"/>
        <w:sectPr w:rsidR="00E43051" w:rsidSect="006E0E99">
          <w:headerReference w:type="even" r:id="rId93"/>
          <w:headerReference w:type="default" r:id="rId94"/>
          <w:footerReference w:type="even" r:id="rId95"/>
          <w:footerReference w:type="default" r:id="rId96"/>
          <w:pgSz w:w="11906" w:h="16838" w:code="9"/>
          <w:pgMar w:top="1134" w:right="1134" w:bottom="1134" w:left="1134" w:header="624" w:footer="567" w:gutter="0"/>
          <w:cols w:space="708"/>
          <w:docGrid w:linePitch="360"/>
        </w:sectPr>
      </w:pPr>
    </w:p>
    <w:bookmarkEnd w:id="56"/>
    <w:p w14:paraId="40D12D9C" w14:textId="0874A6C6" w:rsidR="003719CD" w:rsidRDefault="003719CD" w:rsidP="00A80494">
      <w:pPr>
        <w:pStyle w:val="Heading1numbered"/>
        <w:sectPr w:rsidR="003719CD" w:rsidSect="006E0E99">
          <w:footerReference w:type="first" r:id="rId97"/>
          <w:pgSz w:w="11906" w:h="16838" w:code="9"/>
          <w:pgMar w:top="1134" w:right="1134" w:bottom="1134" w:left="1134" w:header="624" w:footer="567" w:gutter="0"/>
          <w:cols w:space="708"/>
          <w:titlePg/>
          <w:docGrid w:linePitch="360"/>
        </w:sectPr>
      </w:pPr>
      <w:r>
        <w:lastRenderedPageBreak/>
        <w:t>OTHER ASSETS AND LIABILITIES</w:t>
      </w:r>
    </w:p>
    <w:p w14:paraId="33CF8248" w14:textId="77777777" w:rsidR="003719CD" w:rsidRDefault="003719CD" w:rsidP="007D536F">
      <w:pPr>
        <w:pStyle w:val="Heading3"/>
      </w:pPr>
      <w:r>
        <w:t>Introduction</w:t>
      </w:r>
    </w:p>
    <w:p w14:paraId="3AC5C379" w14:textId="77777777" w:rsidR="003719CD" w:rsidRDefault="003719CD" w:rsidP="00DC39DE">
      <w:r>
        <w:t xml:space="preserve">This section sets out those assets and liabilities that arose from the </w:t>
      </w:r>
      <w:r w:rsidRPr="00BE2BB0">
        <w:t>Department’s</w:t>
      </w:r>
      <w:r>
        <w:t xml:space="preserve"> controlled operations. </w:t>
      </w:r>
    </w:p>
    <w:p w14:paraId="4FE8BF17" w14:textId="77777777" w:rsidR="003719CD" w:rsidRDefault="003719CD" w:rsidP="00DC39DE">
      <w:r>
        <w:t xml:space="preserve"> </w:t>
      </w:r>
    </w:p>
    <w:p w14:paraId="2EF7AFCC" w14:textId="77777777" w:rsidR="003719CD" w:rsidRDefault="003719CD" w:rsidP="007D536F">
      <w:pPr>
        <w:pStyle w:val="Heading3"/>
      </w:pPr>
      <w:r>
        <w:br w:type="column"/>
      </w:r>
      <w:r>
        <w:t>Structure</w:t>
      </w:r>
    </w:p>
    <w:p w14:paraId="076A1013" w14:textId="2B6AB19E" w:rsidR="00D4290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_6</w:instrText>
      </w:r>
      <w:r w:rsidRPr="00940E38">
        <w:instrText xml:space="preserve"> \* MERGEFORMAT </w:instrText>
      </w:r>
      <w:r w:rsidRPr="00940E38">
        <w:fldChar w:fldCharType="separate"/>
      </w:r>
      <w:hyperlink w:anchor="_Toc96704919" w:history="1">
        <w:r w:rsidR="00D42903" w:rsidRPr="00C42735">
          <w:rPr>
            <w:rStyle w:val="Hyperlink"/>
            <w:noProof/>
          </w:rPr>
          <w:t>6.1</w:t>
        </w:r>
        <w:r w:rsidR="00D42903">
          <w:rPr>
            <w:noProof/>
            <w:sz w:val="22"/>
          </w:rPr>
          <w:tab/>
        </w:r>
        <w:r w:rsidR="00D42903" w:rsidRPr="00C42735">
          <w:rPr>
            <w:rStyle w:val="Hyperlink"/>
            <w:noProof/>
          </w:rPr>
          <w:t>Receivables</w:t>
        </w:r>
        <w:r w:rsidR="00D42903">
          <w:rPr>
            <w:noProof/>
            <w:webHidden/>
          </w:rPr>
          <w:tab/>
        </w:r>
        <w:r w:rsidR="00D42903">
          <w:rPr>
            <w:noProof/>
            <w:webHidden/>
          </w:rPr>
          <w:fldChar w:fldCharType="begin"/>
        </w:r>
        <w:r w:rsidR="00D42903">
          <w:rPr>
            <w:noProof/>
            <w:webHidden/>
          </w:rPr>
          <w:instrText xml:space="preserve"> PAGEREF _Toc96704919 \h </w:instrText>
        </w:r>
        <w:r w:rsidR="00D42903">
          <w:rPr>
            <w:noProof/>
            <w:webHidden/>
          </w:rPr>
        </w:r>
        <w:r w:rsidR="00D42903">
          <w:rPr>
            <w:noProof/>
            <w:webHidden/>
          </w:rPr>
          <w:fldChar w:fldCharType="separate"/>
        </w:r>
        <w:r w:rsidR="00D26320">
          <w:rPr>
            <w:noProof/>
            <w:webHidden/>
          </w:rPr>
          <w:t>77</w:t>
        </w:r>
        <w:r w:rsidR="00D42903">
          <w:rPr>
            <w:noProof/>
            <w:webHidden/>
          </w:rPr>
          <w:fldChar w:fldCharType="end"/>
        </w:r>
      </w:hyperlink>
    </w:p>
    <w:p w14:paraId="0AF76CF1" w14:textId="48CC53E6" w:rsidR="00D42903" w:rsidRDefault="00D42903" w:rsidP="00C70938">
      <w:pPr>
        <w:pStyle w:val="TOC9"/>
        <w:rPr>
          <w:noProof/>
          <w:sz w:val="22"/>
        </w:rPr>
      </w:pPr>
      <w:hyperlink w:anchor="_Toc96704920" w:history="1">
        <w:r w:rsidRPr="00C42735">
          <w:rPr>
            <w:rStyle w:val="Hyperlink"/>
            <w:noProof/>
          </w:rPr>
          <w:t>6.2</w:t>
        </w:r>
        <w:r>
          <w:rPr>
            <w:noProof/>
            <w:sz w:val="22"/>
          </w:rPr>
          <w:tab/>
        </w:r>
        <w:r w:rsidRPr="00C42735">
          <w:rPr>
            <w:rStyle w:val="Hyperlink"/>
            <w:noProof/>
          </w:rPr>
          <w:t>Payables</w:t>
        </w:r>
        <w:r>
          <w:rPr>
            <w:noProof/>
            <w:webHidden/>
          </w:rPr>
          <w:tab/>
        </w:r>
        <w:r>
          <w:rPr>
            <w:noProof/>
            <w:webHidden/>
          </w:rPr>
          <w:fldChar w:fldCharType="begin"/>
        </w:r>
        <w:r>
          <w:rPr>
            <w:noProof/>
            <w:webHidden/>
          </w:rPr>
          <w:instrText xml:space="preserve"> PAGEREF _Toc96704920 \h </w:instrText>
        </w:r>
        <w:r>
          <w:rPr>
            <w:noProof/>
            <w:webHidden/>
          </w:rPr>
        </w:r>
        <w:r>
          <w:rPr>
            <w:noProof/>
            <w:webHidden/>
          </w:rPr>
          <w:fldChar w:fldCharType="separate"/>
        </w:r>
        <w:r w:rsidR="00D26320">
          <w:rPr>
            <w:noProof/>
            <w:webHidden/>
          </w:rPr>
          <w:t>84</w:t>
        </w:r>
        <w:r>
          <w:rPr>
            <w:noProof/>
            <w:webHidden/>
          </w:rPr>
          <w:fldChar w:fldCharType="end"/>
        </w:r>
      </w:hyperlink>
    </w:p>
    <w:p w14:paraId="511B0A54" w14:textId="714B5DBF" w:rsidR="00D42903" w:rsidRDefault="00D42903" w:rsidP="00C70938">
      <w:pPr>
        <w:pStyle w:val="TOC9"/>
        <w:rPr>
          <w:noProof/>
          <w:sz w:val="22"/>
        </w:rPr>
      </w:pPr>
      <w:hyperlink w:anchor="_Toc96704921" w:history="1">
        <w:r w:rsidRPr="00C42735">
          <w:rPr>
            <w:rStyle w:val="Hyperlink"/>
            <w:noProof/>
          </w:rPr>
          <w:t>6.3</w:t>
        </w:r>
        <w:r>
          <w:rPr>
            <w:noProof/>
            <w:sz w:val="22"/>
          </w:rPr>
          <w:tab/>
        </w:r>
        <w:r w:rsidRPr="00C42735">
          <w:rPr>
            <w:rStyle w:val="Hyperlink"/>
            <w:noProof/>
          </w:rPr>
          <w:t>Inventories</w:t>
        </w:r>
        <w:r>
          <w:rPr>
            <w:noProof/>
            <w:webHidden/>
          </w:rPr>
          <w:tab/>
        </w:r>
        <w:r>
          <w:rPr>
            <w:noProof/>
            <w:webHidden/>
          </w:rPr>
          <w:fldChar w:fldCharType="begin"/>
        </w:r>
        <w:r>
          <w:rPr>
            <w:noProof/>
            <w:webHidden/>
          </w:rPr>
          <w:instrText xml:space="preserve"> PAGEREF _Toc96704921 \h </w:instrText>
        </w:r>
        <w:r>
          <w:rPr>
            <w:noProof/>
            <w:webHidden/>
          </w:rPr>
        </w:r>
        <w:r>
          <w:rPr>
            <w:noProof/>
            <w:webHidden/>
          </w:rPr>
          <w:fldChar w:fldCharType="separate"/>
        </w:r>
        <w:r w:rsidR="00D26320">
          <w:rPr>
            <w:noProof/>
            <w:webHidden/>
          </w:rPr>
          <w:t>87</w:t>
        </w:r>
        <w:r>
          <w:rPr>
            <w:noProof/>
            <w:webHidden/>
          </w:rPr>
          <w:fldChar w:fldCharType="end"/>
        </w:r>
      </w:hyperlink>
    </w:p>
    <w:p w14:paraId="15681BE0" w14:textId="20D3E4A3" w:rsidR="00D42903" w:rsidRDefault="00D42903" w:rsidP="00C70938">
      <w:pPr>
        <w:pStyle w:val="TOC9"/>
        <w:rPr>
          <w:noProof/>
          <w:sz w:val="22"/>
        </w:rPr>
      </w:pPr>
      <w:hyperlink w:anchor="_Toc96704922" w:history="1">
        <w:r w:rsidRPr="00C42735">
          <w:rPr>
            <w:rStyle w:val="Hyperlink"/>
            <w:noProof/>
          </w:rPr>
          <w:t>6.4</w:t>
        </w:r>
        <w:r>
          <w:rPr>
            <w:noProof/>
            <w:sz w:val="22"/>
          </w:rPr>
          <w:tab/>
        </w:r>
        <w:r w:rsidRPr="00C42735">
          <w:rPr>
            <w:rStyle w:val="Hyperlink"/>
            <w:noProof/>
          </w:rPr>
          <w:t>Other non-financial assets</w:t>
        </w:r>
        <w:r>
          <w:rPr>
            <w:noProof/>
            <w:webHidden/>
          </w:rPr>
          <w:tab/>
        </w:r>
        <w:r>
          <w:rPr>
            <w:noProof/>
            <w:webHidden/>
          </w:rPr>
          <w:fldChar w:fldCharType="begin"/>
        </w:r>
        <w:r>
          <w:rPr>
            <w:noProof/>
            <w:webHidden/>
          </w:rPr>
          <w:instrText xml:space="preserve"> PAGEREF _Toc96704922 \h </w:instrText>
        </w:r>
        <w:r>
          <w:rPr>
            <w:noProof/>
            <w:webHidden/>
          </w:rPr>
        </w:r>
        <w:r>
          <w:rPr>
            <w:noProof/>
            <w:webHidden/>
          </w:rPr>
          <w:fldChar w:fldCharType="separate"/>
        </w:r>
        <w:r w:rsidR="00D26320">
          <w:rPr>
            <w:noProof/>
            <w:webHidden/>
          </w:rPr>
          <w:t>88</w:t>
        </w:r>
        <w:r>
          <w:rPr>
            <w:noProof/>
            <w:webHidden/>
          </w:rPr>
          <w:fldChar w:fldCharType="end"/>
        </w:r>
      </w:hyperlink>
    </w:p>
    <w:p w14:paraId="56020E4E" w14:textId="4FADD296" w:rsidR="00D42903" w:rsidRDefault="00D42903" w:rsidP="00C70938">
      <w:pPr>
        <w:pStyle w:val="TOC9"/>
        <w:rPr>
          <w:noProof/>
          <w:sz w:val="22"/>
        </w:rPr>
      </w:pPr>
      <w:hyperlink w:anchor="_Toc96704923" w:history="1">
        <w:r w:rsidRPr="00C42735">
          <w:rPr>
            <w:rStyle w:val="Hyperlink"/>
            <w:noProof/>
          </w:rPr>
          <w:t>6.5</w:t>
        </w:r>
        <w:r>
          <w:rPr>
            <w:noProof/>
            <w:sz w:val="22"/>
          </w:rPr>
          <w:tab/>
        </w:r>
        <w:r w:rsidRPr="00C42735">
          <w:rPr>
            <w:rStyle w:val="Hyperlink"/>
            <w:noProof/>
          </w:rPr>
          <w:t>Other provisions</w:t>
        </w:r>
        <w:r>
          <w:rPr>
            <w:noProof/>
            <w:webHidden/>
          </w:rPr>
          <w:tab/>
        </w:r>
        <w:r>
          <w:rPr>
            <w:noProof/>
            <w:webHidden/>
          </w:rPr>
          <w:fldChar w:fldCharType="begin"/>
        </w:r>
        <w:r>
          <w:rPr>
            <w:noProof/>
            <w:webHidden/>
          </w:rPr>
          <w:instrText xml:space="preserve"> PAGEREF _Toc96704923 \h </w:instrText>
        </w:r>
        <w:r>
          <w:rPr>
            <w:noProof/>
            <w:webHidden/>
          </w:rPr>
        </w:r>
        <w:r>
          <w:rPr>
            <w:noProof/>
            <w:webHidden/>
          </w:rPr>
          <w:fldChar w:fldCharType="separate"/>
        </w:r>
        <w:r w:rsidR="00D26320">
          <w:rPr>
            <w:noProof/>
            <w:webHidden/>
          </w:rPr>
          <w:t>89</w:t>
        </w:r>
        <w:r>
          <w:rPr>
            <w:noProof/>
            <w:webHidden/>
          </w:rPr>
          <w:fldChar w:fldCharType="end"/>
        </w:r>
      </w:hyperlink>
    </w:p>
    <w:p w14:paraId="39481591" w14:textId="27EBAD70" w:rsidR="003719CD" w:rsidRDefault="003719CD" w:rsidP="007D536F">
      <w:r w:rsidRPr="00940E38">
        <w:fldChar w:fldCharType="end"/>
      </w:r>
    </w:p>
    <w:p w14:paraId="1D703943"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75519428" w14:textId="77777777" w:rsidR="003719CD" w:rsidRDefault="003719CD" w:rsidP="007D536F">
      <w:pPr>
        <w:pStyle w:val="GuidanceBlockHeading"/>
      </w:pPr>
      <w:bookmarkStart w:id="76" w:name="Section_6"/>
      <w:r>
        <w:t>Guidance – Other asset and liability disclosures</w:t>
      </w:r>
      <w:r w:rsidRPr="005A611E">
        <w:rPr>
          <w:sz w:val="16"/>
          <w:szCs w:val="20"/>
        </w:rPr>
        <w:t xml:space="preserve"> [AASB 101.61]</w:t>
      </w:r>
    </w:p>
    <w:p w14:paraId="55ADB40C" w14:textId="77777777" w:rsidR="003719CD" w:rsidRPr="00D878A0" w:rsidRDefault="003719CD" w:rsidP="007D536F">
      <w:pPr>
        <w:rPr>
          <w:rStyle w:val="Guidance"/>
        </w:rPr>
      </w:pPr>
      <w:r w:rsidRPr="00D878A0">
        <w:rPr>
          <w:rStyle w:val="Guidance"/>
        </w:rPr>
        <w:t xml:space="preserve">An entity shall disclose the amount expected to be recovered or settled after more than 12 months for each asset and liability line item that combines amounts expected to be recovered or settled: </w:t>
      </w:r>
    </w:p>
    <w:p w14:paraId="03E11165" w14:textId="0287B7FF" w:rsidR="003719CD" w:rsidRPr="00D878A0" w:rsidRDefault="003719CD" w:rsidP="00310F12">
      <w:pPr>
        <w:pStyle w:val="ListBullet"/>
        <w:rPr>
          <w:rStyle w:val="Guidance"/>
        </w:rPr>
      </w:pPr>
      <w:r w:rsidRPr="00D878A0">
        <w:rPr>
          <w:rStyle w:val="Guidance"/>
        </w:rPr>
        <w:t xml:space="preserve">no more than 12 months after the reporting period </w:t>
      </w:r>
    </w:p>
    <w:p w14:paraId="6C650BC8" w14:textId="0C46419F" w:rsidR="003719CD" w:rsidRPr="00D878A0" w:rsidRDefault="003719CD" w:rsidP="00310F12">
      <w:pPr>
        <w:pStyle w:val="ListBullet"/>
        <w:rPr>
          <w:rStyle w:val="Guidance"/>
        </w:rPr>
      </w:pPr>
      <w:r w:rsidRPr="00D878A0">
        <w:rPr>
          <w:rStyle w:val="Guidance"/>
        </w:rPr>
        <w:t xml:space="preserve">more than 12 months after the reporting period. </w:t>
      </w:r>
      <w:r w:rsidRPr="00D878A0">
        <w:rPr>
          <w:rStyle w:val="Reference"/>
        </w:rPr>
        <w:t>[AASB</w:t>
      </w:r>
      <w:r w:rsidR="00C96D81">
        <w:rPr>
          <w:rStyle w:val="Reference"/>
        </w:rPr>
        <w:t xml:space="preserve"> </w:t>
      </w:r>
      <w:r w:rsidRPr="00D878A0">
        <w:rPr>
          <w:rStyle w:val="Reference"/>
        </w:rPr>
        <w:t>101.61]</w:t>
      </w:r>
    </w:p>
    <w:p w14:paraId="7B81EB6B" w14:textId="77777777" w:rsidR="003719CD" w:rsidRPr="00D878A0" w:rsidRDefault="003719CD" w:rsidP="007D536F">
      <w:pPr>
        <w:rPr>
          <w:rStyle w:val="Guidance"/>
        </w:rPr>
      </w:pPr>
      <w:r w:rsidRPr="00D878A0">
        <w:rPr>
          <w:rStyle w:val="Guidance"/>
        </w:rPr>
        <w:t>Instead of disclosing this information in a separate note it may be more appropriate to include such disclosures in the relevant asset and liability notes. An illustrative example of these disclosure items has not been given in the Model on the basis that the balance sheet and other notes make the required disclosures.</w:t>
      </w:r>
    </w:p>
    <w:p w14:paraId="42315A23" w14:textId="77777777" w:rsidR="003719CD" w:rsidRDefault="003719CD" w:rsidP="007D536F">
      <w:pPr>
        <w:pStyle w:val="GuidanceEnd"/>
      </w:pPr>
    </w:p>
    <w:p w14:paraId="7A5BCAB3" w14:textId="07FFA452" w:rsidR="003719CD" w:rsidRDefault="003719CD" w:rsidP="00A80494">
      <w:pPr>
        <w:pStyle w:val="Heading2numbered"/>
      </w:pPr>
      <w:bookmarkStart w:id="77" w:name="_Toc96704919"/>
      <w:bookmarkStart w:id="78" w:name="_Toc130225973"/>
      <w:bookmarkStart w:id="79" w:name="_Toc64983448"/>
      <w:r>
        <w:t>Receivables</w:t>
      </w:r>
      <w:bookmarkEnd w:id="77"/>
      <w:bookmarkEnd w:id="78"/>
      <w:bookmarkEnd w:id="79"/>
      <w:r w:rsidR="00F03928">
        <w:t xml:space="preserve"> </w:t>
      </w:r>
      <w:r w:rsidR="00F03928" w:rsidRPr="003F0F23">
        <w:rPr>
          <w:color w:val="7030A0"/>
        </w:rPr>
        <w:t>[REVISED]</w:t>
      </w:r>
    </w:p>
    <w:p w14:paraId="2E7C3B00"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05FBB" w14:paraId="33491951" w14:textId="77777777" w:rsidTr="00105FB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573A26EC" w14:textId="77777777" w:rsidR="00105FBB" w:rsidRDefault="00105FBB" w:rsidP="00105FBB">
            <w:pPr>
              <w:keepNext/>
              <w:jc w:val="left"/>
            </w:pPr>
            <w:r>
              <w:rPr>
                <w:color w:val="4472C4"/>
                <w:sz w:val="13"/>
              </w:rPr>
              <w:t>Source reference</w:t>
            </w:r>
          </w:p>
        </w:tc>
        <w:tc>
          <w:tcPr>
            <w:tcW w:w="6558" w:type="dxa"/>
          </w:tcPr>
          <w:p w14:paraId="6CF3FD7B" w14:textId="77777777" w:rsidR="00105FBB" w:rsidRDefault="00105FBB" w:rsidP="00105FBB">
            <w:pPr>
              <w:keepNext/>
              <w:jc w:val="left"/>
            </w:pPr>
          </w:p>
        </w:tc>
        <w:tc>
          <w:tcPr>
            <w:tcW w:w="866" w:type="dxa"/>
          </w:tcPr>
          <w:p w14:paraId="6750380A" w14:textId="52050EED" w:rsidR="00105FBB" w:rsidRPr="00105FBB" w:rsidRDefault="00105FBB" w:rsidP="00105FBB">
            <w:pPr>
              <w:keepNext/>
            </w:pPr>
            <w:fldSimple w:instr="DOCPROPERTY  YearCurrent \* MERGEFORMAT">
              <w:r w:rsidRPr="00105FBB">
                <w:t>20X2</w:t>
              </w:r>
            </w:fldSimple>
          </w:p>
        </w:tc>
        <w:tc>
          <w:tcPr>
            <w:tcW w:w="866" w:type="dxa"/>
          </w:tcPr>
          <w:p w14:paraId="0B82C841" w14:textId="3FE3CD12" w:rsidR="00105FBB" w:rsidRPr="00105FBB" w:rsidRDefault="00105FBB" w:rsidP="00105FBB">
            <w:pPr>
              <w:keepNext/>
            </w:pPr>
            <w:fldSimple w:instr="DOCPROPERTY  YearPrevious  \* MERGEFORMAT">
              <w:r w:rsidRPr="00105FBB">
                <w:t>20X1</w:t>
              </w:r>
            </w:fldSimple>
          </w:p>
        </w:tc>
      </w:tr>
      <w:tr w:rsidR="00182709" w14:paraId="4449DC04" w14:textId="77777777" w:rsidTr="00105FBB">
        <w:tc>
          <w:tcPr>
            <w:tcW w:w="1349" w:type="dxa"/>
          </w:tcPr>
          <w:p w14:paraId="165CF8A4" w14:textId="77777777" w:rsidR="00182709" w:rsidRDefault="0044097C">
            <w:pPr>
              <w:jc w:val="left"/>
            </w:pPr>
            <w:r>
              <w:rPr>
                <w:color w:val="4472C4"/>
                <w:sz w:val="13"/>
              </w:rPr>
              <w:t>AASB 101.78 (b)</w:t>
            </w:r>
          </w:p>
        </w:tc>
        <w:tc>
          <w:tcPr>
            <w:tcW w:w="6558" w:type="dxa"/>
          </w:tcPr>
          <w:p w14:paraId="07BB789C" w14:textId="77777777" w:rsidR="00182709" w:rsidRDefault="0044097C">
            <w:pPr>
              <w:jc w:val="left"/>
            </w:pPr>
            <w:r>
              <w:rPr>
                <w:b/>
              </w:rPr>
              <w:t>Contractual</w:t>
            </w:r>
          </w:p>
        </w:tc>
        <w:tc>
          <w:tcPr>
            <w:tcW w:w="866" w:type="dxa"/>
          </w:tcPr>
          <w:p w14:paraId="3E0EA1A8" w14:textId="77777777" w:rsidR="00182709" w:rsidRDefault="00182709"/>
        </w:tc>
        <w:tc>
          <w:tcPr>
            <w:tcW w:w="866" w:type="dxa"/>
          </w:tcPr>
          <w:p w14:paraId="525C9195" w14:textId="77777777" w:rsidR="00182709" w:rsidRDefault="00182709"/>
        </w:tc>
      </w:tr>
      <w:tr w:rsidR="00182709" w14:paraId="14B1754B" w14:textId="77777777" w:rsidTr="00105FBB">
        <w:tc>
          <w:tcPr>
            <w:tcW w:w="1349" w:type="dxa"/>
          </w:tcPr>
          <w:p w14:paraId="608A6BF4" w14:textId="77777777" w:rsidR="00182709" w:rsidRDefault="00182709">
            <w:pPr>
              <w:jc w:val="left"/>
            </w:pPr>
          </w:p>
        </w:tc>
        <w:tc>
          <w:tcPr>
            <w:tcW w:w="6558" w:type="dxa"/>
          </w:tcPr>
          <w:p w14:paraId="395C5C10" w14:textId="77777777" w:rsidR="00182709" w:rsidRDefault="0044097C">
            <w:pPr>
              <w:jc w:val="left"/>
            </w:pPr>
            <w:r>
              <w:t>Finance lease receivables</w:t>
            </w:r>
          </w:p>
        </w:tc>
        <w:tc>
          <w:tcPr>
            <w:tcW w:w="866" w:type="dxa"/>
          </w:tcPr>
          <w:p w14:paraId="2744A549" w14:textId="77777777" w:rsidR="00182709" w:rsidRDefault="0044097C">
            <w:r>
              <w:t>581</w:t>
            </w:r>
          </w:p>
        </w:tc>
        <w:tc>
          <w:tcPr>
            <w:tcW w:w="866" w:type="dxa"/>
          </w:tcPr>
          <w:p w14:paraId="0F85A256" w14:textId="77777777" w:rsidR="00182709" w:rsidRDefault="0044097C">
            <w:r>
              <w:t>1 231</w:t>
            </w:r>
          </w:p>
        </w:tc>
      </w:tr>
      <w:tr w:rsidR="00182709" w14:paraId="4663346C" w14:textId="77777777" w:rsidTr="00105FBB">
        <w:tc>
          <w:tcPr>
            <w:tcW w:w="1349" w:type="dxa"/>
          </w:tcPr>
          <w:p w14:paraId="76ED6CA0" w14:textId="77777777" w:rsidR="00182709" w:rsidRDefault="00182709">
            <w:pPr>
              <w:jc w:val="left"/>
            </w:pPr>
          </w:p>
        </w:tc>
        <w:tc>
          <w:tcPr>
            <w:tcW w:w="6558" w:type="dxa"/>
          </w:tcPr>
          <w:p w14:paraId="0D6D20AD" w14:textId="77777777" w:rsidR="00182709" w:rsidRDefault="0044097C">
            <w:pPr>
              <w:jc w:val="left"/>
            </w:pPr>
            <w:r>
              <w:t>Sale of goods and services</w:t>
            </w:r>
          </w:p>
        </w:tc>
        <w:tc>
          <w:tcPr>
            <w:tcW w:w="866" w:type="dxa"/>
          </w:tcPr>
          <w:p w14:paraId="2E8B4BB7" w14:textId="77777777" w:rsidR="00182709" w:rsidRDefault="0044097C">
            <w:r>
              <w:t>1 374</w:t>
            </w:r>
          </w:p>
        </w:tc>
        <w:tc>
          <w:tcPr>
            <w:tcW w:w="866" w:type="dxa"/>
          </w:tcPr>
          <w:p w14:paraId="30E46E2B" w14:textId="77777777" w:rsidR="00182709" w:rsidRDefault="0044097C">
            <w:r>
              <w:t>965</w:t>
            </w:r>
          </w:p>
        </w:tc>
      </w:tr>
      <w:tr w:rsidR="00182709" w14:paraId="2A04BD9A" w14:textId="77777777" w:rsidTr="00105FBB">
        <w:tc>
          <w:tcPr>
            <w:tcW w:w="1349" w:type="dxa"/>
          </w:tcPr>
          <w:p w14:paraId="66DEF40A" w14:textId="77777777" w:rsidR="00182709" w:rsidRDefault="00182709">
            <w:pPr>
              <w:jc w:val="left"/>
            </w:pPr>
          </w:p>
        </w:tc>
        <w:tc>
          <w:tcPr>
            <w:tcW w:w="6558" w:type="dxa"/>
          </w:tcPr>
          <w:p w14:paraId="1245178D" w14:textId="77777777" w:rsidR="00182709" w:rsidRDefault="0044097C">
            <w:pPr>
              <w:jc w:val="left"/>
            </w:pPr>
            <w:r>
              <w:t>Loans to third parties</w:t>
            </w:r>
          </w:p>
        </w:tc>
        <w:tc>
          <w:tcPr>
            <w:tcW w:w="866" w:type="dxa"/>
          </w:tcPr>
          <w:p w14:paraId="7FA52F9F" w14:textId="77777777" w:rsidR="00182709" w:rsidRDefault="0044097C">
            <w:r>
              <w:t>544</w:t>
            </w:r>
          </w:p>
        </w:tc>
        <w:tc>
          <w:tcPr>
            <w:tcW w:w="866" w:type="dxa"/>
          </w:tcPr>
          <w:p w14:paraId="7F20D7D3" w14:textId="77777777" w:rsidR="00182709" w:rsidRDefault="0044097C">
            <w:r>
              <w:t>485</w:t>
            </w:r>
          </w:p>
        </w:tc>
      </w:tr>
      <w:tr w:rsidR="00182709" w14:paraId="54ACC171" w14:textId="77777777" w:rsidTr="00105FBB">
        <w:tc>
          <w:tcPr>
            <w:tcW w:w="1349" w:type="dxa"/>
          </w:tcPr>
          <w:p w14:paraId="12EA91D8" w14:textId="77777777" w:rsidR="00182709" w:rsidRDefault="00182709">
            <w:pPr>
              <w:jc w:val="left"/>
            </w:pPr>
          </w:p>
        </w:tc>
        <w:tc>
          <w:tcPr>
            <w:tcW w:w="6558" w:type="dxa"/>
          </w:tcPr>
          <w:p w14:paraId="4BE9B73A" w14:textId="77777777" w:rsidR="00182709" w:rsidRDefault="0044097C">
            <w:pPr>
              <w:jc w:val="left"/>
            </w:pPr>
            <w:r>
              <w:t>Accrued investment income</w:t>
            </w:r>
          </w:p>
        </w:tc>
        <w:tc>
          <w:tcPr>
            <w:tcW w:w="866" w:type="dxa"/>
          </w:tcPr>
          <w:p w14:paraId="602708E8" w14:textId="77777777" w:rsidR="00182709" w:rsidRDefault="0044097C">
            <w:r>
              <w:t>1 864</w:t>
            </w:r>
          </w:p>
        </w:tc>
        <w:tc>
          <w:tcPr>
            <w:tcW w:w="866" w:type="dxa"/>
          </w:tcPr>
          <w:p w14:paraId="548D8824" w14:textId="77777777" w:rsidR="00182709" w:rsidRDefault="0044097C">
            <w:r>
              <w:t>1 058</w:t>
            </w:r>
          </w:p>
        </w:tc>
      </w:tr>
      <w:tr w:rsidR="00182709" w14:paraId="4B5C0DBD" w14:textId="77777777" w:rsidTr="00105FBB">
        <w:tc>
          <w:tcPr>
            <w:tcW w:w="1349" w:type="dxa"/>
          </w:tcPr>
          <w:p w14:paraId="0285E944" w14:textId="77777777" w:rsidR="00182709" w:rsidRDefault="00182709">
            <w:pPr>
              <w:jc w:val="left"/>
            </w:pPr>
          </w:p>
        </w:tc>
        <w:tc>
          <w:tcPr>
            <w:tcW w:w="6558" w:type="dxa"/>
          </w:tcPr>
          <w:p w14:paraId="665287AE" w14:textId="77777777" w:rsidR="00182709" w:rsidRDefault="0044097C">
            <w:pPr>
              <w:jc w:val="left"/>
            </w:pPr>
            <w:r>
              <w:t>Other receivables</w:t>
            </w:r>
          </w:p>
        </w:tc>
        <w:tc>
          <w:tcPr>
            <w:tcW w:w="866" w:type="dxa"/>
          </w:tcPr>
          <w:p w14:paraId="072BFDFA" w14:textId="77777777" w:rsidR="00182709" w:rsidRDefault="0044097C">
            <w:r>
              <w:t>334</w:t>
            </w:r>
          </w:p>
        </w:tc>
        <w:tc>
          <w:tcPr>
            <w:tcW w:w="866" w:type="dxa"/>
          </w:tcPr>
          <w:p w14:paraId="3DBB092E" w14:textId="77777777" w:rsidR="00182709" w:rsidRDefault="0044097C">
            <w:r>
              <w:t>438</w:t>
            </w:r>
          </w:p>
        </w:tc>
      </w:tr>
      <w:tr w:rsidR="00182709" w14:paraId="615055E4" w14:textId="77777777" w:rsidTr="00105FBB">
        <w:tc>
          <w:tcPr>
            <w:tcW w:w="1349" w:type="dxa"/>
          </w:tcPr>
          <w:p w14:paraId="2587F84F" w14:textId="77777777" w:rsidR="00182709" w:rsidRDefault="0044097C">
            <w:pPr>
              <w:jc w:val="left"/>
            </w:pPr>
            <w:r>
              <w:rPr>
                <w:color w:val="4472C4"/>
                <w:sz w:val="13"/>
              </w:rPr>
              <w:t>AASB 7.35H</w:t>
            </w:r>
          </w:p>
        </w:tc>
        <w:tc>
          <w:tcPr>
            <w:tcW w:w="6558" w:type="dxa"/>
          </w:tcPr>
          <w:p w14:paraId="6C4DB0B5" w14:textId="77777777" w:rsidR="00182709" w:rsidRDefault="0044097C">
            <w:pPr>
              <w:jc w:val="left"/>
            </w:pPr>
            <w:r>
              <w:t>Allowance for impairment losses of contractual receivables</w:t>
            </w:r>
          </w:p>
        </w:tc>
        <w:tc>
          <w:tcPr>
            <w:tcW w:w="866" w:type="dxa"/>
          </w:tcPr>
          <w:p w14:paraId="7B8110ED" w14:textId="77777777" w:rsidR="00182709" w:rsidRDefault="0044097C">
            <w:r>
              <w:t>(603)</w:t>
            </w:r>
          </w:p>
        </w:tc>
        <w:tc>
          <w:tcPr>
            <w:tcW w:w="866" w:type="dxa"/>
          </w:tcPr>
          <w:p w14:paraId="217359FF" w14:textId="77777777" w:rsidR="00182709" w:rsidRDefault="0044097C">
            <w:r>
              <w:t>(327)</w:t>
            </w:r>
          </w:p>
        </w:tc>
      </w:tr>
      <w:tr w:rsidR="00182709" w14:paraId="1F25226A" w14:textId="77777777" w:rsidTr="00105FBB">
        <w:tc>
          <w:tcPr>
            <w:tcW w:w="1349" w:type="dxa"/>
          </w:tcPr>
          <w:p w14:paraId="61FBE5E4" w14:textId="77777777" w:rsidR="00182709" w:rsidRDefault="00182709">
            <w:pPr>
              <w:jc w:val="left"/>
            </w:pPr>
          </w:p>
        </w:tc>
        <w:tc>
          <w:tcPr>
            <w:tcW w:w="6558" w:type="dxa"/>
          </w:tcPr>
          <w:p w14:paraId="17AF4268" w14:textId="77777777" w:rsidR="00182709" w:rsidRDefault="0044097C">
            <w:pPr>
              <w:jc w:val="left"/>
            </w:pPr>
            <w:r>
              <w:rPr>
                <w:b/>
              </w:rPr>
              <w:t>Statutory</w:t>
            </w:r>
          </w:p>
        </w:tc>
        <w:tc>
          <w:tcPr>
            <w:tcW w:w="866" w:type="dxa"/>
          </w:tcPr>
          <w:p w14:paraId="39935CCF" w14:textId="77777777" w:rsidR="00182709" w:rsidRDefault="00182709"/>
        </w:tc>
        <w:tc>
          <w:tcPr>
            <w:tcW w:w="866" w:type="dxa"/>
          </w:tcPr>
          <w:p w14:paraId="655C408C" w14:textId="77777777" w:rsidR="00182709" w:rsidRDefault="00182709"/>
        </w:tc>
      </w:tr>
      <w:tr w:rsidR="00182709" w14:paraId="33AA4678" w14:textId="77777777" w:rsidTr="00105FBB">
        <w:tc>
          <w:tcPr>
            <w:tcW w:w="1349" w:type="dxa"/>
          </w:tcPr>
          <w:p w14:paraId="6EA5F108" w14:textId="77777777" w:rsidR="00182709" w:rsidRDefault="00182709">
            <w:pPr>
              <w:jc w:val="left"/>
            </w:pPr>
          </w:p>
        </w:tc>
        <w:tc>
          <w:tcPr>
            <w:tcW w:w="6558" w:type="dxa"/>
          </w:tcPr>
          <w:p w14:paraId="6F1CA668" w14:textId="77777777" w:rsidR="00182709" w:rsidRDefault="0044097C">
            <w:pPr>
              <w:jc w:val="left"/>
            </w:pPr>
            <w:r>
              <w:t>Amount owing from Victorian Government</w:t>
            </w:r>
          </w:p>
        </w:tc>
        <w:tc>
          <w:tcPr>
            <w:tcW w:w="866" w:type="dxa"/>
          </w:tcPr>
          <w:p w14:paraId="3928D034" w14:textId="77777777" w:rsidR="00182709" w:rsidRDefault="0044097C">
            <w:r>
              <w:t>31 500</w:t>
            </w:r>
          </w:p>
        </w:tc>
        <w:tc>
          <w:tcPr>
            <w:tcW w:w="866" w:type="dxa"/>
          </w:tcPr>
          <w:p w14:paraId="6DC82E6F" w14:textId="77777777" w:rsidR="00182709" w:rsidRDefault="0044097C">
            <w:r>
              <w:t>16 151</w:t>
            </w:r>
          </w:p>
        </w:tc>
      </w:tr>
      <w:tr w:rsidR="00182709" w14:paraId="22D1C046" w14:textId="77777777" w:rsidTr="00105FBB">
        <w:tc>
          <w:tcPr>
            <w:tcW w:w="1349" w:type="dxa"/>
          </w:tcPr>
          <w:p w14:paraId="265E4409" w14:textId="77777777" w:rsidR="00182709" w:rsidRDefault="00182709">
            <w:pPr>
              <w:jc w:val="left"/>
            </w:pPr>
          </w:p>
        </w:tc>
        <w:tc>
          <w:tcPr>
            <w:tcW w:w="6558" w:type="dxa"/>
          </w:tcPr>
          <w:p w14:paraId="0964C9F7" w14:textId="77777777" w:rsidR="00182709" w:rsidRDefault="0044097C">
            <w:pPr>
              <w:jc w:val="left"/>
            </w:pPr>
            <w:r>
              <w:t>GST input tax credit recoverable</w:t>
            </w:r>
          </w:p>
        </w:tc>
        <w:tc>
          <w:tcPr>
            <w:tcW w:w="866" w:type="dxa"/>
          </w:tcPr>
          <w:p w14:paraId="7AA4C126" w14:textId="77777777" w:rsidR="00182709" w:rsidRDefault="0044097C">
            <w:r>
              <w:t>34</w:t>
            </w:r>
          </w:p>
        </w:tc>
        <w:tc>
          <w:tcPr>
            <w:tcW w:w="866" w:type="dxa"/>
          </w:tcPr>
          <w:p w14:paraId="1D92C665" w14:textId="77777777" w:rsidR="00182709" w:rsidRDefault="0044097C">
            <w:r>
              <w:t>50</w:t>
            </w:r>
          </w:p>
        </w:tc>
      </w:tr>
      <w:tr w:rsidR="00182709" w14:paraId="31128DC1" w14:textId="77777777" w:rsidTr="00105FBB">
        <w:tc>
          <w:tcPr>
            <w:tcW w:w="1349" w:type="dxa"/>
          </w:tcPr>
          <w:p w14:paraId="63C9FE04" w14:textId="77777777" w:rsidR="00182709" w:rsidRDefault="00182709">
            <w:pPr>
              <w:jc w:val="left"/>
            </w:pPr>
          </w:p>
        </w:tc>
        <w:tc>
          <w:tcPr>
            <w:tcW w:w="6558" w:type="dxa"/>
          </w:tcPr>
          <w:p w14:paraId="5722CF52" w14:textId="77777777" w:rsidR="00182709" w:rsidRDefault="0044097C">
            <w:pPr>
              <w:jc w:val="left"/>
            </w:pPr>
            <w:r>
              <w:t>Fines and regulatory fees</w:t>
            </w:r>
          </w:p>
        </w:tc>
        <w:tc>
          <w:tcPr>
            <w:tcW w:w="866" w:type="dxa"/>
          </w:tcPr>
          <w:p w14:paraId="6D785DE5" w14:textId="77777777" w:rsidR="00182709" w:rsidRDefault="0044097C">
            <w:r>
              <w:t>383</w:t>
            </w:r>
          </w:p>
        </w:tc>
        <w:tc>
          <w:tcPr>
            <w:tcW w:w="866" w:type="dxa"/>
          </w:tcPr>
          <w:p w14:paraId="3DB7039E" w14:textId="77777777" w:rsidR="00182709" w:rsidRDefault="0044097C">
            <w:r>
              <w:t>415</w:t>
            </w:r>
          </w:p>
        </w:tc>
      </w:tr>
      <w:tr w:rsidR="00182709" w14:paraId="4A61C00F" w14:textId="77777777" w:rsidTr="00105FBB">
        <w:tc>
          <w:tcPr>
            <w:tcW w:w="1349" w:type="dxa"/>
          </w:tcPr>
          <w:p w14:paraId="2FD4F849" w14:textId="77777777" w:rsidR="00182709" w:rsidRDefault="00182709">
            <w:pPr>
              <w:jc w:val="left"/>
            </w:pPr>
          </w:p>
        </w:tc>
        <w:tc>
          <w:tcPr>
            <w:tcW w:w="6558" w:type="dxa"/>
          </w:tcPr>
          <w:p w14:paraId="1845D3D3" w14:textId="77777777" w:rsidR="00182709" w:rsidRDefault="0044097C">
            <w:pPr>
              <w:jc w:val="left"/>
            </w:pPr>
            <w:r>
              <w:t>Other receivables</w:t>
            </w:r>
          </w:p>
        </w:tc>
        <w:tc>
          <w:tcPr>
            <w:tcW w:w="866" w:type="dxa"/>
          </w:tcPr>
          <w:p w14:paraId="49DC0E2F" w14:textId="77777777" w:rsidR="00182709" w:rsidRDefault="0044097C">
            <w:r>
              <w:t>34</w:t>
            </w:r>
          </w:p>
        </w:tc>
        <w:tc>
          <w:tcPr>
            <w:tcW w:w="866" w:type="dxa"/>
          </w:tcPr>
          <w:p w14:paraId="1A18F452" w14:textId="77777777" w:rsidR="00182709" w:rsidRDefault="0044097C">
            <w:r>
              <w:t>59</w:t>
            </w:r>
          </w:p>
        </w:tc>
      </w:tr>
      <w:tr w:rsidR="00182709" w14:paraId="0891A70C" w14:textId="77777777" w:rsidTr="00105FBB">
        <w:tc>
          <w:tcPr>
            <w:tcW w:w="1349" w:type="dxa"/>
          </w:tcPr>
          <w:p w14:paraId="2311EA39" w14:textId="0D04B635" w:rsidR="00182709" w:rsidRDefault="00B03A5A">
            <w:pPr>
              <w:jc w:val="left"/>
            </w:pPr>
            <w:r w:rsidRPr="00B03A5A">
              <w:rPr>
                <w:color w:val="4472C4"/>
                <w:sz w:val="13"/>
              </w:rPr>
              <w:t>AASB 9 Aus2.1.1</w:t>
            </w:r>
          </w:p>
        </w:tc>
        <w:tc>
          <w:tcPr>
            <w:tcW w:w="6558" w:type="dxa"/>
            <w:tcBorders>
              <w:bottom w:val="nil"/>
            </w:tcBorders>
          </w:tcPr>
          <w:p w14:paraId="01536055" w14:textId="77777777" w:rsidR="00182709" w:rsidRDefault="0044097C">
            <w:pPr>
              <w:jc w:val="left"/>
            </w:pPr>
            <w:r>
              <w:t>Allowance for impairment losses of statutory receivables</w:t>
            </w:r>
          </w:p>
        </w:tc>
        <w:tc>
          <w:tcPr>
            <w:tcW w:w="866" w:type="dxa"/>
            <w:tcBorders>
              <w:bottom w:val="nil"/>
            </w:tcBorders>
          </w:tcPr>
          <w:p w14:paraId="76A34543" w14:textId="77777777" w:rsidR="00182709" w:rsidRDefault="0044097C">
            <w:r>
              <w:t>..</w:t>
            </w:r>
          </w:p>
        </w:tc>
        <w:tc>
          <w:tcPr>
            <w:tcW w:w="866" w:type="dxa"/>
            <w:tcBorders>
              <w:bottom w:val="nil"/>
            </w:tcBorders>
          </w:tcPr>
          <w:p w14:paraId="70A517DF" w14:textId="77777777" w:rsidR="00182709" w:rsidRDefault="0044097C">
            <w:r>
              <w:t>..</w:t>
            </w:r>
          </w:p>
        </w:tc>
      </w:tr>
      <w:tr w:rsidR="00671D55" w14:paraId="227820B6" w14:textId="77777777" w:rsidTr="00105FBB">
        <w:tc>
          <w:tcPr>
            <w:tcW w:w="1349" w:type="dxa"/>
          </w:tcPr>
          <w:p w14:paraId="56C23387" w14:textId="77777777" w:rsidR="00182709" w:rsidRDefault="00182709">
            <w:pPr>
              <w:jc w:val="left"/>
            </w:pPr>
          </w:p>
        </w:tc>
        <w:tc>
          <w:tcPr>
            <w:tcW w:w="6558" w:type="dxa"/>
          </w:tcPr>
          <w:p w14:paraId="733F9669" w14:textId="22E4321B" w:rsidR="00182709" w:rsidRDefault="0044097C">
            <w:pPr>
              <w:jc w:val="left"/>
            </w:pPr>
            <w:r>
              <w:rPr>
                <w:b/>
              </w:rPr>
              <w:t>Total receivables</w:t>
            </w:r>
          </w:p>
        </w:tc>
        <w:tc>
          <w:tcPr>
            <w:tcW w:w="866" w:type="dxa"/>
          </w:tcPr>
          <w:p w14:paraId="697A2836" w14:textId="2762FA72" w:rsidR="00182709" w:rsidRDefault="0044097C">
            <w:r>
              <w:rPr>
                <w:b/>
              </w:rPr>
              <w:t>36 045</w:t>
            </w:r>
          </w:p>
        </w:tc>
        <w:tc>
          <w:tcPr>
            <w:tcW w:w="866" w:type="dxa"/>
          </w:tcPr>
          <w:p w14:paraId="0E659961" w14:textId="1B2EA994" w:rsidR="00182709" w:rsidRDefault="0044097C">
            <w:r>
              <w:rPr>
                <w:b/>
              </w:rPr>
              <w:t>20 525</w:t>
            </w:r>
          </w:p>
        </w:tc>
      </w:tr>
      <w:tr w:rsidR="00671D55" w14:paraId="0A33AF81" w14:textId="77777777" w:rsidTr="00105FBB">
        <w:tc>
          <w:tcPr>
            <w:tcW w:w="1349" w:type="dxa"/>
          </w:tcPr>
          <w:p w14:paraId="76A38028" w14:textId="77777777" w:rsidR="00182709" w:rsidRDefault="00182709">
            <w:pPr>
              <w:jc w:val="left"/>
            </w:pPr>
          </w:p>
        </w:tc>
        <w:tc>
          <w:tcPr>
            <w:tcW w:w="6558" w:type="dxa"/>
          </w:tcPr>
          <w:p w14:paraId="79787943" w14:textId="77777777" w:rsidR="00182709" w:rsidRDefault="0044097C">
            <w:pPr>
              <w:jc w:val="left"/>
            </w:pPr>
            <w:r>
              <w:rPr>
                <w:i/>
              </w:rPr>
              <w:t>Represented by</w:t>
            </w:r>
          </w:p>
        </w:tc>
        <w:tc>
          <w:tcPr>
            <w:tcW w:w="866" w:type="dxa"/>
          </w:tcPr>
          <w:p w14:paraId="1DD0ED90" w14:textId="77777777" w:rsidR="00182709" w:rsidRDefault="00182709"/>
        </w:tc>
        <w:tc>
          <w:tcPr>
            <w:tcW w:w="866" w:type="dxa"/>
          </w:tcPr>
          <w:p w14:paraId="73366847" w14:textId="77777777" w:rsidR="00182709" w:rsidRDefault="00182709"/>
        </w:tc>
      </w:tr>
      <w:tr w:rsidR="00182709" w14:paraId="7D155A27" w14:textId="77777777" w:rsidTr="00105FBB">
        <w:tc>
          <w:tcPr>
            <w:tcW w:w="1349" w:type="dxa"/>
          </w:tcPr>
          <w:p w14:paraId="2D330AB1" w14:textId="6D915B8A" w:rsidR="00182709" w:rsidRPr="00E820A7" w:rsidRDefault="0044097C" w:rsidP="003F0F23">
            <w:pPr>
              <w:pStyle w:val="Default"/>
              <w:jc w:val="left"/>
              <w:rPr>
                <w:color w:val="4471C4"/>
                <w:sz w:val="13"/>
                <w:szCs w:val="13"/>
              </w:rPr>
            </w:pPr>
            <w:r>
              <w:rPr>
                <w:color w:val="4472C4"/>
                <w:sz w:val="13"/>
              </w:rPr>
              <w:t>AASB 101.61</w:t>
            </w:r>
          </w:p>
        </w:tc>
        <w:tc>
          <w:tcPr>
            <w:tcW w:w="6558" w:type="dxa"/>
          </w:tcPr>
          <w:p w14:paraId="1A2E0391" w14:textId="7C71C067" w:rsidR="00182709" w:rsidRDefault="0044097C">
            <w:pPr>
              <w:jc w:val="left"/>
            </w:pPr>
            <w:r>
              <w:t>Current receivables</w:t>
            </w:r>
          </w:p>
        </w:tc>
        <w:tc>
          <w:tcPr>
            <w:tcW w:w="866" w:type="dxa"/>
          </w:tcPr>
          <w:p w14:paraId="724B8E4A" w14:textId="32EF389D" w:rsidR="00182709" w:rsidRDefault="0044097C">
            <w:r>
              <w:t>28 590</w:t>
            </w:r>
          </w:p>
        </w:tc>
        <w:tc>
          <w:tcPr>
            <w:tcW w:w="866" w:type="dxa"/>
          </w:tcPr>
          <w:p w14:paraId="579EAB10" w14:textId="1E5BA8FE" w:rsidR="00182709" w:rsidRDefault="0044097C">
            <w:r>
              <w:t>18 076</w:t>
            </w:r>
          </w:p>
        </w:tc>
      </w:tr>
      <w:tr w:rsidR="00182709" w14:paraId="26CA2BA2" w14:textId="77777777" w:rsidTr="00105FBB">
        <w:tc>
          <w:tcPr>
            <w:tcW w:w="1349" w:type="dxa"/>
          </w:tcPr>
          <w:p w14:paraId="3730861A" w14:textId="679B3436" w:rsidR="00182709" w:rsidRPr="00E820A7" w:rsidRDefault="0044097C" w:rsidP="003F0F23">
            <w:pPr>
              <w:pStyle w:val="Default"/>
              <w:jc w:val="left"/>
              <w:rPr>
                <w:color w:val="4471C4"/>
                <w:sz w:val="13"/>
                <w:szCs w:val="13"/>
              </w:rPr>
            </w:pPr>
            <w:r>
              <w:rPr>
                <w:color w:val="4472C4"/>
                <w:sz w:val="13"/>
              </w:rPr>
              <w:t>AASB 101.61</w:t>
            </w:r>
          </w:p>
        </w:tc>
        <w:tc>
          <w:tcPr>
            <w:tcW w:w="6558" w:type="dxa"/>
          </w:tcPr>
          <w:p w14:paraId="5B9557B4" w14:textId="482EF560" w:rsidR="00182709" w:rsidRDefault="0044097C">
            <w:pPr>
              <w:jc w:val="left"/>
            </w:pPr>
            <w:r>
              <w:t>Non</w:t>
            </w:r>
            <w:r>
              <w:noBreakHyphen/>
              <w:t>current receivables</w:t>
            </w:r>
          </w:p>
        </w:tc>
        <w:tc>
          <w:tcPr>
            <w:tcW w:w="866" w:type="dxa"/>
          </w:tcPr>
          <w:p w14:paraId="0B528071" w14:textId="77777777" w:rsidR="00182709" w:rsidRDefault="0044097C">
            <w:r>
              <w:t>7 380</w:t>
            </w:r>
          </w:p>
        </w:tc>
        <w:tc>
          <w:tcPr>
            <w:tcW w:w="866" w:type="dxa"/>
          </w:tcPr>
          <w:p w14:paraId="77161FAD" w14:textId="77777777" w:rsidR="00182709" w:rsidRDefault="0044097C">
            <w:r>
              <w:t>2 399</w:t>
            </w:r>
          </w:p>
        </w:tc>
      </w:tr>
      <w:tr w:rsidR="00182709" w14:paraId="08189191" w14:textId="77777777" w:rsidTr="00105FBB">
        <w:tc>
          <w:tcPr>
            <w:tcW w:w="1349" w:type="dxa"/>
            <w:tcBorders>
              <w:bottom w:val="nil"/>
            </w:tcBorders>
          </w:tcPr>
          <w:p w14:paraId="34F89C07" w14:textId="16ABCC68" w:rsidR="00182709" w:rsidRDefault="0044097C">
            <w:pPr>
              <w:jc w:val="left"/>
            </w:pPr>
            <w:r>
              <w:rPr>
                <w:color w:val="4472C4"/>
                <w:sz w:val="13"/>
              </w:rPr>
              <w:t>AASB 7.35L</w:t>
            </w:r>
          </w:p>
        </w:tc>
        <w:tc>
          <w:tcPr>
            <w:tcW w:w="6558" w:type="dxa"/>
            <w:tcBorders>
              <w:bottom w:val="single" w:sz="12" w:space="0" w:color="auto"/>
            </w:tcBorders>
          </w:tcPr>
          <w:p w14:paraId="40867888" w14:textId="77777777" w:rsidR="00182709" w:rsidRDefault="0044097C">
            <w:pPr>
              <w:jc w:val="left"/>
            </w:pPr>
            <w:r>
              <w:t>Contractual receivables outstanding written off during the reporting period and still subject to enforceable activity</w:t>
            </w:r>
          </w:p>
        </w:tc>
        <w:tc>
          <w:tcPr>
            <w:tcW w:w="866" w:type="dxa"/>
            <w:tcBorders>
              <w:bottom w:val="single" w:sz="12" w:space="0" w:color="auto"/>
            </w:tcBorders>
          </w:tcPr>
          <w:p w14:paraId="01CAD7E5" w14:textId="7DFD5E04" w:rsidR="00182709" w:rsidRDefault="0044097C">
            <w:r>
              <w:t>75</w:t>
            </w:r>
          </w:p>
        </w:tc>
        <w:tc>
          <w:tcPr>
            <w:tcW w:w="866" w:type="dxa"/>
            <w:tcBorders>
              <w:bottom w:val="single" w:sz="12" w:space="0" w:color="auto"/>
            </w:tcBorders>
          </w:tcPr>
          <w:p w14:paraId="5DC9218A" w14:textId="77777777" w:rsidR="00182709" w:rsidRDefault="0044097C">
            <w:r>
              <w:t>50</w:t>
            </w:r>
          </w:p>
        </w:tc>
      </w:tr>
    </w:tbl>
    <w:p w14:paraId="6ECB1E1E" w14:textId="77777777" w:rsidR="003719CD" w:rsidRDefault="003719CD" w:rsidP="00DC39DE"/>
    <w:p w14:paraId="362D1A81" w14:textId="77777777" w:rsidR="003B7EFD" w:rsidRDefault="003B7EFD">
      <w:pPr>
        <w:keepLines w:val="0"/>
        <w:rPr>
          <w:b/>
          <w:bCs/>
        </w:rPr>
      </w:pPr>
      <w:r>
        <w:rPr>
          <w:b/>
          <w:bCs/>
        </w:rPr>
        <w:br w:type="page"/>
      </w:r>
    </w:p>
    <w:p w14:paraId="014F62DB" w14:textId="3E64A57A" w:rsidR="003719CD" w:rsidRDefault="003719CD" w:rsidP="00DC39DE">
      <w:r w:rsidRPr="005A611E">
        <w:rPr>
          <w:b/>
          <w:bCs/>
        </w:rPr>
        <w:lastRenderedPageBreak/>
        <w:t>Contractual receivables</w:t>
      </w:r>
      <w:r>
        <w:t xml:space="preserve"> are classified as financial instruments and categorised as ‘financial assets at amortised costs’. They are initially recognised at fair value plus any directly attributable transaction costs. The Department holds the contractual receivables with the objective to collect the contractual cash flows and therefore subsequently measured at amortised cost using the effective interest method, less any impairment. </w:t>
      </w:r>
    </w:p>
    <w:p w14:paraId="5D902C12" w14:textId="420CA2E3" w:rsidR="003719CD" w:rsidRDefault="003719CD" w:rsidP="00FA642E">
      <w:r w:rsidRPr="005A611E">
        <w:rPr>
          <w:b/>
          <w:bCs/>
        </w:rPr>
        <w:t>Statutory receivables</w:t>
      </w:r>
      <w:r>
        <w:t xml:space="preserve"> do not arise from contracts and are recognised and measured similarly to contractual receivables </w:t>
      </w:r>
      <w:r w:rsidR="009C7C72">
        <w:t>but</w:t>
      </w:r>
      <w:r>
        <w:t xml:space="preserve"> are not classified as financial instruments for disclosure purposes. The Department applies AASB 9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r w:rsidR="005452C5">
        <w:t xml:space="preserve"> </w:t>
      </w:r>
    </w:p>
    <w:p w14:paraId="7EF79770" w14:textId="77777777" w:rsidR="003719CD" w:rsidRDefault="003719CD" w:rsidP="00DC39DE">
      <w:r>
        <w:t xml:space="preserve">Details about the Department’s impairment policies, the Department’s exposure to credit risk and the calculation of the loss allowance are set out in Note 8.1.3. </w:t>
      </w:r>
    </w:p>
    <w:p w14:paraId="023E2E46" w14:textId="0791CEE7" w:rsidR="003719CD" w:rsidRDefault="003719CD" w:rsidP="007D536F">
      <w:pPr>
        <w:pStyle w:val="Heading3"/>
      </w:pPr>
      <w:r>
        <w:t xml:space="preserve">Finance lease receivables (Department as lessor) </w:t>
      </w:r>
      <w:r w:rsidRPr="005A611E">
        <w:rPr>
          <w:rStyle w:val="Reference"/>
        </w:rPr>
        <w:t>[AASB</w:t>
      </w:r>
      <w:r w:rsidR="00C96D81">
        <w:rPr>
          <w:rStyle w:val="Reference"/>
        </w:rPr>
        <w:t xml:space="preserve"> </w:t>
      </w:r>
      <w:r w:rsidRPr="005A611E">
        <w:rPr>
          <w:rStyle w:val="Reference"/>
        </w:rPr>
        <w:t>16.67, 16.75]</w:t>
      </w:r>
    </w:p>
    <w:p w14:paraId="2681EF99" w14:textId="77777777" w:rsidR="003719CD" w:rsidRDefault="003719CD" w:rsidP="00DC39DE">
      <w:r>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14:paraId="61D194F4" w14:textId="58223443" w:rsidR="003719CD" w:rsidRDefault="003719CD" w:rsidP="00DC39DE">
      <w:r>
        <w:t xml:space="preserve">Finance lease receivables relate to equipment with lease terms of five years. The lessees have options to purchase the equipment for a nominal amount at the conclusion of the lease agreements. </w:t>
      </w:r>
      <w:r w:rsidRPr="00A144B6">
        <w:rPr>
          <w:rStyle w:val="Reference"/>
        </w:rPr>
        <w:t>[AASB 1</w:t>
      </w:r>
      <w:r w:rsidR="002A2C79">
        <w:rPr>
          <w:rStyle w:val="Reference"/>
        </w:rPr>
        <w:t>6.92</w:t>
      </w:r>
      <w:r w:rsidRPr="00A144B6">
        <w:rPr>
          <w:rStyle w:val="Reference"/>
        </w:rPr>
        <w:t>]</w:t>
      </w:r>
      <w:r>
        <w:t xml:space="preserve">. In relation to the leasing arrangements below, there are unguaranteed residual values of $9 000 in </w:t>
      </w:r>
      <w:fldSimple w:instr="DOCPROPERTY  FinYearCurrent  \* MERGEFORMAT">
        <w:r w:rsidR="00A545BA">
          <w:t>20X1</w:t>
        </w:r>
        <w:r w:rsidR="00A545BA">
          <w:rPr>
            <w:rFonts w:ascii="Cambria Math" w:hAnsi="Cambria Math" w:cs="Cambria Math"/>
          </w:rPr>
          <w:t>‑</w:t>
        </w:r>
        <w:r w:rsidR="00A545BA">
          <w:t>22</w:t>
        </w:r>
      </w:fldSimple>
      <w:r>
        <w:t xml:space="preserve"> ($24 000 in </w:t>
      </w:r>
      <w:fldSimple w:instr="DOCPROPERTY  FinYearPrevious  \* MERGEFORMAT">
        <w:r w:rsidR="00A545BA">
          <w:t>20X0</w:t>
        </w:r>
        <w:r w:rsidR="00A545BA" w:rsidRPr="00A545BA">
          <w:rPr>
            <w:rFonts w:ascii="Cambria Math" w:hAnsi="Cambria Math" w:cs="Cambria Math"/>
          </w:rPr>
          <w:t>‑</w:t>
        </w:r>
        <w:r w:rsidR="00A545BA">
          <w:t>X1</w:t>
        </w:r>
      </w:fldSimple>
      <w:r>
        <w:t xml:space="preserve">) that were accrued for the benefit of the Department. </w:t>
      </w:r>
      <w:r w:rsidRPr="00A144B6">
        <w:rPr>
          <w:rStyle w:val="Reference"/>
        </w:rPr>
        <w:t>[AASB 1</w:t>
      </w:r>
      <w:r w:rsidR="00B94D0A">
        <w:rPr>
          <w:rStyle w:val="Reference"/>
        </w:rPr>
        <w:t>6.94</w:t>
      </w:r>
      <w:r w:rsidRPr="00A144B6">
        <w:rPr>
          <w:rStyle w:val="Reference"/>
        </w:rPr>
        <w:t>]</w:t>
      </w:r>
    </w:p>
    <w:p w14:paraId="404C335A" w14:textId="77777777" w:rsidR="003719CD" w:rsidRDefault="003719CD" w:rsidP="00DC39DE">
      <w:r>
        <w:t>The following table sets out the maturity analysis of lease receivables, showing the undiscounted lease payments to be received after the reporting date.</w:t>
      </w:r>
    </w:p>
    <w:p w14:paraId="465ACDF3"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05FBB" w14:paraId="6DF21A16" w14:textId="77777777" w:rsidTr="00105FB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31951768" w14:textId="77777777" w:rsidR="00105FBB" w:rsidRDefault="00105FBB" w:rsidP="00105FBB">
            <w:pPr>
              <w:keepNext/>
              <w:jc w:val="left"/>
            </w:pPr>
            <w:r>
              <w:rPr>
                <w:color w:val="4472C4"/>
                <w:sz w:val="13"/>
              </w:rPr>
              <w:t>Source reference</w:t>
            </w:r>
          </w:p>
        </w:tc>
        <w:tc>
          <w:tcPr>
            <w:tcW w:w="6558" w:type="dxa"/>
          </w:tcPr>
          <w:p w14:paraId="3FAFBF4E" w14:textId="77777777" w:rsidR="00105FBB" w:rsidRDefault="00105FBB" w:rsidP="00105FBB">
            <w:pPr>
              <w:keepNext/>
              <w:jc w:val="left"/>
            </w:pPr>
          </w:p>
        </w:tc>
        <w:tc>
          <w:tcPr>
            <w:tcW w:w="866" w:type="dxa"/>
          </w:tcPr>
          <w:p w14:paraId="544AFAF6" w14:textId="572E6BF1" w:rsidR="00105FBB" w:rsidRPr="00105FBB" w:rsidRDefault="00105FBB" w:rsidP="00105FBB">
            <w:pPr>
              <w:keepNext/>
            </w:pPr>
            <w:fldSimple w:instr="DOCPROPERTY  YearCurrent \* MERGEFORMAT">
              <w:r w:rsidRPr="00105FBB">
                <w:t>20X2</w:t>
              </w:r>
            </w:fldSimple>
          </w:p>
        </w:tc>
        <w:tc>
          <w:tcPr>
            <w:tcW w:w="866" w:type="dxa"/>
          </w:tcPr>
          <w:p w14:paraId="5B8A9139" w14:textId="50A40D9C" w:rsidR="00105FBB" w:rsidRPr="00105FBB" w:rsidRDefault="00105FBB" w:rsidP="00105FBB">
            <w:pPr>
              <w:keepNext/>
            </w:pPr>
            <w:fldSimple w:instr="DOCPROPERTY  YearPrevious  \* MERGEFORMAT">
              <w:r w:rsidRPr="00105FBB">
                <w:t>20X1</w:t>
              </w:r>
            </w:fldSimple>
          </w:p>
        </w:tc>
      </w:tr>
      <w:tr w:rsidR="00182709" w14:paraId="105138D8" w14:textId="77777777" w:rsidTr="00105FBB">
        <w:tc>
          <w:tcPr>
            <w:tcW w:w="1349" w:type="dxa"/>
          </w:tcPr>
          <w:p w14:paraId="7BDFAAC9" w14:textId="77777777" w:rsidR="00182709" w:rsidRDefault="0044097C">
            <w:pPr>
              <w:jc w:val="left"/>
            </w:pPr>
            <w:r>
              <w:rPr>
                <w:color w:val="4472C4"/>
                <w:sz w:val="13"/>
              </w:rPr>
              <w:t>AASB 16.94</w:t>
            </w:r>
          </w:p>
        </w:tc>
        <w:tc>
          <w:tcPr>
            <w:tcW w:w="6558" w:type="dxa"/>
          </w:tcPr>
          <w:p w14:paraId="4EA7D755" w14:textId="77777777" w:rsidR="00182709" w:rsidRDefault="0044097C">
            <w:pPr>
              <w:jc w:val="left"/>
            </w:pPr>
            <w:r>
              <w:t>Less than one year</w:t>
            </w:r>
          </w:p>
        </w:tc>
        <w:tc>
          <w:tcPr>
            <w:tcW w:w="866" w:type="dxa"/>
          </w:tcPr>
          <w:p w14:paraId="17FCAA87" w14:textId="77777777" w:rsidR="00182709" w:rsidRDefault="0044097C">
            <w:r>
              <w:t>270</w:t>
            </w:r>
          </w:p>
        </w:tc>
        <w:tc>
          <w:tcPr>
            <w:tcW w:w="866" w:type="dxa"/>
          </w:tcPr>
          <w:p w14:paraId="5326BDEE" w14:textId="77777777" w:rsidR="00182709" w:rsidRDefault="0044097C">
            <w:r>
              <w:t>300</w:t>
            </w:r>
          </w:p>
        </w:tc>
      </w:tr>
      <w:tr w:rsidR="00182709" w14:paraId="7AA1B0E1" w14:textId="77777777" w:rsidTr="00105FBB">
        <w:tc>
          <w:tcPr>
            <w:tcW w:w="1349" w:type="dxa"/>
          </w:tcPr>
          <w:p w14:paraId="16FE60BB" w14:textId="77777777" w:rsidR="00182709" w:rsidRDefault="00182709">
            <w:pPr>
              <w:jc w:val="left"/>
            </w:pPr>
          </w:p>
        </w:tc>
        <w:tc>
          <w:tcPr>
            <w:tcW w:w="6558" w:type="dxa"/>
          </w:tcPr>
          <w:p w14:paraId="37D1AA7E" w14:textId="77777777" w:rsidR="00182709" w:rsidRDefault="0044097C">
            <w:pPr>
              <w:jc w:val="left"/>
            </w:pPr>
            <w:r>
              <w:t>One to two years</w:t>
            </w:r>
          </w:p>
        </w:tc>
        <w:tc>
          <w:tcPr>
            <w:tcW w:w="866" w:type="dxa"/>
          </w:tcPr>
          <w:p w14:paraId="01868556" w14:textId="77777777" w:rsidR="00182709" w:rsidRDefault="0044097C">
            <w:r>
              <w:t>76</w:t>
            </w:r>
          </w:p>
        </w:tc>
        <w:tc>
          <w:tcPr>
            <w:tcW w:w="866" w:type="dxa"/>
          </w:tcPr>
          <w:p w14:paraId="20B5D463" w14:textId="77777777" w:rsidR="00182709" w:rsidRDefault="0044097C">
            <w:r>
              <w:t>195</w:t>
            </w:r>
          </w:p>
        </w:tc>
      </w:tr>
      <w:tr w:rsidR="00182709" w14:paraId="5FEE1CCF" w14:textId="77777777" w:rsidTr="00105FBB">
        <w:tc>
          <w:tcPr>
            <w:tcW w:w="1349" w:type="dxa"/>
          </w:tcPr>
          <w:p w14:paraId="280BA80E" w14:textId="77777777" w:rsidR="00182709" w:rsidRDefault="00182709">
            <w:pPr>
              <w:jc w:val="left"/>
            </w:pPr>
          </w:p>
        </w:tc>
        <w:tc>
          <w:tcPr>
            <w:tcW w:w="6558" w:type="dxa"/>
          </w:tcPr>
          <w:p w14:paraId="623AEA24" w14:textId="77777777" w:rsidR="00182709" w:rsidRDefault="0044097C">
            <w:pPr>
              <w:jc w:val="left"/>
            </w:pPr>
            <w:r>
              <w:t>Two to three years</w:t>
            </w:r>
          </w:p>
        </w:tc>
        <w:tc>
          <w:tcPr>
            <w:tcW w:w="866" w:type="dxa"/>
          </w:tcPr>
          <w:p w14:paraId="093544BE" w14:textId="77777777" w:rsidR="00182709" w:rsidRDefault="0044097C">
            <w:r>
              <w:t>76</w:t>
            </w:r>
          </w:p>
        </w:tc>
        <w:tc>
          <w:tcPr>
            <w:tcW w:w="866" w:type="dxa"/>
          </w:tcPr>
          <w:p w14:paraId="5B9AE272" w14:textId="77777777" w:rsidR="00182709" w:rsidRDefault="0044097C">
            <w:r>
              <w:t>195</w:t>
            </w:r>
          </w:p>
        </w:tc>
      </w:tr>
      <w:tr w:rsidR="00182709" w14:paraId="16F958A3" w14:textId="77777777" w:rsidTr="00105FBB">
        <w:tc>
          <w:tcPr>
            <w:tcW w:w="1349" w:type="dxa"/>
          </w:tcPr>
          <w:p w14:paraId="4CD41288" w14:textId="77777777" w:rsidR="00182709" w:rsidRDefault="00182709">
            <w:pPr>
              <w:jc w:val="left"/>
            </w:pPr>
          </w:p>
        </w:tc>
        <w:tc>
          <w:tcPr>
            <w:tcW w:w="6558" w:type="dxa"/>
          </w:tcPr>
          <w:p w14:paraId="7ED7C35E" w14:textId="77777777" w:rsidR="00182709" w:rsidRDefault="0044097C">
            <w:pPr>
              <w:jc w:val="left"/>
            </w:pPr>
            <w:r>
              <w:t>Three to four years</w:t>
            </w:r>
          </w:p>
        </w:tc>
        <w:tc>
          <w:tcPr>
            <w:tcW w:w="866" w:type="dxa"/>
          </w:tcPr>
          <w:p w14:paraId="366EF6CB" w14:textId="77777777" w:rsidR="00182709" w:rsidRDefault="0044097C">
            <w:r>
              <w:t>76</w:t>
            </w:r>
          </w:p>
        </w:tc>
        <w:tc>
          <w:tcPr>
            <w:tcW w:w="866" w:type="dxa"/>
          </w:tcPr>
          <w:p w14:paraId="59FE9725" w14:textId="77777777" w:rsidR="00182709" w:rsidRDefault="0044097C">
            <w:r>
              <w:t>195</w:t>
            </w:r>
          </w:p>
        </w:tc>
      </w:tr>
      <w:tr w:rsidR="00182709" w14:paraId="6CA11C08" w14:textId="77777777" w:rsidTr="00105FBB">
        <w:tc>
          <w:tcPr>
            <w:tcW w:w="1349" w:type="dxa"/>
          </w:tcPr>
          <w:p w14:paraId="76CA11CB" w14:textId="77777777" w:rsidR="00182709" w:rsidRDefault="00182709">
            <w:pPr>
              <w:jc w:val="left"/>
            </w:pPr>
          </w:p>
        </w:tc>
        <w:tc>
          <w:tcPr>
            <w:tcW w:w="6558" w:type="dxa"/>
          </w:tcPr>
          <w:p w14:paraId="41199BDF" w14:textId="77777777" w:rsidR="00182709" w:rsidRDefault="0044097C">
            <w:pPr>
              <w:jc w:val="left"/>
            </w:pPr>
            <w:r>
              <w:t>Four to five years</w:t>
            </w:r>
          </w:p>
        </w:tc>
        <w:tc>
          <w:tcPr>
            <w:tcW w:w="866" w:type="dxa"/>
          </w:tcPr>
          <w:p w14:paraId="0E7D8F0F" w14:textId="77777777" w:rsidR="00182709" w:rsidRDefault="0044097C">
            <w:r>
              <w:t>76</w:t>
            </w:r>
          </w:p>
        </w:tc>
        <w:tc>
          <w:tcPr>
            <w:tcW w:w="866" w:type="dxa"/>
          </w:tcPr>
          <w:p w14:paraId="01E5EC26" w14:textId="77777777" w:rsidR="00182709" w:rsidRDefault="0044097C">
            <w:r>
              <w:t>195</w:t>
            </w:r>
          </w:p>
        </w:tc>
      </w:tr>
      <w:tr w:rsidR="00182709" w14:paraId="4409418E" w14:textId="77777777" w:rsidTr="00105FBB">
        <w:tc>
          <w:tcPr>
            <w:tcW w:w="1349" w:type="dxa"/>
          </w:tcPr>
          <w:p w14:paraId="7BBD61E1" w14:textId="77777777" w:rsidR="00182709" w:rsidRDefault="00182709">
            <w:pPr>
              <w:jc w:val="left"/>
            </w:pPr>
          </w:p>
        </w:tc>
        <w:tc>
          <w:tcPr>
            <w:tcW w:w="6558" w:type="dxa"/>
            <w:tcBorders>
              <w:bottom w:val="single" w:sz="12" w:space="0" w:color="auto"/>
            </w:tcBorders>
          </w:tcPr>
          <w:p w14:paraId="2B60F923" w14:textId="77777777" w:rsidR="00182709" w:rsidRDefault="0044097C">
            <w:pPr>
              <w:jc w:val="left"/>
            </w:pPr>
            <w:r>
              <w:t>Longer than five years</w:t>
            </w:r>
          </w:p>
        </w:tc>
        <w:tc>
          <w:tcPr>
            <w:tcW w:w="866" w:type="dxa"/>
            <w:tcBorders>
              <w:bottom w:val="single" w:sz="12" w:space="0" w:color="auto"/>
            </w:tcBorders>
          </w:tcPr>
          <w:p w14:paraId="42428C0E" w14:textId="77777777" w:rsidR="00182709" w:rsidRDefault="0044097C">
            <w:r>
              <w:t>116</w:t>
            </w:r>
          </w:p>
        </w:tc>
        <w:tc>
          <w:tcPr>
            <w:tcW w:w="866" w:type="dxa"/>
            <w:tcBorders>
              <w:bottom w:val="single" w:sz="12" w:space="0" w:color="auto"/>
            </w:tcBorders>
          </w:tcPr>
          <w:p w14:paraId="0E03D4D9" w14:textId="77777777" w:rsidR="00182709" w:rsidRDefault="0044097C">
            <w:r>
              <w:t>345</w:t>
            </w:r>
          </w:p>
        </w:tc>
      </w:tr>
      <w:tr w:rsidR="00671D55" w14:paraId="713E7B16" w14:textId="77777777" w:rsidTr="00105FBB">
        <w:tc>
          <w:tcPr>
            <w:tcW w:w="1349" w:type="dxa"/>
          </w:tcPr>
          <w:p w14:paraId="3224AB52" w14:textId="77777777" w:rsidR="00182709" w:rsidRDefault="00182709">
            <w:pPr>
              <w:jc w:val="left"/>
            </w:pPr>
          </w:p>
        </w:tc>
        <w:tc>
          <w:tcPr>
            <w:tcW w:w="6558" w:type="dxa"/>
          </w:tcPr>
          <w:p w14:paraId="43CD2E3F" w14:textId="77777777" w:rsidR="00182709" w:rsidRDefault="0044097C">
            <w:pPr>
              <w:jc w:val="left"/>
            </w:pPr>
            <w:r>
              <w:rPr>
                <w:b/>
              </w:rPr>
              <w:t>Total undiscounted lease payments receivable</w:t>
            </w:r>
          </w:p>
        </w:tc>
        <w:tc>
          <w:tcPr>
            <w:tcW w:w="866" w:type="dxa"/>
          </w:tcPr>
          <w:p w14:paraId="31740F57" w14:textId="77777777" w:rsidR="00182709" w:rsidRDefault="0044097C">
            <w:r>
              <w:rPr>
                <w:b/>
              </w:rPr>
              <w:t>690</w:t>
            </w:r>
          </w:p>
        </w:tc>
        <w:tc>
          <w:tcPr>
            <w:tcW w:w="866" w:type="dxa"/>
          </w:tcPr>
          <w:p w14:paraId="4C7D3806" w14:textId="77777777" w:rsidR="00182709" w:rsidRDefault="0044097C">
            <w:r>
              <w:rPr>
                <w:b/>
              </w:rPr>
              <w:t>1 425</w:t>
            </w:r>
          </w:p>
        </w:tc>
      </w:tr>
      <w:tr w:rsidR="00182709" w14:paraId="0BEAAAE0" w14:textId="77777777" w:rsidTr="00105FBB">
        <w:tc>
          <w:tcPr>
            <w:tcW w:w="1349" w:type="dxa"/>
          </w:tcPr>
          <w:p w14:paraId="4271A6C6" w14:textId="77777777" w:rsidR="00182709" w:rsidRDefault="00182709">
            <w:pPr>
              <w:jc w:val="left"/>
            </w:pPr>
          </w:p>
        </w:tc>
        <w:tc>
          <w:tcPr>
            <w:tcW w:w="6558" w:type="dxa"/>
            <w:tcBorders>
              <w:bottom w:val="single" w:sz="12" w:space="0" w:color="auto"/>
            </w:tcBorders>
          </w:tcPr>
          <w:p w14:paraId="1D17C995" w14:textId="77777777" w:rsidR="00182709" w:rsidRDefault="0044097C">
            <w:pPr>
              <w:jc w:val="left"/>
            </w:pPr>
            <w:r>
              <w:t>Unguaranteed residual amounts – undiscounted</w:t>
            </w:r>
          </w:p>
        </w:tc>
        <w:tc>
          <w:tcPr>
            <w:tcW w:w="866" w:type="dxa"/>
            <w:tcBorders>
              <w:bottom w:val="single" w:sz="12" w:space="0" w:color="auto"/>
            </w:tcBorders>
          </w:tcPr>
          <w:p w14:paraId="349D0FD4" w14:textId="77777777" w:rsidR="00182709" w:rsidRDefault="0044097C">
            <w:r>
              <w:t>9</w:t>
            </w:r>
          </w:p>
        </w:tc>
        <w:tc>
          <w:tcPr>
            <w:tcW w:w="866" w:type="dxa"/>
            <w:tcBorders>
              <w:bottom w:val="single" w:sz="12" w:space="0" w:color="auto"/>
            </w:tcBorders>
          </w:tcPr>
          <w:p w14:paraId="0875026C" w14:textId="77777777" w:rsidR="00182709" w:rsidRDefault="0044097C">
            <w:r>
              <w:t>24</w:t>
            </w:r>
          </w:p>
        </w:tc>
      </w:tr>
      <w:tr w:rsidR="00671D55" w14:paraId="2AE08204" w14:textId="77777777" w:rsidTr="00105FBB">
        <w:tc>
          <w:tcPr>
            <w:tcW w:w="1349" w:type="dxa"/>
          </w:tcPr>
          <w:p w14:paraId="44AA0B59" w14:textId="77777777" w:rsidR="00182709" w:rsidRDefault="00182709">
            <w:pPr>
              <w:jc w:val="left"/>
            </w:pPr>
          </w:p>
        </w:tc>
        <w:tc>
          <w:tcPr>
            <w:tcW w:w="6558" w:type="dxa"/>
          </w:tcPr>
          <w:p w14:paraId="4A82231B" w14:textId="77777777" w:rsidR="00182709" w:rsidRDefault="0044097C">
            <w:pPr>
              <w:jc w:val="left"/>
            </w:pPr>
            <w:r>
              <w:t>Less unearned finance income</w:t>
            </w:r>
          </w:p>
        </w:tc>
        <w:tc>
          <w:tcPr>
            <w:tcW w:w="866" w:type="dxa"/>
          </w:tcPr>
          <w:p w14:paraId="7D89B179" w14:textId="77777777" w:rsidR="00182709" w:rsidRDefault="0044097C">
            <w:r>
              <w:t>(118)</w:t>
            </w:r>
          </w:p>
        </w:tc>
        <w:tc>
          <w:tcPr>
            <w:tcW w:w="866" w:type="dxa"/>
          </w:tcPr>
          <w:p w14:paraId="266A7A07" w14:textId="77777777" w:rsidR="00182709" w:rsidRDefault="0044097C">
            <w:r>
              <w:t>(218)</w:t>
            </w:r>
          </w:p>
        </w:tc>
      </w:tr>
      <w:tr w:rsidR="00671D55" w14:paraId="54DA189A" w14:textId="77777777" w:rsidTr="00105FBB">
        <w:tc>
          <w:tcPr>
            <w:tcW w:w="1349" w:type="dxa"/>
            <w:tcBorders>
              <w:bottom w:val="nil"/>
            </w:tcBorders>
          </w:tcPr>
          <w:p w14:paraId="45F01336" w14:textId="77777777" w:rsidR="00182709" w:rsidRDefault="00182709">
            <w:pPr>
              <w:jc w:val="left"/>
            </w:pPr>
          </w:p>
        </w:tc>
        <w:tc>
          <w:tcPr>
            <w:tcW w:w="6558" w:type="dxa"/>
          </w:tcPr>
          <w:p w14:paraId="261DDCCE" w14:textId="77777777" w:rsidR="00182709" w:rsidRDefault="0044097C">
            <w:pPr>
              <w:jc w:val="left"/>
            </w:pPr>
            <w:r>
              <w:rPr>
                <w:b/>
              </w:rPr>
              <w:t>Net Investment in the lease</w:t>
            </w:r>
          </w:p>
        </w:tc>
        <w:tc>
          <w:tcPr>
            <w:tcW w:w="866" w:type="dxa"/>
          </w:tcPr>
          <w:p w14:paraId="62AC8AAC" w14:textId="77777777" w:rsidR="00182709" w:rsidRDefault="0044097C">
            <w:r>
              <w:rPr>
                <w:b/>
              </w:rPr>
              <w:t>581</w:t>
            </w:r>
          </w:p>
        </w:tc>
        <w:tc>
          <w:tcPr>
            <w:tcW w:w="866" w:type="dxa"/>
          </w:tcPr>
          <w:p w14:paraId="1050DF66" w14:textId="77777777" w:rsidR="00182709" w:rsidRDefault="0044097C">
            <w:r>
              <w:rPr>
                <w:b/>
              </w:rPr>
              <w:t>1 231</w:t>
            </w:r>
          </w:p>
        </w:tc>
      </w:tr>
    </w:tbl>
    <w:p w14:paraId="20B26CD4" w14:textId="26CA0962" w:rsidR="003719CD" w:rsidRDefault="003719CD" w:rsidP="00DC39DE">
      <w:r>
        <w:t xml:space="preserve">During </w:t>
      </w:r>
      <w:fldSimple w:instr="DOCPROPERTY  FinYearCurrent  \* MERGEFORMAT">
        <w:r w:rsidR="00A545BA">
          <w:t>20X1</w:t>
        </w:r>
        <w:r w:rsidR="00A545BA">
          <w:rPr>
            <w:rFonts w:ascii="Cambria Math" w:hAnsi="Cambria Math" w:cs="Cambria Math"/>
          </w:rPr>
          <w:t>‑</w:t>
        </w:r>
        <w:r w:rsidR="00A545BA">
          <w:t>22</w:t>
        </w:r>
      </w:fldSimple>
      <w:r>
        <w:t>, the Department recognised finance income on the finance lease receivable of $251 000.</w:t>
      </w:r>
      <w:r w:rsidRPr="00A144B6">
        <w:rPr>
          <w:rStyle w:val="Reference"/>
        </w:rPr>
        <w:t xml:space="preserve"> [AASB</w:t>
      </w:r>
      <w:r>
        <w:rPr>
          <w:rStyle w:val="Reference"/>
        </w:rPr>
        <w:t> </w:t>
      </w:r>
      <w:r w:rsidRPr="00A144B6">
        <w:rPr>
          <w:rStyle w:val="Reference"/>
        </w:rPr>
        <w:t>16.90(a)(ii)]</w:t>
      </w:r>
    </w:p>
    <w:p w14:paraId="7805D322" w14:textId="77777777" w:rsidR="003719CD" w:rsidRDefault="003719CD" w:rsidP="007D536F">
      <w:pPr>
        <w:pStyle w:val="Heading3"/>
      </w:pPr>
      <w:r>
        <w:t>Leases as a Lessor</w:t>
      </w:r>
    </w:p>
    <w:p w14:paraId="1281C28E" w14:textId="77777777" w:rsidR="003719CD" w:rsidRDefault="003719CD" w:rsidP="00DC39DE">
      <w:r>
        <w:t xml:space="preserve">As a lessor, the Department classifies its leases as either operating or finance leases. </w:t>
      </w:r>
      <w:r w:rsidRPr="00EB7367">
        <w:rPr>
          <w:rStyle w:val="Reference"/>
        </w:rPr>
        <w:t>[AASB 16.61]</w:t>
      </w:r>
    </w:p>
    <w:p w14:paraId="1711772A" w14:textId="77777777" w:rsidR="003719CD" w:rsidRDefault="003719CD" w:rsidP="00DC39DE">
      <w:r>
        <w:t xml:space="preserve">A lease is classified as a finance lease if it transfers substantially all the risks and rewards incidental to ownership of the underlying asset and classified as an operating lease if it does not. </w:t>
      </w:r>
      <w:r w:rsidRPr="00EB7367">
        <w:rPr>
          <w:rStyle w:val="Reference"/>
        </w:rPr>
        <w:t>[AASB 16.62]</w:t>
      </w:r>
    </w:p>
    <w:p w14:paraId="7D0ACE04" w14:textId="77777777" w:rsidR="003B7EFD" w:rsidRDefault="003B7EFD">
      <w:pPr>
        <w:keepLines w:val="0"/>
        <w:rPr>
          <w:rFonts w:asciiTheme="majorHAnsi" w:eastAsiaTheme="majorEastAsia" w:hAnsiTheme="majorHAnsi" w:cstheme="majorBidi"/>
          <w:b/>
          <w:sz w:val="22"/>
          <w:szCs w:val="24"/>
        </w:rPr>
      </w:pPr>
      <w:r>
        <w:br w:type="page"/>
      </w:r>
    </w:p>
    <w:p w14:paraId="50C0EEE7" w14:textId="77777777" w:rsidR="00C67C1A" w:rsidRDefault="00C67C1A" w:rsidP="00C67C1A">
      <w:pPr>
        <w:pStyle w:val="Heading3"/>
      </w:pPr>
      <w:r>
        <w:lastRenderedPageBreak/>
        <w:t>Contract assets</w:t>
      </w:r>
    </w:p>
    <w:p w14:paraId="149A0104" w14:textId="77777777" w:rsidR="00C67C1A" w:rsidRDefault="00C67C1A" w:rsidP="00C67C1A">
      <w:pPr>
        <w:pStyle w:val="TableUnits"/>
      </w:pPr>
      <w:r>
        <w:t>($ thousand)</w:t>
      </w:r>
    </w:p>
    <w:tbl>
      <w:tblPr>
        <w:tblStyle w:val="DTFTable"/>
        <w:tblW w:w="9639" w:type="dxa"/>
        <w:tblLayout w:type="fixed"/>
        <w:tblLook w:val="0620" w:firstRow="1" w:lastRow="0" w:firstColumn="0" w:lastColumn="0" w:noHBand="1" w:noVBand="1"/>
      </w:tblPr>
      <w:tblGrid>
        <w:gridCol w:w="1350"/>
        <w:gridCol w:w="6557"/>
        <w:gridCol w:w="866"/>
        <w:gridCol w:w="866"/>
      </w:tblGrid>
      <w:tr w:rsidR="00105FBB" w14:paraId="61898857" w14:textId="77777777">
        <w:trPr>
          <w:cnfStyle w:val="100000000000" w:firstRow="1" w:lastRow="0" w:firstColumn="0" w:lastColumn="0" w:oddVBand="0" w:evenVBand="0" w:oddHBand="0" w:evenHBand="0" w:firstRowFirstColumn="0" w:firstRowLastColumn="0" w:lastRowFirstColumn="0" w:lastRowLastColumn="0"/>
        </w:trPr>
        <w:tc>
          <w:tcPr>
            <w:tcW w:w="1350" w:type="dxa"/>
            <w:tcBorders>
              <w:top w:val="nil"/>
              <w:bottom w:val="nil"/>
            </w:tcBorders>
            <w:shd w:val="clear" w:color="auto" w:fill="FFFFFF" w:themeFill="background1"/>
          </w:tcPr>
          <w:p w14:paraId="7325BBE9" w14:textId="77777777" w:rsidR="00105FBB" w:rsidRDefault="00105FBB" w:rsidP="00105FBB">
            <w:pPr>
              <w:ind w:left="170" w:hanging="170"/>
              <w:jc w:val="left"/>
            </w:pPr>
            <w:r>
              <w:rPr>
                <w:color w:val="4472C4"/>
                <w:sz w:val="13"/>
              </w:rPr>
              <w:t>Source reference</w:t>
            </w:r>
          </w:p>
        </w:tc>
        <w:tc>
          <w:tcPr>
            <w:tcW w:w="6557" w:type="dxa"/>
          </w:tcPr>
          <w:p w14:paraId="09A6C219" w14:textId="77777777" w:rsidR="00105FBB" w:rsidRDefault="00105FBB" w:rsidP="00105FBB">
            <w:pPr>
              <w:ind w:left="170" w:hanging="170"/>
              <w:jc w:val="left"/>
            </w:pPr>
          </w:p>
        </w:tc>
        <w:tc>
          <w:tcPr>
            <w:tcW w:w="866" w:type="dxa"/>
          </w:tcPr>
          <w:p w14:paraId="5D70F4A6" w14:textId="123A250E" w:rsidR="00105FBB" w:rsidRDefault="00105FBB" w:rsidP="00105FBB">
            <w:pPr>
              <w:ind w:left="170" w:hanging="170"/>
            </w:pPr>
            <w:fldSimple w:instr="DOCPROPERTY  YearCurrent \* MERGEFORMAT">
              <w:r w:rsidRPr="00105FBB">
                <w:t>20X2</w:t>
              </w:r>
            </w:fldSimple>
          </w:p>
        </w:tc>
        <w:tc>
          <w:tcPr>
            <w:tcW w:w="866" w:type="dxa"/>
          </w:tcPr>
          <w:p w14:paraId="51666DA7" w14:textId="7D2C67AA" w:rsidR="00105FBB" w:rsidRDefault="00105FBB" w:rsidP="00105FBB">
            <w:pPr>
              <w:ind w:left="170" w:hanging="170"/>
            </w:pPr>
            <w:fldSimple w:instr="DOCPROPERTY  YearPrevious  \* MERGEFORMAT">
              <w:r w:rsidRPr="00105FBB">
                <w:t>20X1</w:t>
              </w:r>
            </w:fldSimple>
          </w:p>
        </w:tc>
      </w:tr>
      <w:tr w:rsidR="00C67C1A" w14:paraId="249713E0" w14:textId="77777777">
        <w:tc>
          <w:tcPr>
            <w:tcW w:w="1350" w:type="dxa"/>
          </w:tcPr>
          <w:p w14:paraId="7440684A" w14:textId="77777777" w:rsidR="00C67C1A" w:rsidRPr="00BB21DE" w:rsidRDefault="00C67C1A">
            <w:pPr>
              <w:ind w:left="170" w:hanging="170"/>
              <w:jc w:val="left"/>
              <w:rPr>
                <w:color w:val="4472C4"/>
                <w:sz w:val="13"/>
              </w:rPr>
            </w:pPr>
            <w:r w:rsidRPr="00BB21DE">
              <w:rPr>
                <w:color w:val="4472C4"/>
                <w:sz w:val="13"/>
              </w:rPr>
              <w:t>AASB 15.116(a)</w:t>
            </w:r>
          </w:p>
        </w:tc>
        <w:tc>
          <w:tcPr>
            <w:tcW w:w="6557" w:type="dxa"/>
          </w:tcPr>
          <w:p w14:paraId="65EDD44B" w14:textId="77777777" w:rsidR="00C67C1A" w:rsidRDefault="00C67C1A">
            <w:pPr>
              <w:ind w:left="170" w:hanging="170"/>
              <w:jc w:val="left"/>
            </w:pPr>
            <w:r w:rsidRPr="0029690A">
              <w:t>Contract assets</w:t>
            </w:r>
          </w:p>
        </w:tc>
        <w:tc>
          <w:tcPr>
            <w:tcW w:w="866" w:type="dxa"/>
          </w:tcPr>
          <w:p w14:paraId="6FF6335C" w14:textId="77777777" w:rsidR="00C67C1A" w:rsidRDefault="00C67C1A">
            <w:pPr>
              <w:ind w:left="170" w:hanging="170"/>
            </w:pPr>
          </w:p>
        </w:tc>
        <w:tc>
          <w:tcPr>
            <w:tcW w:w="866" w:type="dxa"/>
          </w:tcPr>
          <w:p w14:paraId="531D42C3" w14:textId="77777777" w:rsidR="00C67C1A" w:rsidRDefault="00C67C1A">
            <w:pPr>
              <w:ind w:left="170" w:hanging="170"/>
            </w:pPr>
          </w:p>
        </w:tc>
      </w:tr>
      <w:tr w:rsidR="00C67C1A" w14:paraId="1D1F911D" w14:textId="77777777">
        <w:tc>
          <w:tcPr>
            <w:tcW w:w="1350" w:type="dxa"/>
          </w:tcPr>
          <w:p w14:paraId="52E23477" w14:textId="77777777" w:rsidR="00C67C1A" w:rsidRPr="00BB21DE" w:rsidRDefault="00C67C1A">
            <w:pPr>
              <w:ind w:left="170" w:hanging="170"/>
              <w:jc w:val="left"/>
              <w:rPr>
                <w:color w:val="4472C4"/>
                <w:sz w:val="13"/>
              </w:rPr>
            </w:pPr>
          </w:p>
        </w:tc>
        <w:tc>
          <w:tcPr>
            <w:tcW w:w="6557" w:type="dxa"/>
          </w:tcPr>
          <w:p w14:paraId="4B03ACFF" w14:textId="77777777" w:rsidR="00C67C1A" w:rsidRDefault="00C67C1A">
            <w:pPr>
              <w:ind w:left="170" w:hanging="170"/>
              <w:jc w:val="left"/>
            </w:pPr>
            <w:r w:rsidRPr="0029690A">
              <w:t xml:space="preserve">Opening balance </w:t>
            </w:r>
          </w:p>
        </w:tc>
        <w:tc>
          <w:tcPr>
            <w:tcW w:w="866" w:type="dxa"/>
          </w:tcPr>
          <w:p w14:paraId="67107E76" w14:textId="77777777" w:rsidR="00C67C1A" w:rsidRDefault="00C67C1A">
            <w:pPr>
              <w:ind w:left="170" w:hanging="170"/>
            </w:pPr>
            <w:r>
              <w:t>20</w:t>
            </w:r>
          </w:p>
        </w:tc>
        <w:tc>
          <w:tcPr>
            <w:tcW w:w="866" w:type="dxa"/>
          </w:tcPr>
          <w:p w14:paraId="7ED06E2C" w14:textId="77777777" w:rsidR="00C67C1A" w:rsidRDefault="00C67C1A">
            <w:pPr>
              <w:ind w:left="170" w:hanging="170"/>
            </w:pPr>
            <w:r w:rsidRPr="0029690A">
              <w:t>100</w:t>
            </w:r>
          </w:p>
        </w:tc>
      </w:tr>
      <w:tr w:rsidR="00C67C1A" w14:paraId="6973B787" w14:textId="77777777">
        <w:tc>
          <w:tcPr>
            <w:tcW w:w="1350" w:type="dxa"/>
          </w:tcPr>
          <w:p w14:paraId="5F0EB437" w14:textId="77777777" w:rsidR="00C67C1A" w:rsidRPr="00BB21DE" w:rsidRDefault="00C67C1A">
            <w:pPr>
              <w:ind w:left="170" w:hanging="170"/>
              <w:jc w:val="left"/>
              <w:rPr>
                <w:color w:val="4472C4"/>
                <w:sz w:val="13"/>
              </w:rPr>
            </w:pPr>
          </w:p>
        </w:tc>
        <w:tc>
          <w:tcPr>
            <w:tcW w:w="6557" w:type="dxa"/>
          </w:tcPr>
          <w:p w14:paraId="5224820A" w14:textId="77777777" w:rsidR="00C67C1A" w:rsidRDefault="00C67C1A">
            <w:pPr>
              <w:ind w:left="170" w:hanging="170"/>
              <w:jc w:val="left"/>
            </w:pPr>
            <w:r w:rsidRPr="0029690A">
              <w:t>Add: Additional costs incurred that are recoverable from the customer</w:t>
            </w:r>
          </w:p>
        </w:tc>
        <w:tc>
          <w:tcPr>
            <w:tcW w:w="866" w:type="dxa"/>
          </w:tcPr>
          <w:p w14:paraId="5D9D8E3A" w14:textId="77777777" w:rsidR="00C67C1A" w:rsidRDefault="00C67C1A">
            <w:pPr>
              <w:ind w:left="170" w:hanging="170"/>
            </w:pPr>
            <w:r w:rsidRPr="0029690A">
              <w:t>85</w:t>
            </w:r>
          </w:p>
        </w:tc>
        <w:tc>
          <w:tcPr>
            <w:tcW w:w="866" w:type="dxa"/>
          </w:tcPr>
          <w:p w14:paraId="006623B0" w14:textId="77777777" w:rsidR="00C67C1A" w:rsidRDefault="00C67C1A">
            <w:pPr>
              <w:ind w:left="170" w:hanging="170"/>
            </w:pPr>
            <w:r>
              <w:t>..</w:t>
            </w:r>
          </w:p>
        </w:tc>
      </w:tr>
      <w:tr w:rsidR="00C67C1A" w14:paraId="38D27BB9" w14:textId="77777777">
        <w:tc>
          <w:tcPr>
            <w:tcW w:w="1350" w:type="dxa"/>
          </w:tcPr>
          <w:p w14:paraId="1754B6C6" w14:textId="77777777" w:rsidR="00C67C1A" w:rsidRPr="00BB21DE" w:rsidRDefault="00C67C1A">
            <w:pPr>
              <w:ind w:left="170" w:hanging="170"/>
              <w:jc w:val="left"/>
              <w:rPr>
                <w:color w:val="4472C4"/>
                <w:sz w:val="13"/>
              </w:rPr>
            </w:pPr>
          </w:p>
        </w:tc>
        <w:tc>
          <w:tcPr>
            <w:tcW w:w="6557" w:type="dxa"/>
          </w:tcPr>
          <w:p w14:paraId="27F48E0B" w14:textId="77777777" w:rsidR="00C67C1A" w:rsidRDefault="00C67C1A">
            <w:pPr>
              <w:ind w:left="170" w:hanging="170"/>
              <w:jc w:val="left"/>
            </w:pPr>
            <w:r w:rsidRPr="0029690A">
              <w:t>Less: Transfer to revenue recognition</w:t>
            </w:r>
          </w:p>
        </w:tc>
        <w:tc>
          <w:tcPr>
            <w:tcW w:w="866" w:type="dxa"/>
          </w:tcPr>
          <w:p w14:paraId="6BF9F3BE" w14:textId="77777777" w:rsidR="00C67C1A" w:rsidRDefault="00C67C1A">
            <w:pPr>
              <w:ind w:left="170" w:hanging="170"/>
            </w:pPr>
            <w:r>
              <w:t>(8</w:t>
            </w:r>
            <w:r w:rsidRPr="0029690A">
              <w:t>5</w:t>
            </w:r>
            <w:r>
              <w:t>)</w:t>
            </w:r>
          </w:p>
        </w:tc>
        <w:tc>
          <w:tcPr>
            <w:tcW w:w="866" w:type="dxa"/>
          </w:tcPr>
          <w:p w14:paraId="6F089F41" w14:textId="77777777" w:rsidR="00C67C1A" w:rsidRDefault="00C67C1A">
            <w:pPr>
              <w:ind w:left="170" w:hanging="170"/>
            </w:pPr>
            <w:r>
              <w:t>(80)</w:t>
            </w:r>
          </w:p>
        </w:tc>
      </w:tr>
      <w:tr w:rsidR="00C67C1A" w14:paraId="55E89827" w14:textId="77777777">
        <w:tc>
          <w:tcPr>
            <w:tcW w:w="1350" w:type="dxa"/>
          </w:tcPr>
          <w:p w14:paraId="7DE12C77" w14:textId="77777777" w:rsidR="00C67C1A" w:rsidRPr="00BB21DE" w:rsidRDefault="00C67C1A">
            <w:pPr>
              <w:ind w:left="170" w:hanging="170"/>
              <w:jc w:val="left"/>
              <w:rPr>
                <w:color w:val="4472C4"/>
                <w:sz w:val="13"/>
              </w:rPr>
            </w:pPr>
            <w:r w:rsidRPr="00BB21DE">
              <w:rPr>
                <w:color w:val="4472C4"/>
                <w:sz w:val="13"/>
              </w:rPr>
              <w:t>AASB 15.113(b)</w:t>
            </w:r>
          </w:p>
        </w:tc>
        <w:tc>
          <w:tcPr>
            <w:tcW w:w="6557" w:type="dxa"/>
            <w:tcBorders>
              <w:bottom w:val="single" w:sz="12" w:space="0" w:color="auto"/>
            </w:tcBorders>
          </w:tcPr>
          <w:p w14:paraId="4273BD47" w14:textId="77777777" w:rsidR="00C67C1A" w:rsidRDefault="00C67C1A">
            <w:pPr>
              <w:ind w:left="170" w:hanging="170"/>
              <w:jc w:val="left"/>
            </w:pPr>
            <w:r w:rsidRPr="0029690A">
              <w:t xml:space="preserve">Less: </w:t>
            </w:r>
            <w:r>
              <w:t>I</w:t>
            </w:r>
            <w:r w:rsidRPr="0029690A">
              <w:t>mpairment allowance</w:t>
            </w:r>
          </w:p>
        </w:tc>
        <w:tc>
          <w:tcPr>
            <w:tcW w:w="866" w:type="dxa"/>
            <w:tcBorders>
              <w:bottom w:val="single" w:sz="12" w:space="0" w:color="auto"/>
            </w:tcBorders>
          </w:tcPr>
          <w:p w14:paraId="6D3123EF" w14:textId="77777777" w:rsidR="00C67C1A" w:rsidRDefault="00C67C1A">
            <w:pPr>
              <w:ind w:left="170" w:hanging="170"/>
            </w:pPr>
            <w:r>
              <w:t>..</w:t>
            </w:r>
          </w:p>
        </w:tc>
        <w:tc>
          <w:tcPr>
            <w:tcW w:w="866" w:type="dxa"/>
            <w:tcBorders>
              <w:bottom w:val="single" w:sz="12" w:space="0" w:color="auto"/>
            </w:tcBorders>
          </w:tcPr>
          <w:p w14:paraId="113C6B2F" w14:textId="77777777" w:rsidR="00C67C1A" w:rsidRDefault="00C67C1A">
            <w:pPr>
              <w:ind w:left="170" w:hanging="170"/>
            </w:pPr>
            <w:r>
              <w:t>..</w:t>
            </w:r>
          </w:p>
        </w:tc>
      </w:tr>
      <w:tr w:rsidR="00C67C1A" w14:paraId="3F7C8B47" w14:textId="77777777">
        <w:tc>
          <w:tcPr>
            <w:tcW w:w="1350" w:type="dxa"/>
          </w:tcPr>
          <w:p w14:paraId="57220534" w14:textId="77777777" w:rsidR="00C67C1A" w:rsidRPr="00BB21DE" w:rsidRDefault="00C67C1A">
            <w:pPr>
              <w:ind w:left="170" w:hanging="170"/>
              <w:jc w:val="left"/>
              <w:rPr>
                <w:color w:val="4472C4"/>
                <w:sz w:val="13"/>
              </w:rPr>
            </w:pPr>
          </w:p>
        </w:tc>
        <w:tc>
          <w:tcPr>
            <w:tcW w:w="6557" w:type="dxa"/>
            <w:tcBorders>
              <w:top w:val="single" w:sz="12" w:space="0" w:color="auto"/>
              <w:bottom w:val="single" w:sz="12" w:space="0" w:color="auto"/>
            </w:tcBorders>
          </w:tcPr>
          <w:p w14:paraId="4F2E9174" w14:textId="77777777" w:rsidR="00C67C1A" w:rsidRPr="00BC58D9" w:rsidRDefault="00C67C1A">
            <w:pPr>
              <w:ind w:left="170" w:hanging="170"/>
              <w:jc w:val="left"/>
              <w:rPr>
                <w:b/>
                <w:bCs/>
              </w:rPr>
            </w:pPr>
            <w:r w:rsidRPr="00BC58D9">
              <w:rPr>
                <w:b/>
                <w:bCs/>
              </w:rPr>
              <w:t>Total contract assets</w:t>
            </w:r>
          </w:p>
        </w:tc>
        <w:tc>
          <w:tcPr>
            <w:tcW w:w="866" w:type="dxa"/>
            <w:tcBorders>
              <w:top w:val="single" w:sz="12" w:space="0" w:color="auto"/>
              <w:bottom w:val="single" w:sz="12" w:space="0" w:color="auto"/>
            </w:tcBorders>
          </w:tcPr>
          <w:p w14:paraId="488EE8C1" w14:textId="77777777" w:rsidR="00C67C1A" w:rsidRPr="00BC58D9" w:rsidRDefault="00C67C1A">
            <w:pPr>
              <w:ind w:left="170" w:hanging="170"/>
              <w:rPr>
                <w:b/>
                <w:bCs/>
              </w:rPr>
            </w:pPr>
            <w:r w:rsidRPr="00BC58D9">
              <w:rPr>
                <w:b/>
                <w:bCs/>
              </w:rPr>
              <w:t>20</w:t>
            </w:r>
          </w:p>
        </w:tc>
        <w:tc>
          <w:tcPr>
            <w:tcW w:w="866" w:type="dxa"/>
            <w:tcBorders>
              <w:top w:val="single" w:sz="12" w:space="0" w:color="auto"/>
              <w:bottom w:val="single" w:sz="12" w:space="0" w:color="auto"/>
            </w:tcBorders>
          </w:tcPr>
          <w:p w14:paraId="2D84173F" w14:textId="77777777" w:rsidR="00C67C1A" w:rsidRPr="00BC58D9" w:rsidRDefault="00C67C1A">
            <w:pPr>
              <w:ind w:left="170" w:hanging="170"/>
              <w:rPr>
                <w:b/>
                <w:bCs/>
              </w:rPr>
            </w:pPr>
            <w:r w:rsidRPr="00BC58D9">
              <w:rPr>
                <w:b/>
                <w:bCs/>
              </w:rPr>
              <w:t>20</w:t>
            </w:r>
          </w:p>
        </w:tc>
      </w:tr>
      <w:tr w:rsidR="00C67C1A" w14:paraId="36E29819" w14:textId="77777777">
        <w:tc>
          <w:tcPr>
            <w:tcW w:w="1350" w:type="dxa"/>
            <w:tcBorders>
              <w:bottom w:val="nil"/>
            </w:tcBorders>
          </w:tcPr>
          <w:p w14:paraId="27F7EFE5" w14:textId="77777777" w:rsidR="00C67C1A" w:rsidRPr="00BB21DE" w:rsidRDefault="00C67C1A">
            <w:pPr>
              <w:ind w:left="170" w:hanging="170"/>
              <w:jc w:val="left"/>
              <w:rPr>
                <w:color w:val="4472C4"/>
                <w:sz w:val="13"/>
              </w:rPr>
            </w:pPr>
          </w:p>
        </w:tc>
        <w:tc>
          <w:tcPr>
            <w:tcW w:w="6557" w:type="dxa"/>
          </w:tcPr>
          <w:p w14:paraId="6DBAFA82" w14:textId="77777777" w:rsidR="00C67C1A" w:rsidRPr="00BC58D9" w:rsidRDefault="00C67C1A">
            <w:pPr>
              <w:ind w:left="170" w:hanging="170"/>
              <w:jc w:val="left"/>
              <w:rPr>
                <w:i/>
                <w:iCs/>
              </w:rPr>
            </w:pPr>
            <w:r w:rsidRPr="00BC58D9">
              <w:rPr>
                <w:i/>
                <w:iCs/>
              </w:rPr>
              <w:t>Represented by</w:t>
            </w:r>
          </w:p>
        </w:tc>
        <w:tc>
          <w:tcPr>
            <w:tcW w:w="866" w:type="dxa"/>
          </w:tcPr>
          <w:p w14:paraId="392930A8" w14:textId="77777777" w:rsidR="00C67C1A" w:rsidRDefault="00C67C1A">
            <w:pPr>
              <w:ind w:left="170" w:hanging="170"/>
            </w:pPr>
          </w:p>
        </w:tc>
        <w:tc>
          <w:tcPr>
            <w:tcW w:w="866" w:type="dxa"/>
          </w:tcPr>
          <w:p w14:paraId="7C3C785E" w14:textId="77777777" w:rsidR="00C67C1A" w:rsidRDefault="00C67C1A">
            <w:pPr>
              <w:ind w:left="170" w:hanging="170"/>
            </w:pPr>
          </w:p>
        </w:tc>
      </w:tr>
      <w:tr w:rsidR="00C67C1A" w14:paraId="0F0B85DA" w14:textId="77777777">
        <w:tc>
          <w:tcPr>
            <w:tcW w:w="1350" w:type="dxa"/>
            <w:tcBorders>
              <w:bottom w:val="nil"/>
            </w:tcBorders>
          </w:tcPr>
          <w:p w14:paraId="2DF1CAEE" w14:textId="77777777" w:rsidR="00C67C1A" w:rsidRDefault="00C67C1A">
            <w:pPr>
              <w:ind w:left="170" w:hanging="170"/>
              <w:jc w:val="left"/>
            </w:pPr>
            <w:r w:rsidRPr="00BB21DE">
              <w:rPr>
                <w:color w:val="4472C4"/>
                <w:sz w:val="13"/>
              </w:rPr>
              <w:t>AASB 15.11</w:t>
            </w:r>
            <w:r>
              <w:rPr>
                <w:color w:val="4472C4"/>
                <w:sz w:val="13"/>
              </w:rPr>
              <w:t>6</w:t>
            </w:r>
            <w:r w:rsidRPr="00BB21DE">
              <w:rPr>
                <w:color w:val="4472C4"/>
                <w:sz w:val="13"/>
              </w:rPr>
              <w:t>(</w:t>
            </w:r>
            <w:r>
              <w:rPr>
                <w:color w:val="4472C4"/>
                <w:sz w:val="13"/>
              </w:rPr>
              <w:t>a</w:t>
            </w:r>
            <w:r w:rsidRPr="00BB21DE">
              <w:rPr>
                <w:color w:val="4472C4"/>
                <w:sz w:val="13"/>
              </w:rPr>
              <w:t>)</w:t>
            </w:r>
          </w:p>
        </w:tc>
        <w:tc>
          <w:tcPr>
            <w:tcW w:w="6557" w:type="dxa"/>
            <w:tcBorders>
              <w:bottom w:val="nil"/>
            </w:tcBorders>
          </w:tcPr>
          <w:p w14:paraId="3002C9C1" w14:textId="77777777" w:rsidR="00C67C1A" w:rsidRDefault="00C67C1A">
            <w:pPr>
              <w:ind w:left="170" w:hanging="170"/>
              <w:jc w:val="left"/>
            </w:pPr>
            <w:r>
              <w:t xml:space="preserve">   </w:t>
            </w:r>
            <w:r w:rsidRPr="00820C74">
              <w:t>Current contract assets</w:t>
            </w:r>
          </w:p>
        </w:tc>
        <w:tc>
          <w:tcPr>
            <w:tcW w:w="866" w:type="dxa"/>
            <w:tcBorders>
              <w:bottom w:val="nil"/>
            </w:tcBorders>
          </w:tcPr>
          <w:p w14:paraId="7602BAEA" w14:textId="77777777" w:rsidR="00C67C1A" w:rsidRDefault="00C67C1A">
            <w:pPr>
              <w:ind w:left="170" w:hanging="170"/>
            </w:pPr>
            <w:r>
              <w:t>20</w:t>
            </w:r>
          </w:p>
        </w:tc>
        <w:tc>
          <w:tcPr>
            <w:tcW w:w="866" w:type="dxa"/>
            <w:tcBorders>
              <w:bottom w:val="nil"/>
            </w:tcBorders>
          </w:tcPr>
          <w:p w14:paraId="61C99FFD" w14:textId="77777777" w:rsidR="00C67C1A" w:rsidRDefault="00C67C1A">
            <w:pPr>
              <w:ind w:left="170" w:hanging="170"/>
            </w:pPr>
            <w:r>
              <w:t>20</w:t>
            </w:r>
          </w:p>
        </w:tc>
      </w:tr>
      <w:tr w:rsidR="00C67C1A" w:rsidRPr="00BC58D9" w14:paraId="33B191E1" w14:textId="77777777">
        <w:tc>
          <w:tcPr>
            <w:tcW w:w="1350" w:type="dxa"/>
            <w:tcBorders>
              <w:top w:val="nil"/>
              <w:bottom w:val="nil"/>
            </w:tcBorders>
          </w:tcPr>
          <w:p w14:paraId="481AC6F9" w14:textId="77777777" w:rsidR="00C67C1A" w:rsidRPr="00BC58D9" w:rsidRDefault="00C67C1A">
            <w:pPr>
              <w:ind w:left="170" w:hanging="170"/>
              <w:jc w:val="left"/>
            </w:pPr>
            <w:r w:rsidRPr="00BB21DE">
              <w:rPr>
                <w:color w:val="4472C4"/>
                <w:sz w:val="13"/>
              </w:rPr>
              <w:t>AASB 15.11</w:t>
            </w:r>
            <w:r>
              <w:rPr>
                <w:color w:val="4472C4"/>
                <w:sz w:val="13"/>
              </w:rPr>
              <w:t>6</w:t>
            </w:r>
            <w:r w:rsidRPr="00BB21DE">
              <w:rPr>
                <w:color w:val="4472C4"/>
                <w:sz w:val="13"/>
              </w:rPr>
              <w:t>(</w:t>
            </w:r>
            <w:r>
              <w:rPr>
                <w:color w:val="4472C4"/>
                <w:sz w:val="13"/>
              </w:rPr>
              <w:t>a</w:t>
            </w:r>
            <w:r w:rsidRPr="00BB21DE">
              <w:rPr>
                <w:color w:val="4472C4"/>
                <w:sz w:val="13"/>
              </w:rPr>
              <w:t>)</w:t>
            </w:r>
          </w:p>
        </w:tc>
        <w:tc>
          <w:tcPr>
            <w:tcW w:w="6557" w:type="dxa"/>
            <w:tcBorders>
              <w:top w:val="nil"/>
              <w:bottom w:val="single" w:sz="12" w:space="0" w:color="auto"/>
            </w:tcBorders>
          </w:tcPr>
          <w:p w14:paraId="465022F0" w14:textId="77777777" w:rsidR="00C67C1A" w:rsidRPr="00BC58D9" w:rsidRDefault="00C67C1A">
            <w:pPr>
              <w:ind w:left="170" w:hanging="170"/>
              <w:jc w:val="left"/>
            </w:pPr>
            <w:r w:rsidRPr="00BC58D9">
              <w:t xml:space="preserve">   Non-current contract assets</w:t>
            </w:r>
          </w:p>
        </w:tc>
        <w:tc>
          <w:tcPr>
            <w:tcW w:w="866" w:type="dxa"/>
            <w:tcBorders>
              <w:top w:val="nil"/>
              <w:bottom w:val="single" w:sz="12" w:space="0" w:color="auto"/>
            </w:tcBorders>
          </w:tcPr>
          <w:p w14:paraId="0B591AEC" w14:textId="77777777" w:rsidR="00C67C1A" w:rsidRPr="00BC58D9" w:rsidRDefault="00C67C1A">
            <w:pPr>
              <w:ind w:left="170" w:hanging="170"/>
            </w:pPr>
            <w:r>
              <w:t>..</w:t>
            </w:r>
          </w:p>
        </w:tc>
        <w:tc>
          <w:tcPr>
            <w:tcW w:w="866" w:type="dxa"/>
            <w:tcBorders>
              <w:top w:val="nil"/>
              <w:bottom w:val="single" w:sz="12" w:space="0" w:color="auto"/>
            </w:tcBorders>
          </w:tcPr>
          <w:p w14:paraId="746A7904" w14:textId="77777777" w:rsidR="00C67C1A" w:rsidRPr="00BC58D9" w:rsidRDefault="00C67C1A">
            <w:pPr>
              <w:ind w:left="170" w:hanging="170"/>
            </w:pPr>
            <w:r>
              <w:t>..</w:t>
            </w:r>
          </w:p>
        </w:tc>
      </w:tr>
    </w:tbl>
    <w:p w14:paraId="3E362F4B" w14:textId="77777777" w:rsidR="00C67C1A" w:rsidRDefault="00C67C1A" w:rsidP="00C67C1A">
      <w:r>
        <w:t xml:space="preserve">Contract assets relate to the Department’s right to consideration in exchange for goods transferred to customers for works completed, but not yet billed at the reporting date. The contract assets are transferred to receivables when the rights become unconditional, at this time an invoice is issued. This usually occurs when the Department issues an invoice to the customer. The balance of the contract assets at 30 June </w:t>
      </w:r>
      <w:fldSimple w:instr="DOCPROPERTY  YearCurrent  \* MERGEFORMAT">
        <w:r>
          <w:t>20X2</w:t>
        </w:r>
      </w:fldSimple>
      <w:r>
        <w:t xml:space="preserve"> </w:t>
      </w:r>
      <w:r w:rsidRPr="00A77178">
        <w:t>was</w:t>
      </w:r>
      <w:r>
        <w:t xml:space="preserve"> impacted by timing of the works completed by contractors and is not billable at this stage. The works are expected to be completed and recovered early next year.</w:t>
      </w:r>
    </w:p>
    <w:p w14:paraId="18FF5CDB" w14:textId="77777777" w:rsidR="003719CD" w:rsidRDefault="003719CD" w:rsidP="00DC39DE"/>
    <w:p w14:paraId="179A0797" w14:textId="4394A542" w:rsidR="003719CD" w:rsidRDefault="003719CD" w:rsidP="007D536F">
      <w:pPr>
        <w:pStyle w:val="GuidanceBlockHeading"/>
      </w:pPr>
      <w:r>
        <w:t>Guidance – Receivables</w:t>
      </w:r>
      <w:r w:rsidR="00F03928">
        <w:t xml:space="preserve"> </w:t>
      </w:r>
    </w:p>
    <w:p w14:paraId="0B21F105" w14:textId="0F1E0E2B" w:rsidR="003719CD" w:rsidRPr="00435454" w:rsidRDefault="003719CD" w:rsidP="007D536F">
      <w:pPr>
        <w:rPr>
          <w:rStyle w:val="Guidance"/>
        </w:rPr>
      </w:pPr>
      <w:r w:rsidRPr="00435454">
        <w:rPr>
          <w:rStyle w:val="Guidance"/>
          <w:b/>
          <w:bCs/>
        </w:rPr>
        <w:t>Finance Lease Receivable</w:t>
      </w:r>
      <w:r w:rsidRPr="00435454">
        <w:rPr>
          <w:rStyle w:val="Guidance"/>
        </w:rPr>
        <w:t xml:space="preserve">: Where the </w:t>
      </w:r>
      <w:r w:rsidR="009C7C72">
        <w:rPr>
          <w:rStyle w:val="Guidance"/>
        </w:rPr>
        <w:t>d</w:t>
      </w:r>
      <w:r w:rsidRPr="00435454">
        <w:rPr>
          <w:rStyle w:val="Guidance"/>
        </w:rPr>
        <w:t>epartment is a lessor with a finance lease, it is required to provide information that allows users of the financial statements to assess the effect that leases have on the lessor’s financial position, financial performance and cash flows. A lessor should disclose:</w:t>
      </w:r>
    </w:p>
    <w:p w14:paraId="3027F308" w14:textId="0F12399A" w:rsidR="003719CD" w:rsidRPr="00435454" w:rsidRDefault="003719CD" w:rsidP="00310F12">
      <w:pPr>
        <w:pStyle w:val="ListBullet"/>
        <w:rPr>
          <w:rStyle w:val="Guidance"/>
        </w:rPr>
      </w:pPr>
      <w:r w:rsidRPr="00435454">
        <w:rPr>
          <w:rStyle w:val="Guidance"/>
        </w:rPr>
        <w:t>selling profit or loss</w:t>
      </w:r>
    </w:p>
    <w:p w14:paraId="07A345D0" w14:textId="49388257" w:rsidR="003719CD" w:rsidRPr="00435454" w:rsidRDefault="003719CD" w:rsidP="00310F12">
      <w:pPr>
        <w:pStyle w:val="ListBullet"/>
        <w:rPr>
          <w:rStyle w:val="Guidance"/>
        </w:rPr>
      </w:pPr>
      <w:r w:rsidRPr="00435454">
        <w:rPr>
          <w:rStyle w:val="Guidance"/>
        </w:rPr>
        <w:t>finance income on the net investment in the lease</w:t>
      </w:r>
    </w:p>
    <w:p w14:paraId="1DB9F01E" w14:textId="17ED22B1" w:rsidR="003719CD" w:rsidRPr="0019433F" w:rsidRDefault="003719CD" w:rsidP="00310F12">
      <w:pPr>
        <w:pStyle w:val="ListBullet"/>
        <w:rPr>
          <w:rStyle w:val="Guidance"/>
        </w:rPr>
      </w:pPr>
      <w:r w:rsidRPr="0019433F">
        <w:rPr>
          <w:rStyle w:val="Guidance"/>
        </w:rPr>
        <w:t>income relating to variable lease payments not included in the measurement of the net investment in the lease</w:t>
      </w:r>
      <w:r w:rsidR="00B06572">
        <w:rPr>
          <w:rStyle w:val="Guidance"/>
        </w:rPr>
        <w:t xml:space="preserve"> </w:t>
      </w:r>
      <w:r w:rsidRPr="0019433F">
        <w:rPr>
          <w:rStyle w:val="Reference"/>
        </w:rPr>
        <w:t>[AASB 16.90(a)(i-iii)]</w:t>
      </w:r>
    </w:p>
    <w:p w14:paraId="013D612E" w14:textId="7F58A708" w:rsidR="003719CD" w:rsidRPr="00435454" w:rsidRDefault="003719CD" w:rsidP="00310F12">
      <w:pPr>
        <w:pStyle w:val="ListBullet"/>
        <w:rPr>
          <w:rStyle w:val="Guidance"/>
        </w:rPr>
      </w:pPr>
      <w:r w:rsidRPr="00435454">
        <w:rPr>
          <w:rStyle w:val="Guidance"/>
        </w:rPr>
        <w:t xml:space="preserve">qualitative and quantitative explanation of significant changes in the carrying amount of the net investment in the lease </w:t>
      </w:r>
      <w:r w:rsidRPr="0019433F">
        <w:rPr>
          <w:rStyle w:val="Reference"/>
        </w:rPr>
        <w:t>[AASB 16.93]</w:t>
      </w:r>
    </w:p>
    <w:p w14:paraId="72C43065" w14:textId="070CC9BB" w:rsidR="009C7C72" w:rsidRDefault="003719CD" w:rsidP="00310F12">
      <w:pPr>
        <w:pStyle w:val="ListBullet"/>
        <w:rPr>
          <w:rStyle w:val="Guidance"/>
        </w:rPr>
      </w:pPr>
      <w:r w:rsidRPr="00435454">
        <w:rPr>
          <w:rStyle w:val="Guidance"/>
        </w:rPr>
        <w:t xml:space="preserve">maturity analysis of lease payments receivable for a minimum of each of the first five years plus a total amount for the remaining years </w:t>
      </w:r>
    </w:p>
    <w:p w14:paraId="2AC5D09E" w14:textId="0B4F0D76" w:rsidR="003719CD" w:rsidRPr="00435454" w:rsidRDefault="003719CD" w:rsidP="00310F12">
      <w:pPr>
        <w:pStyle w:val="ListBullet"/>
        <w:rPr>
          <w:rStyle w:val="Guidance"/>
        </w:rPr>
      </w:pPr>
      <w:r w:rsidRPr="00435454">
        <w:rPr>
          <w:rStyle w:val="Guidance"/>
        </w:rPr>
        <w:t xml:space="preserve">reconciliation to the net investment in the lease. </w:t>
      </w:r>
      <w:r w:rsidRPr="0019433F">
        <w:rPr>
          <w:rStyle w:val="Reference"/>
        </w:rPr>
        <w:t>[AASB 16.94]</w:t>
      </w:r>
    </w:p>
    <w:p w14:paraId="01E10C01" w14:textId="77777777" w:rsidR="003719CD" w:rsidRPr="00435454" w:rsidRDefault="003719CD" w:rsidP="007D536F">
      <w:pPr>
        <w:rPr>
          <w:rStyle w:val="Guidance"/>
        </w:rPr>
      </w:pPr>
      <w:r w:rsidRPr="00435454">
        <w:rPr>
          <w:rStyle w:val="Guidance"/>
        </w:rPr>
        <w:t xml:space="preserve">A lessor entity shall disclose additional qualitative and quantitative information about its leasing activities, including but not limited to: </w:t>
      </w:r>
    </w:p>
    <w:p w14:paraId="31962FBC" w14:textId="76FFFA77" w:rsidR="003719CD" w:rsidRPr="00435454" w:rsidRDefault="003719CD" w:rsidP="00310F12">
      <w:pPr>
        <w:pStyle w:val="ListBullet"/>
        <w:rPr>
          <w:rStyle w:val="Guidance"/>
        </w:rPr>
      </w:pPr>
      <w:r w:rsidRPr="00435454">
        <w:rPr>
          <w:rStyle w:val="Guidance"/>
        </w:rPr>
        <w:t>the nature of the lessor’s leasing activities</w:t>
      </w:r>
    </w:p>
    <w:p w14:paraId="6D82EE98" w14:textId="7121F340" w:rsidR="003719CD" w:rsidRPr="00EE78AC" w:rsidRDefault="003719CD" w:rsidP="007D536F">
      <w:pPr>
        <w:pStyle w:val="ListBullet"/>
        <w:rPr>
          <w:rStyle w:val="Reference"/>
          <w:color w:val="4472C4" w:themeColor="accent1"/>
          <w:sz w:val="18"/>
        </w:rPr>
      </w:pPr>
      <w:r w:rsidRPr="00435454">
        <w:rPr>
          <w:rStyle w:val="Guidance"/>
        </w:rPr>
        <w:t>how the lessor manages the risk associated with any rights it retains in underlying assets. In particular, a lessor shall disclose its risk management strategy for the rights it retains in underlying assets, including any means by which the lessor reduces that risk</w:t>
      </w:r>
      <w:r w:rsidR="00EE78AC">
        <w:rPr>
          <w:rStyle w:val="Guidance"/>
        </w:rPr>
        <w:t xml:space="preserve"> </w:t>
      </w:r>
      <w:r w:rsidRPr="0019433F">
        <w:rPr>
          <w:rStyle w:val="Reference"/>
        </w:rPr>
        <w:t xml:space="preserve">[AASB 16.92(a) </w:t>
      </w:r>
      <w:r>
        <w:rPr>
          <w:rStyle w:val="Reference"/>
        </w:rPr>
        <w:t>and</w:t>
      </w:r>
      <w:r w:rsidRPr="0019433F">
        <w:rPr>
          <w:rStyle w:val="Reference"/>
        </w:rPr>
        <w:t xml:space="preserve"> (b)]</w:t>
      </w:r>
      <w:r w:rsidR="008D43CC">
        <w:rPr>
          <w:rStyle w:val="Reference"/>
        </w:rPr>
        <w:t>.</w:t>
      </w:r>
    </w:p>
    <w:p w14:paraId="5308309C" w14:textId="158A2AC7" w:rsidR="003719CD" w:rsidRPr="00435454" w:rsidRDefault="003719CD" w:rsidP="007D536F">
      <w:pPr>
        <w:rPr>
          <w:rStyle w:val="Guidance"/>
        </w:rPr>
      </w:pPr>
      <w:r w:rsidRPr="0019433F">
        <w:rPr>
          <w:rStyle w:val="Guidance"/>
          <w:b/>
          <w:bCs/>
        </w:rPr>
        <w:t>Statutory receivables</w:t>
      </w:r>
      <w:r w:rsidRPr="00435454">
        <w:rPr>
          <w:rStyle w:val="Guidance"/>
        </w:rPr>
        <w:t xml:space="preserve"> </w:t>
      </w:r>
      <w:r w:rsidRPr="0019433F">
        <w:rPr>
          <w:rStyle w:val="Reference"/>
        </w:rPr>
        <w:t>[AASB 9.Aus2.1.1]</w:t>
      </w:r>
      <w:r w:rsidRPr="00435454">
        <w:rPr>
          <w:rStyle w:val="Guidance"/>
        </w:rPr>
        <w:t xml:space="preserve">: </w:t>
      </w:r>
      <w:r w:rsidR="00306C96">
        <w:rPr>
          <w:rStyle w:val="Guidance"/>
        </w:rPr>
        <w:t>A</w:t>
      </w:r>
      <w:r w:rsidRPr="00435454">
        <w:rPr>
          <w:rStyle w:val="Guidance"/>
        </w:rPr>
        <w:t xml:space="preserve">ssets that are not contractual (such as assets that arise as a result of statutory requirements), are not financial assets as defined in AASB 132 </w:t>
      </w:r>
      <w:r w:rsidRPr="00A07AE2">
        <w:rPr>
          <w:rStyle w:val="Guidance"/>
          <w:i/>
          <w:iCs/>
        </w:rPr>
        <w:t>Financial Instruments: Presentation</w:t>
      </w:r>
      <w:r w:rsidRPr="00435454">
        <w:rPr>
          <w:rStyle w:val="Guidance"/>
        </w:rPr>
        <w:t xml:space="preserve">. However, the initial fair value measurement requirements of AASB 9 are the most appropriate for the types of receivables under consideration as the economic substance of contractual receivables and receivables arising from statutory requirements is similar at initial recognition and therefore AASB 9 should be applied for the initial measurement of such receivables. Although these assets are similar to financial instruments, they are not in the scope of AASB 7 </w:t>
      </w:r>
      <w:r w:rsidRPr="0019433F">
        <w:rPr>
          <w:rStyle w:val="Guidance"/>
          <w:i/>
          <w:iCs/>
        </w:rPr>
        <w:t>Financial Instruments: Disclosures</w:t>
      </w:r>
      <w:r w:rsidRPr="00435454">
        <w:rPr>
          <w:rStyle w:val="Guidance"/>
        </w:rPr>
        <w:t xml:space="preserve">. However, entities may wish to apply disclosure requirements similar to those from AASB 7 to such assets at their own discretion. </w:t>
      </w:r>
    </w:p>
    <w:p w14:paraId="7C3DA005" w14:textId="77777777" w:rsidR="003719CD" w:rsidRDefault="003719CD" w:rsidP="007D536F">
      <w:pPr>
        <w:rPr>
          <w:rStyle w:val="Guidance"/>
        </w:rPr>
      </w:pPr>
      <w:r w:rsidRPr="00435454">
        <w:rPr>
          <w:rStyle w:val="Guidance"/>
        </w:rPr>
        <w:t>Appropriations are amounts owed by the Victorian Government as legislated in the Appropriations Act. Due to the existence of a legislative instrument, the appropriation receivable to an entity is statutory in nature, and hence not in the scope of the financial instrument standards.</w:t>
      </w:r>
    </w:p>
    <w:p w14:paraId="6330C75E" w14:textId="483945A7" w:rsidR="003719CD" w:rsidRPr="00435454" w:rsidRDefault="003719CD" w:rsidP="003909CA">
      <w:pPr>
        <w:keepNext/>
        <w:rPr>
          <w:rStyle w:val="Guidance"/>
        </w:rPr>
      </w:pPr>
      <w:r w:rsidRPr="0019433F">
        <w:rPr>
          <w:rStyle w:val="Guidance"/>
          <w:b/>
          <w:bCs/>
        </w:rPr>
        <w:lastRenderedPageBreak/>
        <w:t>Amounts owing from</w:t>
      </w:r>
      <w:r w:rsidR="002633FD">
        <w:rPr>
          <w:rStyle w:val="Guidance"/>
          <w:b/>
          <w:bCs/>
        </w:rPr>
        <w:t xml:space="preserve"> the</w:t>
      </w:r>
      <w:r w:rsidRPr="0019433F">
        <w:rPr>
          <w:rStyle w:val="Guidance"/>
          <w:b/>
          <w:bCs/>
        </w:rPr>
        <w:t xml:space="preserve"> Victorian Government</w:t>
      </w:r>
      <w:r w:rsidRPr="00435454">
        <w:rPr>
          <w:rStyle w:val="Guidance"/>
        </w:rPr>
        <w:t xml:space="preserve">: </w:t>
      </w:r>
      <w:r w:rsidR="00306C96">
        <w:rPr>
          <w:rStyle w:val="Guidance"/>
        </w:rPr>
        <w:t>A</w:t>
      </w:r>
      <w:r w:rsidRPr="00435454">
        <w:rPr>
          <w:rStyle w:val="Guidance"/>
        </w:rPr>
        <w:t>n amount owing in the Department’s State Administration Unit (SAU) inter-entity account balance that relates to appropriations should be reported as a receivable classified as either current or non-current as appropriate, with the non-current portion (if any) measured on present value basis.</w:t>
      </w:r>
    </w:p>
    <w:p w14:paraId="615D3C2F" w14:textId="77777777" w:rsidR="003719CD" w:rsidRPr="00435454" w:rsidRDefault="003719CD" w:rsidP="007D536F">
      <w:pPr>
        <w:rPr>
          <w:rStyle w:val="Guidance"/>
        </w:rPr>
      </w:pPr>
      <w:r w:rsidRPr="00435454">
        <w:rPr>
          <w:rStyle w:val="Guidance"/>
        </w:rPr>
        <w:t>Components of SAU that relate to depreciation equivalent funding must also be allocated between current and non</w:t>
      </w:r>
      <w:r>
        <w:rPr>
          <w:rStyle w:val="Guidance"/>
        </w:rPr>
        <w:noBreakHyphen/>
      </w:r>
      <w:r w:rsidRPr="00435454">
        <w:rPr>
          <w:rStyle w:val="Guidance"/>
        </w:rPr>
        <w:t xml:space="preserve">current, with the non-current portion (if any) measured on present value basis. </w:t>
      </w:r>
    </w:p>
    <w:p w14:paraId="50DACB83" w14:textId="0466C59E" w:rsidR="003719CD" w:rsidRPr="00435454" w:rsidRDefault="003719CD" w:rsidP="007D536F">
      <w:pPr>
        <w:rPr>
          <w:rStyle w:val="Guidance"/>
        </w:rPr>
      </w:pPr>
      <w:r w:rsidRPr="00435454">
        <w:rPr>
          <w:rStyle w:val="Guidance"/>
        </w:rPr>
        <w:t>Components of the SAU that relate to the balance of surplus earned on the provision of outputs are deemed to be current unless the entity has made a firm decision to defer application of the surplus by more than 12 months from the end of the reporting period. In the latter case, an allocation must be made between current and non-current, with the non</w:t>
      </w:r>
      <w:r w:rsidR="00EF37B0">
        <w:rPr>
          <w:rStyle w:val="Guidance"/>
        </w:rPr>
        <w:noBreakHyphen/>
      </w:r>
      <w:r w:rsidRPr="00435454">
        <w:rPr>
          <w:rStyle w:val="Guidance"/>
        </w:rPr>
        <w:t>current portion measured on a present value basis, as appropriate.</w:t>
      </w:r>
    </w:p>
    <w:p w14:paraId="74BE44C4" w14:textId="77777777" w:rsidR="003719CD" w:rsidRPr="00435454" w:rsidRDefault="003719CD" w:rsidP="007D536F">
      <w:pPr>
        <w:rPr>
          <w:rStyle w:val="Guidance"/>
        </w:rPr>
      </w:pPr>
      <w:r w:rsidRPr="00435454">
        <w:rPr>
          <w:rStyle w:val="Guidance"/>
        </w:rPr>
        <w:t>Components of the SAU that relate to employee benefits must be allocated between current and non-current. Given the latter is based on employee benefit liabilities that are themselves measured on a present value basis, no further discounting or measurement adjustment is required.</w:t>
      </w:r>
    </w:p>
    <w:p w14:paraId="42610DC9" w14:textId="77777777" w:rsidR="003719CD" w:rsidRPr="00435454" w:rsidRDefault="003719CD" w:rsidP="007D536F">
      <w:pPr>
        <w:rPr>
          <w:rStyle w:val="Guidance"/>
        </w:rPr>
      </w:pPr>
      <w:r w:rsidRPr="00435454">
        <w:rPr>
          <w:rStyle w:val="Guidance"/>
        </w:rPr>
        <w:t>All other balances in the SAU are considered to be current, and so no measurement adjustment is required.</w:t>
      </w:r>
    </w:p>
    <w:p w14:paraId="205AB828" w14:textId="77777777" w:rsidR="003719CD" w:rsidRPr="00435454" w:rsidRDefault="003719CD" w:rsidP="007D536F">
      <w:pPr>
        <w:rPr>
          <w:rStyle w:val="Guidance"/>
        </w:rPr>
      </w:pPr>
      <w:r w:rsidRPr="00435454">
        <w:rPr>
          <w:rStyle w:val="Guidance"/>
        </w:rPr>
        <w:t>Receivables are subject to impairment loss assessment in accordance with AASB 9’s expected credit loss model and the impairment loss allowance is increased accordingly with the impairment expense recognised in the net result as an ‘other economic flow’. However, when it becomes mutually agreed between debtor and creditor that the receivable has become uncollectible, the carrying amount of the receivable needs to be reduced, and a bad debt expense for the write off recognised in the net result as a transaction. Accordingly, at the same time, the amount in the provision together with its related impairment expense initially recognised as an ‘other economic flow’ will need to be reversed.</w:t>
      </w:r>
    </w:p>
    <w:p w14:paraId="53578BBB" w14:textId="77777777" w:rsidR="003719CD" w:rsidRPr="00435454" w:rsidRDefault="003719CD" w:rsidP="007D536F">
      <w:pPr>
        <w:rPr>
          <w:rStyle w:val="Guidance"/>
        </w:rPr>
      </w:pPr>
      <w:r w:rsidRPr="00435454">
        <w:rPr>
          <w:rStyle w:val="Guidance"/>
        </w:rPr>
        <w:t>Where the bad debt is written off following a unilateral decision, the carrying amount of the receivable needs to be reduced, and a bad debt expense for the write off recognised in the net result as an ‘other economic flow’. Accordingly, at the same time, the amount in the provision together with its related impairment expense will need to be reversed.</w:t>
      </w:r>
    </w:p>
    <w:p w14:paraId="60985D6C" w14:textId="77777777" w:rsidR="003719CD" w:rsidRPr="00435454" w:rsidRDefault="003719CD" w:rsidP="007D536F">
      <w:pPr>
        <w:pStyle w:val="GuidanceHeading"/>
        <w:rPr>
          <w:rStyle w:val="Guidance"/>
        </w:rPr>
      </w:pPr>
      <w:r w:rsidRPr="00435454">
        <w:rPr>
          <w:rStyle w:val="Guidance"/>
        </w:rPr>
        <w:lastRenderedPageBreak/>
        <w:t>Derecognition of financial assets</w:t>
      </w:r>
    </w:p>
    <w:p w14:paraId="5044E5EE" w14:textId="6C2A4E5C" w:rsidR="003719CD" w:rsidRDefault="003719CD" w:rsidP="007D536F">
      <w:pPr>
        <w:keepNext/>
        <w:rPr>
          <w:rStyle w:val="Reference"/>
        </w:rPr>
      </w:pPr>
      <w:r w:rsidRPr="00435454">
        <w:rPr>
          <w:rStyle w:val="Guidance"/>
        </w:rPr>
        <w:t xml:space="preserve">The following flowchart (extract of AASB 9) illustrates the evaluation of whether and to what extent a financial asset is derecognised. </w:t>
      </w:r>
      <w:r w:rsidRPr="00BE319A">
        <w:rPr>
          <w:rStyle w:val="Reference"/>
        </w:rPr>
        <w:t>[Source: AASB 9</w:t>
      </w:r>
      <w:r w:rsidR="00690C53">
        <w:rPr>
          <w:rStyle w:val="Reference"/>
        </w:rPr>
        <w:t>.B3.2.1</w:t>
      </w:r>
      <w:r w:rsidRPr="00BE319A">
        <w:rPr>
          <w:rStyle w:val="Reference"/>
        </w:rPr>
        <w:t xml:space="preserve"> </w:t>
      </w:r>
      <w:r w:rsidR="00556817">
        <w:rPr>
          <w:rStyle w:val="Reference"/>
        </w:rPr>
        <w:t xml:space="preserve">Derecognition </w:t>
      </w:r>
      <w:r w:rsidR="00690C53">
        <w:rPr>
          <w:rStyle w:val="Reference"/>
        </w:rPr>
        <w:t>of financial assets</w:t>
      </w:r>
      <w:r w:rsidRPr="00BE319A">
        <w:rPr>
          <w:rStyle w:val="Reference"/>
        </w:rPr>
        <w:t xml:space="preserve"> (December 20</w:t>
      </w:r>
      <w:r w:rsidR="00687EF6">
        <w:rPr>
          <w:rStyle w:val="Reference"/>
        </w:rPr>
        <w:t>2</w:t>
      </w:r>
      <w:r w:rsidR="00423699">
        <w:rPr>
          <w:rStyle w:val="Reference"/>
        </w:rPr>
        <w:t>1</w:t>
      </w:r>
      <w:r w:rsidRPr="00BE319A">
        <w:rPr>
          <w:rStyle w:val="Reference"/>
        </w:rPr>
        <w:t>]</w:t>
      </w:r>
    </w:p>
    <w:p w14:paraId="59B5F3EF" w14:textId="766F7F86" w:rsidR="0068246B" w:rsidRDefault="00314FB8" w:rsidP="007D536F">
      <w:pPr>
        <w:keepNext/>
        <w:rPr>
          <w:rStyle w:val="Reference"/>
        </w:rPr>
      </w:pPr>
      <w:r>
        <w:rPr>
          <w:noProof/>
        </w:rPr>
        <w:drawing>
          <wp:inline distT="0" distB="0" distL="0" distR="0" wp14:anchorId="2E7C2E41" wp14:editId="34A97CCF">
            <wp:extent cx="4652467" cy="6376566"/>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56119" cy="6381572"/>
                    </a:xfrm>
                    <a:prstGeom prst="rect">
                      <a:avLst/>
                    </a:prstGeom>
                  </pic:spPr>
                </pic:pic>
              </a:graphicData>
            </a:graphic>
          </wp:inline>
        </w:drawing>
      </w:r>
    </w:p>
    <w:p w14:paraId="6D0621D1" w14:textId="77777777" w:rsidR="003719CD" w:rsidRPr="00435454" w:rsidRDefault="003719CD" w:rsidP="007D536F">
      <w:pPr>
        <w:pStyle w:val="GuidanceHeading"/>
        <w:rPr>
          <w:rStyle w:val="Guidance"/>
        </w:rPr>
      </w:pPr>
      <w:r w:rsidRPr="00435454">
        <w:rPr>
          <w:rStyle w:val="Guidance"/>
        </w:rPr>
        <w:t xml:space="preserve">Disclosures for transferred assets that are not derecognised in entirety </w:t>
      </w:r>
      <w:r w:rsidRPr="004C3055">
        <w:rPr>
          <w:rStyle w:val="Reference"/>
        </w:rPr>
        <w:t>[AASB 7.42D]</w:t>
      </w:r>
    </w:p>
    <w:p w14:paraId="1F4C33DB" w14:textId="6D2E9364" w:rsidR="003719CD" w:rsidRPr="00435454" w:rsidRDefault="003719CD" w:rsidP="007D536F">
      <w:pPr>
        <w:rPr>
          <w:rStyle w:val="Guidance"/>
        </w:rPr>
      </w:pPr>
      <w:bookmarkStart w:id="80" w:name="_Hlk129771009"/>
      <w:r w:rsidRPr="00435454">
        <w:rPr>
          <w:rStyle w:val="Guidance"/>
        </w:rPr>
        <w:t>An entity may have transferred financial assets in such a way that part or all of the financial assets do not qualify for derecognition. The entity shall disclose</w:t>
      </w:r>
      <w:r w:rsidR="00423699">
        <w:rPr>
          <w:rStyle w:val="Guidance"/>
        </w:rPr>
        <w:t xml:space="preserve"> at each reporting date</w:t>
      </w:r>
      <w:r w:rsidRPr="00435454">
        <w:rPr>
          <w:rStyle w:val="Guidance"/>
        </w:rPr>
        <w:t xml:space="preserve"> for each class of transferred financial assets that are not derecognised in their entirety:</w:t>
      </w:r>
    </w:p>
    <w:p w14:paraId="496E25CF" w14:textId="46C8DDC9" w:rsidR="003719CD" w:rsidRPr="00435454" w:rsidRDefault="003719CD" w:rsidP="00310F12">
      <w:pPr>
        <w:pStyle w:val="ListBullet"/>
        <w:rPr>
          <w:rStyle w:val="Guidance"/>
        </w:rPr>
      </w:pPr>
      <w:r w:rsidRPr="00435454">
        <w:rPr>
          <w:rStyle w:val="Guidance"/>
        </w:rPr>
        <w:t xml:space="preserve">the nature of the </w:t>
      </w:r>
      <w:r w:rsidR="000B239D">
        <w:rPr>
          <w:rStyle w:val="Guidance"/>
        </w:rPr>
        <w:t xml:space="preserve">transferred </w:t>
      </w:r>
      <w:r w:rsidRPr="00435454">
        <w:rPr>
          <w:rStyle w:val="Guidance"/>
        </w:rPr>
        <w:t>assets</w:t>
      </w:r>
    </w:p>
    <w:p w14:paraId="21AD5A75" w14:textId="2E425EFA" w:rsidR="003719CD" w:rsidRPr="00435454" w:rsidRDefault="003719CD" w:rsidP="00310F12">
      <w:pPr>
        <w:pStyle w:val="ListBullet"/>
        <w:rPr>
          <w:rStyle w:val="Guidance"/>
        </w:rPr>
      </w:pPr>
      <w:r w:rsidRPr="00435454">
        <w:rPr>
          <w:rStyle w:val="Guidance"/>
        </w:rPr>
        <w:t>the nature of the risks and rewards of ownership to which the entity is exposed</w:t>
      </w:r>
    </w:p>
    <w:p w14:paraId="6EF8446A" w14:textId="77777777" w:rsidR="00423699" w:rsidRDefault="00423699" w:rsidP="00310F12">
      <w:pPr>
        <w:pStyle w:val="ListBullet"/>
        <w:rPr>
          <w:rStyle w:val="Guidance"/>
        </w:rPr>
      </w:pPr>
      <w:r w:rsidRPr="00423699">
        <w:rPr>
          <w:rStyle w:val="Guidance"/>
        </w:rPr>
        <w:t>a description of the nature of the relationship between the transferred assets and the associated liabilities, including restrictions arising from the transfer on the reporting entity’s use of the transferred assets</w:t>
      </w:r>
    </w:p>
    <w:p w14:paraId="04B14588" w14:textId="1C59F28E" w:rsidR="003719CD" w:rsidRPr="00435454" w:rsidRDefault="00D01110" w:rsidP="00310F12">
      <w:pPr>
        <w:pStyle w:val="ListBullet"/>
        <w:rPr>
          <w:rStyle w:val="Guidance"/>
        </w:rPr>
      </w:pPr>
      <w:r w:rsidRPr="00D01110">
        <w:rPr>
          <w:rStyle w:val="Guidance"/>
        </w:rPr>
        <w:t>when the counterparty (counterparties) to the associated liabilities has (have) recourse only to the transferred assets, a schedule that sets out the fair value of the transferred assets, the fair value of the associated liabilities and the net position (the difference between the fair value of the transferred assets and the associated liabilities)</w:t>
      </w:r>
    </w:p>
    <w:p w14:paraId="39DFC7F8" w14:textId="19F38C12" w:rsidR="00D01110" w:rsidRPr="00435454" w:rsidRDefault="00D01110" w:rsidP="00310F12">
      <w:pPr>
        <w:pStyle w:val="ListBullet"/>
        <w:rPr>
          <w:rStyle w:val="Guidance"/>
        </w:rPr>
      </w:pPr>
      <w:r w:rsidRPr="00D01110">
        <w:rPr>
          <w:rStyle w:val="Guidance"/>
        </w:rPr>
        <w:lastRenderedPageBreak/>
        <w:t>when the entity continues to recognise all of the transferred assets, the carrying amounts of the transferred assets and the associated liabilities</w:t>
      </w:r>
    </w:p>
    <w:p w14:paraId="58483F25" w14:textId="77777777" w:rsidR="00D01110" w:rsidRDefault="00D01110" w:rsidP="00310F12">
      <w:pPr>
        <w:pStyle w:val="ListBullet"/>
        <w:rPr>
          <w:rStyle w:val="Guidance"/>
        </w:rPr>
      </w:pPr>
      <w:r w:rsidRPr="00D01110">
        <w:rPr>
          <w:rStyle w:val="Guidance"/>
        </w:rPr>
        <w:t>when the entity continues to recognise the assets to the extent of its continuing involvement (see paragraphs 3.2.6(c)(ii) and 3.2.16 of AASB 9), the total carrying amount of the original assets before the transfer, the carrying amount of the assets that the entity continues to recognise, and the carrying amount of the associated liabilities.</w:t>
      </w:r>
    </w:p>
    <w:p w14:paraId="11E8BA43" w14:textId="307D484C" w:rsidR="003719CD" w:rsidRPr="00435454" w:rsidRDefault="00D01110" w:rsidP="00EE78AC">
      <w:pPr>
        <w:pStyle w:val="ListBullet"/>
        <w:rPr>
          <w:rStyle w:val="Guidance"/>
        </w:rPr>
      </w:pPr>
      <w:r w:rsidRPr="00D01110">
        <w:rPr>
          <w:rStyle w:val="Guidance"/>
        </w:rPr>
        <w:t>An entity shall disclose an analysis of the gain or loss recognised in the statement of comprehensive income arising from the derecognition of financial assets measured at amortised cost, showing separately gains and losses arising from derecognition of those financial assets. This disclosure shall include the reasons for derecognising those financial assets</w:t>
      </w:r>
      <w:r w:rsidR="008114DA">
        <w:rPr>
          <w:rStyle w:val="Guidance"/>
        </w:rPr>
        <w:t>.</w:t>
      </w:r>
      <w:r w:rsidR="003719CD" w:rsidRPr="00435454">
        <w:rPr>
          <w:rStyle w:val="Guidance"/>
        </w:rPr>
        <w:t xml:space="preserve"> </w:t>
      </w:r>
      <w:r w:rsidR="003719CD" w:rsidRPr="00D26F16">
        <w:rPr>
          <w:rStyle w:val="Reference"/>
        </w:rPr>
        <w:t>[AASB 7.20A]</w:t>
      </w:r>
    </w:p>
    <w:bookmarkEnd w:id="80"/>
    <w:p w14:paraId="283E4EB2" w14:textId="77777777" w:rsidR="003719CD" w:rsidRPr="00435454" w:rsidRDefault="003719CD" w:rsidP="007D536F">
      <w:pPr>
        <w:pStyle w:val="GuidanceHeading"/>
        <w:rPr>
          <w:rStyle w:val="Guidance"/>
        </w:rPr>
      </w:pPr>
      <w:r w:rsidRPr="00435454">
        <w:rPr>
          <w:rStyle w:val="Guidance"/>
        </w:rPr>
        <w:t>Disclosure of Contract Balances</w:t>
      </w:r>
    </w:p>
    <w:p w14:paraId="795DB889" w14:textId="77777777" w:rsidR="003719CD" w:rsidRPr="00435454" w:rsidRDefault="003719CD" w:rsidP="007D536F">
      <w:pPr>
        <w:rPr>
          <w:rStyle w:val="Guidance"/>
        </w:rPr>
      </w:pPr>
      <w:r w:rsidRPr="00435454">
        <w:rPr>
          <w:rStyle w:val="Guidance"/>
        </w:rPr>
        <w:t>AASB 15 requires disclosure of the following in respect of revenue from contracts with customers:</w:t>
      </w:r>
    </w:p>
    <w:p w14:paraId="1B7D509D" w14:textId="4CA46A3F" w:rsidR="003719CD" w:rsidRPr="00435454" w:rsidRDefault="00EF37B0" w:rsidP="00432865">
      <w:pPr>
        <w:pStyle w:val="ListBullet"/>
        <w:rPr>
          <w:rStyle w:val="Guidance"/>
        </w:rPr>
      </w:pPr>
      <w:r>
        <w:rPr>
          <w:rStyle w:val="Guidance"/>
        </w:rPr>
        <w:t>c</w:t>
      </w:r>
      <w:r w:rsidR="003719CD" w:rsidRPr="00435454">
        <w:rPr>
          <w:rStyle w:val="Guidance"/>
        </w:rPr>
        <w:t>ontract balances</w:t>
      </w:r>
    </w:p>
    <w:p w14:paraId="318A5FCB" w14:textId="67BEDFEB" w:rsidR="003719CD" w:rsidRPr="00435454" w:rsidRDefault="00EF37B0" w:rsidP="00432865">
      <w:pPr>
        <w:pStyle w:val="ListBullet"/>
        <w:rPr>
          <w:rStyle w:val="Guidance"/>
        </w:rPr>
      </w:pPr>
      <w:r>
        <w:rPr>
          <w:rStyle w:val="Guidance"/>
        </w:rPr>
        <w:t>i</w:t>
      </w:r>
      <w:r w:rsidR="003719CD" w:rsidRPr="00435454">
        <w:rPr>
          <w:rStyle w:val="Guidance"/>
        </w:rPr>
        <w:t xml:space="preserve">nformation on how it satisfies its performance obligations </w:t>
      </w:r>
    </w:p>
    <w:p w14:paraId="2489B089" w14:textId="63E0D01E" w:rsidR="003719CD" w:rsidRPr="00435454" w:rsidRDefault="009A5A8F" w:rsidP="00432865">
      <w:pPr>
        <w:pStyle w:val="ListBullet"/>
        <w:rPr>
          <w:rStyle w:val="Guidance"/>
        </w:rPr>
      </w:pPr>
      <w:r>
        <w:rPr>
          <w:rStyle w:val="Guidance"/>
        </w:rPr>
        <w:t>s</w:t>
      </w:r>
      <w:r w:rsidR="003719CD" w:rsidRPr="00435454">
        <w:rPr>
          <w:rStyle w:val="Guidance"/>
        </w:rPr>
        <w:t>ignificant payment terms</w:t>
      </w:r>
    </w:p>
    <w:p w14:paraId="51463DAD" w14:textId="199F0091" w:rsidR="003719CD" w:rsidRPr="00435454" w:rsidRDefault="009A5A8F" w:rsidP="00432865">
      <w:pPr>
        <w:pStyle w:val="ListBullet"/>
        <w:rPr>
          <w:rStyle w:val="Guidance"/>
        </w:rPr>
      </w:pPr>
      <w:r>
        <w:rPr>
          <w:rStyle w:val="Guidance"/>
        </w:rPr>
        <w:t>the n</w:t>
      </w:r>
      <w:r w:rsidR="003719CD" w:rsidRPr="00435454">
        <w:rPr>
          <w:rStyle w:val="Guidance"/>
        </w:rPr>
        <w:t xml:space="preserve">ature of the goods or services that the entity has promised to transfer, highlighting any performance obligations to arrange for another party to transfer goods or services (i.e. if the entity is acting as an agent) </w:t>
      </w:r>
    </w:p>
    <w:p w14:paraId="0EB901BF" w14:textId="0C491D5A" w:rsidR="003719CD" w:rsidRDefault="009A5A8F" w:rsidP="00432865">
      <w:pPr>
        <w:pStyle w:val="ListBullet"/>
        <w:rPr>
          <w:rStyle w:val="Guidance"/>
        </w:rPr>
      </w:pPr>
      <w:r>
        <w:rPr>
          <w:rStyle w:val="Guidance"/>
        </w:rPr>
        <w:t>o</w:t>
      </w:r>
      <w:r w:rsidR="003719CD" w:rsidRPr="00435454">
        <w:rPr>
          <w:rStyle w:val="Guidance"/>
        </w:rPr>
        <w:t>bligations for returns, refunds and other similar obligations</w:t>
      </w:r>
    </w:p>
    <w:p w14:paraId="6BF7BC77" w14:textId="7B5C86D0" w:rsidR="00EE78AC" w:rsidRPr="00435454" w:rsidRDefault="00EE78AC" w:rsidP="00432865">
      <w:pPr>
        <w:pStyle w:val="ListBullet"/>
        <w:rPr>
          <w:rStyle w:val="Guidance"/>
        </w:rPr>
      </w:pPr>
      <w:r w:rsidRPr="00EE78AC">
        <w:rPr>
          <w:rStyle w:val="Guidance"/>
        </w:rPr>
        <w:t>the types of warranties and related obligations.</w:t>
      </w:r>
    </w:p>
    <w:p w14:paraId="3DBD4E19" w14:textId="0EB40FEA" w:rsidR="00BC025E" w:rsidRPr="006F738A" w:rsidRDefault="003719CD" w:rsidP="007D536F">
      <w:pPr>
        <w:keepNext/>
        <w:rPr>
          <w:rStyle w:val="Guidance"/>
          <w:b/>
        </w:rPr>
      </w:pPr>
      <w:r w:rsidRPr="006F738A">
        <w:rPr>
          <w:rStyle w:val="Guidance"/>
          <w:b/>
        </w:rPr>
        <w:t>Transaction price allocated to the remaining performance obligations</w:t>
      </w:r>
      <w:r w:rsidR="009A5A8F">
        <w:rPr>
          <w:rStyle w:val="Guidance"/>
          <w:b/>
          <w:bCs/>
        </w:rPr>
        <w:t xml:space="preserve"> </w:t>
      </w:r>
    </w:p>
    <w:p w14:paraId="0D3174E1" w14:textId="1E5BA5BE" w:rsidR="00BC025E" w:rsidRPr="00435454" w:rsidRDefault="00306C96" w:rsidP="00432865">
      <w:pPr>
        <w:pStyle w:val="ListBullet"/>
        <w:rPr>
          <w:rStyle w:val="Guidance"/>
        </w:rPr>
      </w:pPr>
      <w:r>
        <w:rPr>
          <w:rStyle w:val="Guidance"/>
        </w:rPr>
        <w:t>A</w:t>
      </w:r>
      <w:r w:rsidR="003719CD" w:rsidRPr="00435454">
        <w:rPr>
          <w:rStyle w:val="Guidance"/>
        </w:rPr>
        <w:t>ggregate amount of the transaction price allocated to performance obligations that are unsatisfied (or partially unsatisfied) at the end of the reporting period, and an explanation of when the entity expects to recognise the unsatisfied portion as revenue.</w:t>
      </w:r>
      <w:r w:rsidR="00017059">
        <w:rPr>
          <w:rStyle w:val="Guidance"/>
        </w:rPr>
        <w:t xml:space="preserve"> </w:t>
      </w:r>
    </w:p>
    <w:p w14:paraId="020DBE8D" w14:textId="0B4E9E97" w:rsidR="00115D0F" w:rsidRPr="00435454" w:rsidRDefault="003719CD" w:rsidP="000C6329">
      <w:pPr>
        <w:pStyle w:val="ListBullet2"/>
        <w:tabs>
          <w:tab w:val="clear" w:pos="568"/>
        </w:tabs>
        <w:ind w:left="426" w:firstLine="0"/>
        <w:rPr>
          <w:rStyle w:val="Guidance"/>
        </w:rPr>
      </w:pPr>
      <w:r w:rsidRPr="00435454">
        <w:rPr>
          <w:rStyle w:val="Guidance"/>
        </w:rPr>
        <w:t xml:space="preserve">This should not include those where original contract term is one year or less; or the entity is using the practical expedient in AASB 15.B16, where the right to consideration responds directly to the performance completed to date </w:t>
      </w:r>
    </w:p>
    <w:p w14:paraId="1B121764" w14:textId="22B6264B" w:rsidR="00115D0F" w:rsidRPr="00435454" w:rsidRDefault="003719CD" w:rsidP="000C6329">
      <w:pPr>
        <w:pStyle w:val="ListBullet2"/>
        <w:tabs>
          <w:tab w:val="clear" w:pos="568"/>
        </w:tabs>
        <w:ind w:left="426" w:firstLine="0"/>
        <w:rPr>
          <w:rStyle w:val="Guidance"/>
        </w:rPr>
      </w:pPr>
      <w:r w:rsidRPr="00435454">
        <w:rPr>
          <w:rStyle w:val="Guidance"/>
        </w:rPr>
        <w:t>This is not required for all reporting periods presented before the date of initial application</w:t>
      </w:r>
      <w:r w:rsidR="00AC60E6">
        <w:rPr>
          <w:rStyle w:val="Guidance"/>
        </w:rPr>
        <w:t xml:space="preserve">. </w:t>
      </w:r>
    </w:p>
    <w:p w14:paraId="070C71FC" w14:textId="77777777" w:rsidR="003719CD" w:rsidRPr="00435454" w:rsidRDefault="003719CD" w:rsidP="00432865">
      <w:pPr>
        <w:pStyle w:val="ListBullet"/>
        <w:rPr>
          <w:rStyle w:val="Guidance"/>
        </w:rPr>
      </w:pPr>
      <w:r w:rsidRPr="00435454">
        <w:rPr>
          <w:rStyle w:val="Guidance"/>
        </w:rPr>
        <w:t>Whether applying the practical expedient in AASB 15.121 and whether any consideration from contracts with customers is not included in the transaction price and, therefore, not included in the information disclosed in accordance with AASB</w:t>
      </w:r>
      <w:r>
        <w:rPr>
          <w:rStyle w:val="Guidance"/>
        </w:rPr>
        <w:t> </w:t>
      </w:r>
      <w:r w:rsidRPr="00435454">
        <w:rPr>
          <w:rStyle w:val="Guidance"/>
        </w:rPr>
        <w:t>15.120.</w:t>
      </w:r>
    </w:p>
    <w:p w14:paraId="23A41A85" w14:textId="77777777" w:rsidR="00B9411E" w:rsidRPr="00B9411E" w:rsidRDefault="003719CD" w:rsidP="00B9411E">
      <w:pPr>
        <w:rPr>
          <w:rStyle w:val="Guidance"/>
        </w:rPr>
      </w:pPr>
      <w:r w:rsidRPr="006F738A">
        <w:rPr>
          <w:rStyle w:val="Guidance"/>
          <w:b/>
        </w:rPr>
        <w:t xml:space="preserve">Significant judgements </w:t>
      </w:r>
    </w:p>
    <w:p w14:paraId="001DC8DA" w14:textId="1CB3C4EF" w:rsidR="003719CD" w:rsidRPr="00435454" w:rsidRDefault="00306C96" w:rsidP="00432865">
      <w:pPr>
        <w:pStyle w:val="ListBullet"/>
        <w:rPr>
          <w:rStyle w:val="Guidance"/>
        </w:rPr>
      </w:pPr>
      <w:r>
        <w:rPr>
          <w:rStyle w:val="Guidance"/>
        </w:rPr>
        <w:t>J</w:t>
      </w:r>
      <w:r w:rsidR="003719CD" w:rsidRPr="00435454">
        <w:rPr>
          <w:rStyle w:val="Guidance"/>
        </w:rPr>
        <w:t>udgements, and changes in judgements, in applying AASB 15 that significantly affect the determination of the amount and timing of revenue from contracts with customers. In particular</w:t>
      </w:r>
      <w:r w:rsidR="0087786B">
        <w:rPr>
          <w:rStyle w:val="Guidance"/>
        </w:rPr>
        <w:t xml:space="preserve"> </w:t>
      </w:r>
      <w:r w:rsidR="003719CD" w:rsidRPr="00435454">
        <w:rPr>
          <w:rStyle w:val="Guidance"/>
        </w:rPr>
        <w:t>the timing of satisfaction of performance obligations and the transaction price and the amounts allocated to performance obligations</w:t>
      </w:r>
      <w:r w:rsidR="007C037E">
        <w:rPr>
          <w:rStyle w:val="Guidance"/>
        </w:rPr>
        <w:t>.</w:t>
      </w:r>
    </w:p>
    <w:p w14:paraId="11AF1194" w14:textId="3FAB1939" w:rsidR="003719CD" w:rsidRPr="00435454" w:rsidRDefault="007C037E" w:rsidP="00432865">
      <w:pPr>
        <w:pStyle w:val="ListBullet"/>
        <w:rPr>
          <w:rStyle w:val="Guidance"/>
        </w:rPr>
      </w:pPr>
      <w:r>
        <w:rPr>
          <w:rStyle w:val="Guidance"/>
        </w:rPr>
        <w:t>M</w:t>
      </w:r>
      <w:r w:rsidRPr="00435454">
        <w:rPr>
          <w:rStyle w:val="Guidance"/>
        </w:rPr>
        <w:t xml:space="preserve">ethods </w:t>
      </w:r>
      <w:r w:rsidR="003719CD" w:rsidRPr="00435454">
        <w:rPr>
          <w:rStyle w:val="Guidance"/>
        </w:rPr>
        <w:t>used to recognise revenue from performance obligations satisfied over time, and an explanation of why the methods used provide a faithful depiction of the transfer of goods or services</w:t>
      </w:r>
      <w:r>
        <w:rPr>
          <w:rStyle w:val="Guidance"/>
        </w:rPr>
        <w:t>.</w:t>
      </w:r>
    </w:p>
    <w:p w14:paraId="04420358" w14:textId="48531CF5" w:rsidR="003719CD" w:rsidRPr="00435454" w:rsidRDefault="007C037E" w:rsidP="00432865">
      <w:pPr>
        <w:pStyle w:val="ListBullet"/>
        <w:rPr>
          <w:rStyle w:val="Guidance"/>
        </w:rPr>
      </w:pPr>
      <w:r>
        <w:rPr>
          <w:rStyle w:val="Guidance"/>
        </w:rPr>
        <w:t>S</w:t>
      </w:r>
      <w:r w:rsidRPr="00435454">
        <w:rPr>
          <w:rStyle w:val="Guidance"/>
        </w:rPr>
        <w:t xml:space="preserve">ignificant </w:t>
      </w:r>
      <w:r w:rsidR="003719CD" w:rsidRPr="00435454">
        <w:rPr>
          <w:rStyle w:val="Guidance"/>
        </w:rPr>
        <w:t>judgements made in evaluating when a customer obtains control of promised goods or services for performance obligations satisfied at a point in time</w:t>
      </w:r>
      <w:r>
        <w:rPr>
          <w:rStyle w:val="Guidance"/>
        </w:rPr>
        <w:t>.</w:t>
      </w:r>
    </w:p>
    <w:p w14:paraId="73870360" w14:textId="6F6E1198" w:rsidR="003719CD" w:rsidRPr="00435454" w:rsidRDefault="007C037E" w:rsidP="00432865">
      <w:pPr>
        <w:pStyle w:val="ListBullet"/>
        <w:rPr>
          <w:rStyle w:val="Guidance"/>
        </w:rPr>
      </w:pPr>
      <w:r>
        <w:rPr>
          <w:rStyle w:val="Guidance"/>
        </w:rPr>
        <w:t>I</w:t>
      </w:r>
      <w:r w:rsidRPr="00435454">
        <w:rPr>
          <w:rStyle w:val="Guidance"/>
        </w:rPr>
        <w:t xml:space="preserve">nformation </w:t>
      </w:r>
      <w:r w:rsidR="003719CD" w:rsidRPr="00435454">
        <w:rPr>
          <w:rStyle w:val="Guidance"/>
        </w:rPr>
        <w:t>about the methods, inputs and assumptions used for determining the transaction price, assessing whether an estimate of variable consideration is constrained, allocating the transaction price, measuring obligations for returns, refunds and other similar obligations</w:t>
      </w:r>
      <w:r>
        <w:rPr>
          <w:rStyle w:val="Guidance"/>
        </w:rPr>
        <w:t>.</w:t>
      </w:r>
    </w:p>
    <w:p w14:paraId="1D9981AB" w14:textId="54DD2D6F" w:rsidR="003719CD" w:rsidRPr="00435454" w:rsidRDefault="007C037E" w:rsidP="00432865">
      <w:pPr>
        <w:pStyle w:val="ListBullet"/>
        <w:rPr>
          <w:rStyle w:val="Guidance"/>
        </w:rPr>
      </w:pPr>
      <w:r>
        <w:rPr>
          <w:rStyle w:val="Guidance"/>
        </w:rPr>
        <w:t>J</w:t>
      </w:r>
      <w:r w:rsidRPr="00435454">
        <w:rPr>
          <w:rStyle w:val="Guidance"/>
        </w:rPr>
        <w:t xml:space="preserve">udgements </w:t>
      </w:r>
      <w:r w:rsidR="003719CD" w:rsidRPr="00435454">
        <w:rPr>
          <w:rStyle w:val="Guidance"/>
        </w:rPr>
        <w:t>in determining the amount of the costs incurred to obtain or fulfil a contract with a customer, and the method it uses to determine the amortisation</w:t>
      </w:r>
      <w:r>
        <w:rPr>
          <w:rStyle w:val="Guidance"/>
        </w:rPr>
        <w:t>.</w:t>
      </w:r>
    </w:p>
    <w:p w14:paraId="25102DE7" w14:textId="4C0B706D" w:rsidR="003719CD" w:rsidRPr="00435454" w:rsidRDefault="007C037E" w:rsidP="00432865">
      <w:pPr>
        <w:pStyle w:val="ListBullet"/>
        <w:rPr>
          <w:rStyle w:val="Guidance"/>
        </w:rPr>
      </w:pPr>
      <w:r>
        <w:rPr>
          <w:rStyle w:val="Guidance"/>
        </w:rPr>
        <w:t>C</w:t>
      </w:r>
      <w:r w:rsidRPr="00435454">
        <w:rPr>
          <w:rStyle w:val="Guidance"/>
        </w:rPr>
        <w:t xml:space="preserve">losing </w:t>
      </w:r>
      <w:r w:rsidR="003719CD" w:rsidRPr="00435454">
        <w:rPr>
          <w:rStyle w:val="Guidance"/>
        </w:rPr>
        <w:t>balances of assets recognised from the costs incurred to obtain or fulfil a contract with a customer, by main categories of assets, and the amount of amortisation and any impairment losses recognised in the reporting period</w:t>
      </w:r>
      <w:r>
        <w:rPr>
          <w:rStyle w:val="Guidance"/>
        </w:rPr>
        <w:t>.</w:t>
      </w:r>
    </w:p>
    <w:p w14:paraId="78BDB3E8" w14:textId="360D9706" w:rsidR="003719CD" w:rsidRPr="00435454" w:rsidRDefault="007C037E" w:rsidP="00432865">
      <w:pPr>
        <w:pStyle w:val="ListBullet"/>
        <w:rPr>
          <w:rStyle w:val="Guidance"/>
        </w:rPr>
      </w:pPr>
      <w:r>
        <w:rPr>
          <w:rStyle w:val="Guidance"/>
        </w:rPr>
        <w:t>T</w:t>
      </w:r>
      <w:r w:rsidRPr="00435454">
        <w:rPr>
          <w:rStyle w:val="Guidance"/>
        </w:rPr>
        <w:t xml:space="preserve">he </w:t>
      </w:r>
      <w:r w:rsidR="003719CD" w:rsidRPr="00435454">
        <w:rPr>
          <w:rStyle w:val="Guidance"/>
        </w:rPr>
        <w:t>fact the entity elected to use the following practical expedients: existence of a significant financing component for contracts of one year or less (AASB 15.63); and/or directly expensing incremental costs of obtaining a contract.</w:t>
      </w:r>
    </w:p>
    <w:p w14:paraId="060979C0" w14:textId="77777777" w:rsidR="00B9411E" w:rsidRDefault="00B9411E">
      <w:pPr>
        <w:keepLines w:val="0"/>
        <w:rPr>
          <w:rStyle w:val="Guidance"/>
          <w:b/>
        </w:rPr>
      </w:pPr>
      <w:r>
        <w:rPr>
          <w:rStyle w:val="Guidance"/>
          <w:b/>
        </w:rPr>
        <w:br w:type="page"/>
      </w:r>
    </w:p>
    <w:p w14:paraId="21136249" w14:textId="16A9AAC8" w:rsidR="00B9411E" w:rsidRDefault="003719CD" w:rsidP="006F738A">
      <w:pPr>
        <w:keepNext/>
        <w:rPr>
          <w:rStyle w:val="Guidance"/>
          <w:b/>
        </w:rPr>
      </w:pPr>
      <w:r w:rsidRPr="006F738A">
        <w:rPr>
          <w:rStyle w:val="Guidance"/>
          <w:b/>
        </w:rPr>
        <w:lastRenderedPageBreak/>
        <w:t>Contract assets and contract liabilities</w:t>
      </w:r>
    </w:p>
    <w:p w14:paraId="2F1E2132" w14:textId="14B93AD9" w:rsidR="003719CD" w:rsidRPr="00435454" w:rsidRDefault="00306C96" w:rsidP="006F738A">
      <w:pPr>
        <w:keepNext/>
        <w:rPr>
          <w:rStyle w:val="Guidance"/>
        </w:rPr>
      </w:pPr>
      <w:r>
        <w:rPr>
          <w:rStyle w:val="Guidance"/>
        </w:rPr>
        <w:t>A</w:t>
      </w:r>
      <w:r w:rsidR="003719CD" w:rsidRPr="00435454">
        <w:rPr>
          <w:rStyle w:val="Guidance"/>
        </w:rPr>
        <w:t xml:space="preserve"> contract asset is an entity’s right to consideration in exchange for goods or services that the entity has transferred to a customer. The contract asset excludes receivables from contracts with customers. </w:t>
      </w:r>
      <w:r w:rsidR="003719CD" w:rsidRPr="003913A2">
        <w:rPr>
          <w:rStyle w:val="Reference"/>
        </w:rPr>
        <w:t>[AASB 15.105]</w:t>
      </w:r>
    </w:p>
    <w:p w14:paraId="31EC4FE9" w14:textId="77777777" w:rsidR="003719CD" w:rsidRPr="00435454" w:rsidRDefault="003719CD" w:rsidP="007D536F">
      <w:pPr>
        <w:rPr>
          <w:rStyle w:val="Guidance"/>
        </w:rPr>
      </w:pPr>
      <w:r w:rsidRPr="00435454">
        <w:rPr>
          <w:rStyle w:val="Guidance"/>
        </w:rPr>
        <w:t xml:space="preserve">An entity shall assess a contract asset for impairment in accordance with AASB 9. </w:t>
      </w:r>
      <w:r w:rsidRPr="003913A2">
        <w:rPr>
          <w:rStyle w:val="Reference"/>
        </w:rPr>
        <w:t>[AASB 15.107]</w:t>
      </w:r>
    </w:p>
    <w:p w14:paraId="51C261D4" w14:textId="77777777" w:rsidR="003719CD" w:rsidRPr="00435454" w:rsidRDefault="003719CD" w:rsidP="007D536F">
      <w:pPr>
        <w:rPr>
          <w:rStyle w:val="Guidance"/>
        </w:rPr>
      </w:pPr>
      <w:r w:rsidRPr="00435454">
        <w:rPr>
          <w:rStyle w:val="Guidance"/>
        </w:rPr>
        <w:t xml:space="preserve">A contract liability is an entity’s obligation to transfer goods or services to a customer for which the entity has received consideration (or an amount of consideration is due) from the customer. </w:t>
      </w:r>
      <w:r w:rsidRPr="003913A2">
        <w:rPr>
          <w:rStyle w:val="Reference"/>
        </w:rPr>
        <w:t>[AASB 15.105]</w:t>
      </w:r>
    </w:p>
    <w:p w14:paraId="292FE718" w14:textId="77777777" w:rsidR="003719CD" w:rsidRPr="00435454" w:rsidRDefault="003719CD" w:rsidP="007D536F">
      <w:pPr>
        <w:rPr>
          <w:rStyle w:val="Guidance"/>
        </w:rPr>
      </w:pPr>
      <w:r w:rsidRPr="00435454">
        <w:rPr>
          <w:rStyle w:val="Guidance"/>
        </w:rPr>
        <w:t xml:space="preserve">The following must be disclosed separately: </w:t>
      </w:r>
    </w:p>
    <w:p w14:paraId="2DC15ED5" w14:textId="6D01CBEB" w:rsidR="003719CD" w:rsidRPr="00435454" w:rsidRDefault="00453621" w:rsidP="00367D84">
      <w:pPr>
        <w:pStyle w:val="ListBullet"/>
        <w:numPr>
          <w:ilvl w:val="0"/>
          <w:numId w:val="47"/>
        </w:numPr>
        <w:ind w:left="426"/>
        <w:rPr>
          <w:rStyle w:val="Guidance"/>
        </w:rPr>
      </w:pPr>
      <w:r>
        <w:rPr>
          <w:rStyle w:val="Guidance"/>
        </w:rPr>
        <w:t>r</w:t>
      </w:r>
      <w:r w:rsidR="003719CD" w:rsidRPr="00435454">
        <w:rPr>
          <w:rStyle w:val="Guidance"/>
        </w:rPr>
        <w:t xml:space="preserve">eceivables </w:t>
      </w:r>
    </w:p>
    <w:p w14:paraId="6E5FE66C" w14:textId="78F8F526" w:rsidR="003719CD" w:rsidRPr="000475C7" w:rsidRDefault="00453621" w:rsidP="00367D84">
      <w:pPr>
        <w:pStyle w:val="ListBullet"/>
        <w:numPr>
          <w:ilvl w:val="0"/>
          <w:numId w:val="47"/>
        </w:numPr>
        <w:ind w:left="426"/>
        <w:rPr>
          <w:rStyle w:val="Guidance"/>
        </w:rPr>
      </w:pPr>
      <w:r w:rsidRPr="000475C7">
        <w:rPr>
          <w:rStyle w:val="Guidance"/>
        </w:rPr>
        <w:t>c</w:t>
      </w:r>
      <w:r w:rsidR="003719CD" w:rsidRPr="000475C7">
        <w:rPr>
          <w:rStyle w:val="Guidance"/>
        </w:rPr>
        <w:t xml:space="preserve">ontract assets </w:t>
      </w:r>
    </w:p>
    <w:p w14:paraId="70179D4A" w14:textId="0CC67145" w:rsidR="003719CD" w:rsidRPr="000475C7" w:rsidRDefault="00453621" w:rsidP="00367D84">
      <w:pPr>
        <w:pStyle w:val="ListBullet"/>
        <w:numPr>
          <w:ilvl w:val="0"/>
          <w:numId w:val="47"/>
        </w:numPr>
        <w:ind w:left="426"/>
        <w:rPr>
          <w:rStyle w:val="Guidance"/>
        </w:rPr>
      </w:pPr>
      <w:r w:rsidRPr="000475C7">
        <w:rPr>
          <w:rStyle w:val="Guidance"/>
        </w:rPr>
        <w:t>c</w:t>
      </w:r>
      <w:r w:rsidR="003719CD" w:rsidRPr="000475C7">
        <w:rPr>
          <w:rStyle w:val="Guidance"/>
        </w:rPr>
        <w:t>ontract liabilities</w:t>
      </w:r>
      <w:r w:rsidR="00896149">
        <w:rPr>
          <w:rStyle w:val="Guidance"/>
        </w:rPr>
        <w:t>.</w:t>
      </w:r>
      <w:r w:rsidR="003719CD" w:rsidRPr="000475C7">
        <w:rPr>
          <w:rStyle w:val="Guidance"/>
        </w:rPr>
        <w:t xml:space="preserve"> </w:t>
      </w:r>
      <w:r w:rsidR="003719CD" w:rsidRPr="000475C7">
        <w:rPr>
          <w:rStyle w:val="Reference"/>
        </w:rPr>
        <w:t>[AASB 15.105]</w:t>
      </w:r>
    </w:p>
    <w:p w14:paraId="01146A37" w14:textId="77777777" w:rsidR="003719CD" w:rsidRPr="00435454" w:rsidRDefault="003719CD" w:rsidP="007D536F">
      <w:pPr>
        <w:rPr>
          <w:rStyle w:val="Guidance"/>
        </w:rPr>
      </w:pPr>
      <w:r w:rsidRPr="00435454">
        <w:rPr>
          <w:rStyle w:val="Guidance"/>
        </w:rPr>
        <w:t>Note that if trade receivables include receivables from contracts with customers and other receivables, these should be separately disclosed.</w:t>
      </w:r>
    </w:p>
    <w:p w14:paraId="6435DB1B" w14:textId="4F68E158" w:rsidR="004D6384" w:rsidRPr="00435454" w:rsidRDefault="004D6384" w:rsidP="007D536F">
      <w:pPr>
        <w:rPr>
          <w:rStyle w:val="Guidance"/>
        </w:rPr>
      </w:pPr>
      <w:r>
        <w:rPr>
          <w:rStyle w:val="Guidance"/>
        </w:rPr>
        <w:t>(</w:t>
      </w:r>
      <w:r w:rsidRPr="00435454">
        <w:rPr>
          <w:rStyle w:val="Guidance"/>
        </w:rPr>
        <w:t>Please refer to contract assets and contract liabilities notes that are disclosed separately in the asset and liabilities notes</w:t>
      </w:r>
      <w:r>
        <w:rPr>
          <w:rStyle w:val="Guidance"/>
        </w:rPr>
        <w:t>)</w:t>
      </w:r>
    </w:p>
    <w:p w14:paraId="08028509" w14:textId="5E0B9584" w:rsidR="007667F2" w:rsidRDefault="003719CD" w:rsidP="007667F2">
      <w:pPr>
        <w:keepNext/>
        <w:rPr>
          <w:rStyle w:val="Guidance"/>
          <w:b/>
          <w:bCs/>
        </w:rPr>
      </w:pPr>
      <w:r w:rsidRPr="006F738A">
        <w:rPr>
          <w:rStyle w:val="Guidance"/>
          <w:b/>
        </w:rPr>
        <w:t>Disclosure</w:t>
      </w:r>
    </w:p>
    <w:p w14:paraId="4BA0BB74" w14:textId="33F424F5" w:rsidR="003719CD" w:rsidRPr="00435454" w:rsidRDefault="00E35B70" w:rsidP="00310F12">
      <w:pPr>
        <w:pStyle w:val="ListBullet"/>
        <w:rPr>
          <w:rStyle w:val="Guidance"/>
        </w:rPr>
      </w:pPr>
      <w:r>
        <w:rPr>
          <w:rStyle w:val="Guidance"/>
        </w:rPr>
        <w:t>T</w:t>
      </w:r>
      <w:r w:rsidR="003719CD" w:rsidRPr="00435454">
        <w:rPr>
          <w:rStyle w:val="Guidance"/>
        </w:rPr>
        <w:t xml:space="preserve">he opening and closing balances of: </w:t>
      </w:r>
    </w:p>
    <w:p w14:paraId="70442821" w14:textId="25611D79" w:rsidR="003719CD" w:rsidRPr="00435454" w:rsidRDefault="003719CD" w:rsidP="00367D84">
      <w:pPr>
        <w:pStyle w:val="ListBullet2"/>
        <w:numPr>
          <w:ilvl w:val="0"/>
          <w:numId w:val="48"/>
        </w:numPr>
        <w:ind w:left="567"/>
        <w:rPr>
          <w:rStyle w:val="Guidance"/>
        </w:rPr>
      </w:pPr>
      <w:r w:rsidRPr="00435454">
        <w:rPr>
          <w:rStyle w:val="Guidance"/>
        </w:rPr>
        <w:t>receivables</w:t>
      </w:r>
    </w:p>
    <w:p w14:paraId="01C475C6" w14:textId="19B46015" w:rsidR="003719CD" w:rsidRPr="00435454" w:rsidRDefault="003719CD" w:rsidP="00367D84">
      <w:pPr>
        <w:pStyle w:val="ListBullet2"/>
        <w:numPr>
          <w:ilvl w:val="0"/>
          <w:numId w:val="48"/>
        </w:numPr>
        <w:ind w:left="567"/>
        <w:rPr>
          <w:rStyle w:val="Guidance"/>
        </w:rPr>
      </w:pPr>
      <w:r w:rsidRPr="00435454">
        <w:rPr>
          <w:rStyle w:val="Guidance"/>
        </w:rPr>
        <w:t>contract assets</w:t>
      </w:r>
    </w:p>
    <w:p w14:paraId="68E6E31A" w14:textId="37D6D727" w:rsidR="003719CD" w:rsidRPr="00435454" w:rsidRDefault="003719CD" w:rsidP="00367D84">
      <w:pPr>
        <w:pStyle w:val="ListBullet2"/>
        <w:numPr>
          <w:ilvl w:val="0"/>
          <w:numId w:val="48"/>
        </w:numPr>
        <w:ind w:left="567"/>
        <w:rPr>
          <w:rStyle w:val="Guidance"/>
        </w:rPr>
      </w:pPr>
      <w:r w:rsidRPr="00435454">
        <w:rPr>
          <w:rStyle w:val="Guidance"/>
        </w:rPr>
        <w:t>contract liabilities</w:t>
      </w:r>
    </w:p>
    <w:p w14:paraId="7CA342CC" w14:textId="383A8A05" w:rsidR="003719CD" w:rsidRPr="00435454" w:rsidRDefault="00E35B70" w:rsidP="00310F12">
      <w:pPr>
        <w:pStyle w:val="ListBullet"/>
        <w:rPr>
          <w:rStyle w:val="Guidance"/>
        </w:rPr>
      </w:pPr>
      <w:r>
        <w:rPr>
          <w:rStyle w:val="Guidance"/>
        </w:rPr>
        <w:t>R</w:t>
      </w:r>
      <w:r w:rsidR="003719CD" w:rsidRPr="00435454">
        <w:rPr>
          <w:rStyle w:val="Guidance"/>
        </w:rPr>
        <w:t>evenue recognised that was included in the contract liability balance at the beginning of the year</w:t>
      </w:r>
    </w:p>
    <w:p w14:paraId="1E468199" w14:textId="38CDB271" w:rsidR="003719CD" w:rsidRPr="00435454" w:rsidRDefault="00E35B70" w:rsidP="00310F12">
      <w:pPr>
        <w:pStyle w:val="ListBullet"/>
        <w:rPr>
          <w:rStyle w:val="Guidance"/>
        </w:rPr>
      </w:pPr>
      <w:r>
        <w:rPr>
          <w:rStyle w:val="Guidance"/>
        </w:rPr>
        <w:t>R</w:t>
      </w:r>
      <w:r w:rsidR="003719CD" w:rsidRPr="00435454">
        <w:rPr>
          <w:rStyle w:val="Guidance"/>
        </w:rPr>
        <w:t xml:space="preserve">evenue recognised from performance obligations satisfied in previous periods </w:t>
      </w:r>
      <w:r w:rsidR="003719CD" w:rsidRPr="000D0F7A">
        <w:rPr>
          <w:rStyle w:val="Reference"/>
        </w:rPr>
        <w:t>[AASB 15.116]</w:t>
      </w:r>
    </w:p>
    <w:p w14:paraId="11E69D3B" w14:textId="46435D9C" w:rsidR="003719CD" w:rsidRPr="00435454" w:rsidRDefault="00E35B70" w:rsidP="00310F12">
      <w:pPr>
        <w:pStyle w:val="ListBullet"/>
        <w:rPr>
          <w:rStyle w:val="Guidance"/>
        </w:rPr>
      </w:pPr>
      <w:r>
        <w:rPr>
          <w:rStyle w:val="Guidance"/>
        </w:rPr>
        <w:t>E</w:t>
      </w:r>
      <w:r w:rsidR="003719CD" w:rsidRPr="00435454">
        <w:rPr>
          <w:rStyle w:val="Guidance"/>
        </w:rPr>
        <w:t xml:space="preserve">xplain how the timing of satisfaction of performance obligations (see paragraph 119(a)) relates to the typical timing of payment (see paragraph 119(b)) and the effect that those factors have on the contract asset and the contract liability balances. May use qualitative information. </w:t>
      </w:r>
      <w:r w:rsidR="003719CD" w:rsidRPr="000D0F7A">
        <w:rPr>
          <w:rStyle w:val="Reference"/>
        </w:rPr>
        <w:t>[AASB 15.117]</w:t>
      </w:r>
    </w:p>
    <w:p w14:paraId="197BAC2B" w14:textId="216B0B3B" w:rsidR="003719CD" w:rsidRPr="00435454" w:rsidRDefault="00E35B70" w:rsidP="006F738A">
      <w:pPr>
        <w:pStyle w:val="ListContinue"/>
        <w:rPr>
          <w:rStyle w:val="Guidance"/>
        </w:rPr>
      </w:pPr>
      <w:r>
        <w:rPr>
          <w:rStyle w:val="Guidance"/>
        </w:rPr>
        <w:t>E</w:t>
      </w:r>
      <w:r w:rsidR="003719CD" w:rsidRPr="00435454">
        <w:rPr>
          <w:rStyle w:val="Guidance"/>
        </w:rPr>
        <w:t>xplain significant changes in contract assets and liabilities. Reasons for the change may include:</w:t>
      </w:r>
    </w:p>
    <w:p w14:paraId="3888BE3F" w14:textId="31E04360" w:rsidR="003719CD" w:rsidRPr="00435454" w:rsidRDefault="003719CD" w:rsidP="006F738A">
      <w:pPr>
        <w:pStyle w:val="ListBullet2"/>
        <w:rPr>
          <w:rStyle w:val="Guidance"/>
        </w:rPr>
      </w:pPr>
      <w:r w:rsidRPr="00435454">
        <w:rPr>
          <w:rStyle w:val="Guidance"/>
        </w:rPr>
        <w:t>business combinations</w:t>
      </w:r>
    </w:p>
    <w:p w14:paraId="70F73B72" w14:textId="038590F2" w:rsidR="003719CD" w:rsidRPr="00435454" w:rsidRDefault="003719CD" w:rsidP="006F738A">
      <w:pPr>
        <w:pStyle w:val="ListBullet2"/>
        <w:rPr>
          <w:rStyle w:val="Guidance"/>
        </w:rPr>
      </w:pPr>
      <w:r w:rsidRPr="00435454">
        <w:rPr>
          <w:rStyle w:val="Guidance"/>
        </w:rPr>
        <w:t>cumulative catch ups, such as those arising from a change in the measure of progress, a change in an estimate of the transaction price or a contract modification</w:t>
      </w:r>
    </w:p>
    <w:p w14:paraId="57B065F8" w14:textId="361649F0" w:rsidR="003719CD" w:rsidRPr="00435454" w:rsidRDefault="003719CD" w:rsidP="006F738A">
      <w:pPr>
        <w:pStyle w:val="ListBullet2"/>
        <w:rPr>
          <w:rStyle w:val="Guidance"/>
        </w:rPr>
      </w:pPr>
      <w:r w:rsidRPr="00435454">
        <w:rPr>
          <w:rStyle w:val="Guidance"/>
        </w:rPr>
        <w:t>impairment of contract assets</w:t>
      </w:r>
    </w:p>
    <w:p w14:paraId="2544C81E" w14:textId="101F549B" w:rsidR="003719CD" w:rsidRPr="00435454" w:rsidRDefault="003719CD" w:rsidP="006F738A">
      <w:pPr>
        <w:pStyle w:val="ListBullet2"/>
        <w:rPr>
          <w:rStyle w:val="Guidance"/>
        </w:rPr>
      </w:pPr>
      <w:r w:rsidRPr="00435454">
        <w:rPr>
          <w:rStyle w:val="Guidance"/>
        </w:rPr>
        <w:t>change in timeframe – of contract assets becoming a receivable</w:t>
      </w:r>
    </w:p>
    <w:p w14:paraId="5ABDE563" w14:textId="443C4E28" w:rsidR="003719CD" w:rsidRPr="00435454" w:rsidRDefault="003719CD" w:rsidP="006F738A">
      <w:pPr>
        <w:pStyle w:val="ListBullet2"/>
        <w:rPr>
          <w:rStyle w:val="Guidance"/>
        </w:rPr>
      </w:pPr>
      <w:r w:rsidRPr="00435454">
        <w:rPr>
          <w:rStyle w:val="Guidance"/>
        </w:rPr>
        <w:t xml:space="preserve">change in timeframe – for performance obligation to be satisfied. </w:t>
      </w:r>
      <w:r w:rsidRPr="001C3439">
        <w:rPr>
          <w:rStyle w:val="Reference"/>
        </w:rPr>
        <w:t>[AASB 15.118]</w:t>
      </w:r>
    </w:p>
    <w:p w14:paraId="4215F389" w14:textId="229A9CF1" w:rsidR="003719CD" w:rsidRPr="00435454" w:rsidRDefault="00E35B70" w:rsidP="00310F12">
      <w:pPr>
        <w:pStyle w:val="ListBullet"/>
        <w:rPr>
          <w:rStyle w:val="Guidance"/>
        </w:rPr>
      </w:pPr>
      <w:r>
        <w:rPr>
          <w:rStyle w:val="Guidance"/>
        </w:rPr>
        <w:t>D</w:t>
      </w:r>
      <w:r w:rsidR="003719CD" w:rsidRPr="00435454">
        <w:rPr>
          <w:rStyle w:val="Guidance"/>
        </w:rPr>
        <w:t xml:space="preserve">isclose the following information about remaining performance obligations: </w:t>
      </w:r>
    </w:p>
    <w:p w14:paraId="5F2CB02D" w14:textId="1F1A6DE3" w:rsidR="003719CD" w:rsidRPr="00435454" w:rsidRDefault="009876CF" w:rsidP="006F738A">
      <w:pPr>
        <w:pStyle w:val="ListBullet2"/>
        <w:rPr>
          <w:rStyle w:val="Guidance"/>
        </w:rPr>
      </w:pPr>
      <w:r>
        <w:rPr>
          <w:rStyle w:val="Guidance"/>
        </w:rPr>
        <w:t>t</w:t>
      </w:r>
      <w:r w:rsidR="003719CD" w:rsidRPr="00435454">
        <w:rPr>
          <w:rStyle w:val="Guidance"/>
        </w:rPr>
        <w:t>he aggregate amount of the transaction price allocated to the performance obligations that are unsatisfied (or</w:t>
      </w:r>
      <w:r w:rsidR="003B7EFD">
        <w:rPr>
          <w:rStyle w:val="Guidance"/>
        </w:rPr>
        <w:t> </w:t>
      </w:r>
      <w:r w:rsidR="003719CD" w:rsidRPr="00435454">
        <w:rPr>
          <w:rStyle w:val="Guidance"/>
        </w:rPr>
        <w:t xml:space="preserve">partially unsatisfied) as of the end of the reporting period </w:t>
      </w:r>
    </w:p>
    <w:p w14:paraId="506F8D48" w14:textId="5C82673F" w:rsidR="003719CD" w:rsidRPr="00435454" w:rsidRDefault="009876CF" w:rsidP="006F738A">
      <w:pPr>
        <w:pStyle w:val="ListBullet2"/>
        <w:rPr>
          <w:rStyle w:val="Guidance"/>
        </w:rPr>
      </w:pPr>
      <w:r>
        <w:rPr>
          <w:rStyle w:val="Guidance"/>
        </w:rPr>
        <w:t>a</w:t>
      </w:r>
      <w:r w:rsidR="003719CD" w:rsidRPr="00435454">
        <w:rPr>
          <w:rStyle w:val="Guidance"/>
        </w:rPr>
        <w:t xml:space="preserve">n explanation of when the entity expects to recognise as revenue the amount disclosed in accordance with paragraph 120(a). The disclosure can be either on a quantitative basis using the time bands that would be most appropriate for the duration of the remaining performance obligations; or by using qualitative information. </w:t>
      </w:r>
      <w:r w:rsidR="003719CD" w:rsidRPr="001C3439">
        <w:rPr>
          <w:rStyle w:val="Reference"/>
        </w:rPr>
        <w:t>[AASB</w:t>
      </w:r>
      <w:r w:rsidR="005036DA">
        <w:rPr>
          <w:rStyle w:val="Reference"/>
        </w:rPr>
        <w:t> </w:t>
      </w:r>
      <w:r w:rsidR="003719CD" w:rsidRPr="001C3439">
        <w:rPr>
          <w:rStyle w:val="Reference"/>
        </w:rPr>
        <w:t>15.120]</w:t>
      </w:r>
      <w:r w:rsidR="003719CD" w:rsidRPr="00435454">
        <w:rPr>
          <w:rStyle w:val="Guidance"/>
        </w:rPr>
        <w:t>.</w:t>
      </w:r>
    </w:p>
    <w:p w14:paraId="628BE250" w14:textId="77777777" w:rsidR="003719CD" w:rsidRDefault="003719CD" w:rsidP="007D536F">
      <w:pPr>
        <w:pStyle w:val="GuidanceEnd"/>
      </w:pPr>
    </w:p>
    <w:p w14:paraId="10B0BA1D" w14:textId="77777777" w:rsidR="007118FF" w:rsidRDefault="007118FF">
      <w:pPr>
        <w:keepLines w:val="0"/>
        <w:rPr>
          <w:rFonts w:asciiTheme="majorHAnsi" w:eastAsiaTheme="majorEastAsia" w:hAnsiTheme="majorHAnsi" w:cstheme="majorBidi"/>
          <w:b/>
          <w:sz w:val="26"/>
          <w:szCs w:val="26"/>
        </w:rPr>
      </w:pPr>
      <w:bookmarkStart w:id="81" w:name="_Toc64983449"/>
      <w:r>
        <w:br w:type="page"/>
      </w:r>
    </w:p>
    <w:p w14:paraId="2B760B21" w14:textId="75D68C44" w:rsidR="003719CD" w:rsidRDefault="003719CD" w:rsidP="00A80494">
      <w:pPr>
        <w:pStyle w:val="Heading2numbered"/>
      </w:pPr>
      <w:bookmarkStart w:id="82" w:name="_Toc96704920"/>
      <w:bookmarkStart w:id="83" w:name="_Toc130225974"/>
      <w:r>
        <w:lastRenderedPageBreak/>
        <w:t>Payables</w:t>
      </w:r>
      <w:bookmarkEnd w:id="81"/>
      <w:bookmarkEnd w:id="82"/>
      <w:bookmarkEnd w:id="83"/>
      <w:r>
        <w:t xml:space="preserve"> </w:t>
      </w:r>
      <w:r w:rsidR="00331D04" w:rsidRPr="00994C66">
        <w:rPr>
          <w:rStyle w:val="Guidance"/>
          <w:color w:val="7030A0"/>
        </w:rPr>
        <w:t>[REVISED]</w:t>
      </w:r>
    </w:p>
    <w:p w14:paraId="6A95B253" w14:textId="77777777" w:rsidR="003719CD" w:rsidRDefault="003719CD" w:rsidP="007D536F">
      <w:pPr>
        <w:pStyle w:val="TableUnits"/>
      </w:pPr>
      <w:r>
        <w:t xml:space="preserve"> ($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05FBB" w14:paraId="55C5D504" w14:textId="77777777" w:rsidTr="00457123">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1F173126" w14:textId="77777777" w:rsidR="00105FBB" w:rsidRDefault="00105FBB" w:rsidP="00105FBB">
            <w:pPr>
              <w:keepNext/>
              <w:jc w:val="left"/>
            </w:pPr>
            <w:r>
              <w:rPr>
                <w:color w:val="4472C4"/>
                <w:sz w:val="13"/>
              </w:rPr>
              <w:t>Source reference</w:t>
            </w:r>
          </w:p>
        </w:tc>
        <w:tc>
          <w:tcPr>
            <w:tcW w:w="6558" w:type="dxa"/>
          </w:tcPr>
          <w:p w14:paraId="57C53D5E" w14:textId="77777777" w:rsidR="00105FBB" w:rsidRDefault="00105FBB" w:rsidP="00105FBB">
            <w:pPr>
              <w:keepNext/>
              <w:jc w:val="left"/>
            </w:pPr>
          </w:p>
        </w:tc>
        <w:tc>
          <w:tcPr>
            <w:tcW w:w="866" w:type="dxa"/>
          </w:tcPr>
          <w:p w14:paraId="44D032B0" w14:textId="0D821D6C" w:rsidR="00105FBB" w:rsidRDefault="00105FBB" w:rsidP="00105FBB">
            <w:pPr>
              <w:keepNext/>
            </w:pPr>
            <w:fldSimple w:instr="DOCPROPERTY  YearCurrent \* MERGEFORMAT">
              <w:r w:rsidRPr="00105FBB">
                <w:t>20X2</w:t>
              </w:r>
            </w:fldSimple>
          </w:p>
        </w:tc>
        <w:tc>
          <w:tcPr>
            <w:tcW w:w="866" w:type="dxa"/>
          </w:tcPr>
          <w:p w14:paraId="0235673A" w14:textId="0AE6A0C0" w:rsidR="00105FBB" w:rsidRDefault="00105FBB" w:rsidP="00105FBB">
            <w:pPr>
              <w:keepNext/>
            </w:pPr>
            <w:fldSimple w:instr="DOCPROPERTY  YearPrevious  \* MERGEFORMAT">
              <w:r w:rsidRPr="00105FBB">
                <w:t>20X1</w:t>
              </w:r>
            </w:fldSimple>
          </w:p>
        </w:tc>
      </w:tr>
      <w:tr w:rsidR="00182709" w14:paraId="40BD2C09" w14:textId="77777777" w:rsidTr="00457123">
        <w:tc>
          <w:tcPr>
            <w:tcW w:w="1349" w:type="dxa"/>
          </w:tcPr>
          <w:p w14:paraId="2189D618" w14:textId="77777777" w:rsidR="00182709" w:rsidRDefault="00182709">
            <w:pPr>
              <w:jc w:val="left"/>
            </w:pPr>
          </w:p>
        </w:tc>
        <w:tc>
          <w:tcPr>
            <w:tcW w:w="6558" w:type="dxa"/>
          </w:tcPr>
          <w:p w14:paraId="3FE726D1" w14:textId="77777777" w:rsidR="00182709" w:rsidRDefault="0044097C">
            <w:pPr>
              <w:jc w:val="left"/>
            </w:pPr>
            <w:r>
              <w:rPr>
                <w:b/>
              </w:rPr>
              <w:t>Contractual</w:t>
            </w:r>
          </w:p>
        </w:tc>
        <w:tc>
          <w:tcPr>
            <w:tcW w:w="866" w:type="dxa"/>
          </w:tcPr>
          <w:p w14:paraId="21C90070" w14:textId="77777777" w:rsidR="00182709" w:rsidRDefault="00182709"/>
        </w:tc>
        <w:tc>
          <w:tcPr>
            <w:tcW w:w="866" w:type="dxa"/>
          </w:tcPr>
          <w:p w14:paraId="37227A5E" w14:textId="77777777" w:rsidR="00182709" w:rsidRDefault="00182709"/>
        </w:tc>
      </w:tr>
      <w:tr w:rsidR="00182709" w14:paraId="02F344CB" w14:textId="77777777" w:rsidTr="00457123">
        <w:tc>
          <w:tcPr>
            <w:tcW w:w="1349" w:type="dxa"/>
          </w:tcPr>
          <w:p w14:paraId="344F1E7A" w14:textId="77777777" w:rsidR="00182709" w:rsidRDefault="00182709">
            <w:pPr>
              <w:jc w:val="left"/>
            </w:pPr>
          </w:p>
        </w:tc>
        <w:tc>
          <w:tcPr>
            <w:tcW w:w="6558" w:type="dxa"/>
          </w:tcPr>
          <w:p w14:paraId="5A50F38E" w14:textId="77777777" w:rsidR="00182709" w:rsidRDefault="0044097C">
            <w:pPr>
              <w:jc w:val="left"/>
            </w:pPr>
            <w:r>
              <w:t>Supplies and services</w:t>
            </w:r>
          </w:p>
        </w:tc>
        <w:tc>
          <w:tcPr>
            <w:tcW w:w="866" w:type="dxa"/>
          </w:tcPr>
          <w:p w14:paraId="6E9C6221" w14:textId="77777777" w:rsidR="00182709" w:rsidRDefault="0044097C">
            <w:r>
              <w:t>4 508</w:t>
            </w:r>
          </w:p>
        </w:tc>
        <w:tc>
          <w:tcPr>
            <w:tcW w:w="866" w:type="dxa"/>
          </w:tcPr>
          <w:p w14:paraId="006D7A23" w14:textId="77777777" w:rsidR="00182709" w:rsidRDefault="0044097C">
            <w:r>
              <w:t>3 387</w:t>
            </w:r>
          </w:p>
        </w:tc>
      </w:tr>
      <w:tr w:rsidR="00182709" w14:paraId="7F1A7941" w14:textId="77777777" w:rsidTr="00457123">
        <w:tc>
          <w:tcPr>
            <w:tcW w:w="1349" w:type="dxa"/>
          </w:tcPr>
          <w:p w14:paraId="49A2DC70" w14:textId="77777777" w:rsidR="00182709" w:rsidRDefault="00182709">
            <w:pPr>
              <w:jc w:val="left"/>
            </w:pPr>
          </w:p>
        </w:tc>
        <w:tc>
          <w:tcPr>
            <w:tcW w:w="6558" w:type="dxa"/>
          </w:tcPr>
          <w:p w14:paraId="07EF9EFA" w14:textId="77777777" w:rsidR="00182709" w:rsidRDefault="0044097C">
            <w:pPr>
              <w:jc w:val="left"/>
            </w:pPr>
            <w:r>
              <w:t>Amounts payable to government and agencies</w:t>
            </w:r>
          </w:p>
        </w:tc>
        <w:tc>
          <w:tcPr>
            <w:tcW w:w="866" w:type="dxa"/>
          </w:tcPr>
          <w:p w14:paraId="0EB27F5E" w14:textId="77777777" w:rsidR="00182709" w:rsidRDefault="0044097C">
            <w:r>
              <w:t>10 891</w:t>
            </w:r>
          </w:p>
        </w:tc>
        <w:tc>
          <w:tcPr>
            <w:tcW w:w="866" w:type="dxa"/>
          </w:tcPr>
          <w:p w14:paraId="70CCE282" w14:textId="77777777" w:rsidR="00182709" w:rsidRDefault="0044097C">
            <w:r>
              <w:t>1 796</w:t>
            </w:r>
          </w:p>
        </w:tc>
      </w:tr>
      <w:tr w:rsidR="00182709" w14:paraId="4139B668" w14:textId="77777777" w:rsidTr="00457123">
        <w:tc>
          <w:tcPr>
            <w:tcW w:w="1349" w:type="dxa"/>
          </w:tcPr>
          <w:p w14:paraId="35AA9F56" w14:textId="77777777" w:rsidR="00182709" w:rsidRDefault="00182709">
            <w:pPr>
              <w:jc w:val="left"/>
            </w:pPr>
          </w:p>
        </w:tc>
        <w:tc>
          <w:tcPr>
            <w:tcW w:w="6558" w:type="dxa"/>
          </w:tcPr>
          <w:p w14:paraId="6DAF6F4B" w14:textId="77777777" w:rsidR="00182709" w:rsidRDefault="0044097C">
            <w:pPr>
              <w:jc w:val="left"/>
            </w:pPr>
            <w:r>
              <w:t>Unearned income</w:t>
            </w:r>
          </w:p>
        </w:tc>
        <w:tc>
          <w:tcPr>
            <w:tcW w:w="866" w:type="dxa"/>
          </w:tcPr>
          <w:p w14:paraId="7E4D9444" w14:textId="77777777" w:rsidR="00182709" w:rsidRDefault="0044097C">
            <w:r>
              <w:t>1 145</w:t>
            </w:r>
          </w:p>
        </w:tc>
        <w:tc>
          <w:tcPr>
            <w:tcW w:w="866" w:type="dxa"/>
          </w:tcPr>
          <w:p w14:paraId="013DF702" w14:textId="77777777" w:rsidR="00182709" w:rsidRDefault="0044097C">
            <w:r>
              <w:t>1 990</w:t>
            </w:r>
          </w:p>
        </w:tc>
      </w:tr>
      <w:tr w:rsidR="00182709" w14:paraId="0630E5FE" w14:textId="77777777" w:rsidTr="00457123">
        <w:tc>
          <w:tcPr>
            <w:tcW w:w="1349" w:type="dxa"/>
          </w:tcPr>
          <w:p w14:paraId="55853DE5" w14:textId="77777777" w:rsidR="00182709" w:rsidRDefault="00182709">
            <w:pPr>
              <w:jc w:val="left"/>
            </w:pPr>
          </w:p>
        </w:tc>
        <w:tc>
          <w:tcPr>
            <w:tcW w:w="6558" w:type="dxa"/>
          </w:tcPr>
          <w:p w14:paraId="73A4566D" w14:textId="436BC533" w:rsidR="00182709" w:rsidRDefault="0044097C">
            <w:pPr>
              <w:jc w:val="left"/>
            </w:pPr>
            <w:r>
              <w:t xml:space="preserve">Deferred capital grant </w:t>
            </w:r>
            <w:r w:rsidR="00714AA8">
              <w:t>income</w:t>
            </w:r>
          </w:p>
        </w:tc>
        <w:tc>
          <w:tcPr>
            <w:tcW w:w="866" w:type="dxa"/>
          </w:tcPr>
          <w:p w14:paraId="02948472" w14:textId="77777777" w:rsidR="00182709" w:rsidRDefault="0044097C">
            <w:r>
              <w:t>26</w:t>
            </w:r>
          </w:p>
        </w:tc>
        <w:tc>
          <w:tcPr>
            <w:tcW w:w="866" w:type="dxa"/>
          </w:tcPr>
          <w:p w14:paraId="16A9ABCF" w14:textId="77777777" w:rsidR="00182709" w:rsidRDefault="0044097C">
            <w:r>
              <w:t>13</w:t>
            </w:r>
          </w:p>
        </w:tc>
      </w:tr>
      <w:tr w:rsidR="00182709" w14:paraId="72BADD93" w14:textId="77777777" w:rsidTr="00457123">
        <w:tc>
          <w:tcPr>
            <w:tcW w:w="1349" w:type="dxa"/>
          </w:tcPr>
          <w:p w14:paraId="1CF3F7D3" w14:textId="77777777" w:rsidR="00182709" w:rsidRDefault="00182709">
            <w:pPr>
              <w:jc w:val="left"/>
            </w:pPr>
          </w:p>
        </w:tc>
        <w:tc>
          <w:tcPr>
            <w:tcW w:w="6558" w:type="dxa"/>
          </w:tcPr>
          <w:p w14:paraId="5677161E" w14:textId="77777777" w:rsidR="00182709" w:rsidRDefault="0044097C">
            <w:pPr>
              <w:jc w:val="left"/>
            </w:pPr>
            <w:r>
              <w:t>Other payables</w:t>
            </w:r>
          </w:p>
        </w:tc>
        <w:tc>
          <w:tcPr>
            <w:tcW w:w="866" w:type="dxa"/>
          </w:tcPr>
          <w:p w14:paraId="31986D24" w14:textId="77777777" w:rsidR="00182709" w:rsidRDefault="0044097C">
            <w:r>
              <w:t>817</w:t>
            </w:r>
          </w:p>
        </w:tc>
        <w:tc>
          <w:tcPr>
            <w:tcW w:w="866" w:type="dxa"/>
          </w:tcPr>
          <w:p w14:paraId="3F9FDBAA" w14:textId="77777777" w:rsidR="00182709" w:rsidRDefault="0044097C">
            <w:r>
              <w:t>8 925</w:t>
            </w:r>
          </w:p>
        </w:tc>
      </w:tr>
      <w:tr w:rsidR="00182709" w14:paraId="404EE61F" w14:textId="77777777" w:rsidTr="00457123">
        <w:tc>
          <w:tcPr>
            <w:tcW w:w="1349" w:type="dxa"/>
          </w:tcPr>
          <w:p w14:paraId="05D341EC" w14:textId="77777777" w:rsidR="00182709" w:rsidRDefault="00182709">
            <w:pPr>
              <w:jc w:val="left"/>
            </w:pPr>
          </w:p>
        </w:tc>
        <w:tc>
          <w:tcPr>
            <w:tcW w:w="6558" w:type="dxa"/>
          </w:tcPr>
          <w:p w14:paraId="1494B568" w14:textId="77777777" w:rsidR="00182709" w:rsidRDefault="0044097C">
            <w:pPr>
              <w:jc w:val="left"/>
            </w:pPr>
            <w:r>
              <w:rPr>
                <w:b/>
              </w:rPr>
              <w:t>Statutory</w:t>
            </w:r>
          </w:p>
        </w:tc>
        <w:tc>
          <w:tcPr>
            <w:tcW w:w="866" w:type="dxa"/>
          </w:tcPr>
          <w:p w14:paraId="280012E0" w14:textId="77777777" w:rsidR="00182709" w:rsidRDefault="00182709"/>
        </w:tc>
        <w:tc>
          <w:tcPr>
            <w:tcW w:w="866" w:type="dxa"/>
          </w:tcPr>
          <w:p w14:paraId="25E0E8C7" w14:textId="77777777" w:rsidR="00182709" w:rsidRDefault="00182709"/>
        </w:tc>
      </w:tr>
      <w:tr w:rsidR="00182709" w14:paraId="102610FB" w14:textId="77777777" w:rsidTr="00457123">
        <w:tc>
          <w:tcPr>
            <w:tcW w:w="1349" w:type="dxa"/>
          </w:tcPr>
          <w:p w14:paraId="2DDF0635" w14:textId="77777777" w:rsidR="00182709" w:rsidRDefault="00182709">
            <w:pPr>
              <w:jc w:val="left"/>
            </w:pPr>
          </w:p>
        </w:tc>
        <w:tc>
          <w:tcPr>
            <w:tcW w:w="6558" w:type="dxa"/>
          </w:tcPr>
          <w:p w14:paraId="5FFDFC03" w14:textId="77777777" w:rsidR="00182709" w:rsidRDefault="0044097C">
            <w:pPr>
              <w:jc w:val="left"/>
            </w:pPr>
            <w:r>
              <w:t>FBT payable</w:t>
            </w:r>
          </w:p>
        </w:tc>
        <w:tc>
          <w:tcPr>
            <w:tcW w:w="866" w:type="dxa"/>
          </w:tcPr>
          <w:p w14:paraId="2DB9FA59" w14:textId="77777777" w:rsidR="00182709" w:rsidRDefault="0044097C">
            <w:r>
              <w:t>82</w:t>
            </w:r>
          </w:p>
        </w:tc>
        <w:tc>
          <w:tcPr>
            <w:tcW w:w="866" w:type="dxa"/>
          </w:tcPr>
          <w:p w14:paraId="52C5FA74" w14:textId="77777777" w:rsidR="00182709" w:rsidRDefault="0044097C">
            <w:r>
              <w:t>169</w:t>
            </w:r>
          </w:p>
        </w:tc>
      </w:tr>
      <w:tr w:rsidR="00182709" w14:paraId="4E6FAEA2" w14:textId="77777777" w:rsidTr="00457123">
        <w:tc>
          <w:tcPr>
            <w:tcW w:w="1349" w:type="dxa"/>
          </w:tcPr>
          <w:p w14:paraId="1F6622AF" w14:textId="77777777" w:rsidR="00182709" w:rsidRDefault="00182709">
            <w:pPr>
              <w:jc w:val="left"/>
            </w:pPr>
          </w:p>
        </w:tc>
        <w:tc>
          <w:tcPr>
            <w:tcW w:w="6558" w:type="dxa"/>
          </w:tcPr>
          <w:p w14:paraId="2C4D6193" w14:textId="77777777" w:rsidR="00182709" w:rsidRDefault="0044097C">
            <w:pPr>
              <w:jc w:val="left"/>
            </w:pPr>
            <w:r>
              <w:t>GST payable</w:t>
            </w:r>
          </w:p>
        </w:tc>
        <w:tc>
          <w:tcPr>
            <w:tcW w:w="866" w:type="dxa"/>
          </w:tcPr>
          <w:p w14:paraId="2FA5219D" w14:textId="77777777" w:rsidR="00182709" w:rsidRDefault="0044097C">
            <w:r>
              <w:t>108</w:t>
            </w:r>
          </w:p>
        </w:tc>
        <w:tc>
          <w:tcPr>
            <w:tcW w:w="866" w:type="dxa"/>
          </w:tcPr>
          <w:p w14:paraId="6D075C60" w14:textId="77777777" w:rsidR="00182709" w:rsidRDefault="0044097C">
            <w:r>
              <w:t>225</w:t>
            </w:r>
          </w:p>
        </w:tc>
      </w:tr>
      <w:tr w:rsidR="00182709" w14:paraId="02D3DEC6" w14:textId="77777777" w:rsidTr="00457123">
        <w:tc>
          <w:tcPr>
            <w:tcW w:w="1349" w:type="dxa"/>
          </w:tcPr>
          <w:p w14:paraId="2D8B5C16" w14:textId="77777777" w:rsidR="00182709" w:rsidRDefault="00182709">
            <w:pPr>
              <w:jc w:val="left"/>
            </w:pPr>
          </w:p>
        </w:tc>
        <w:tc>
          <w:tcPr>
            <w:tcW w:w="6558" w:type="dxa"/>
            <w:tcBorders>
              <w:bottom w:val="single" w:sz="12" w:space="0" w:color="auto"/>
            </w:tcBorders>
          </w:tcPr>
          <w:p w14:paraId="56588CA9" w14:textId="77777777" w:rsidR="00182709" w:rsidRDefault="0044097C">
            <w:pPr>
              <w:jc w:val="left"/>
            </w:pPr>
            <w:r>
              <w:t>Other taxes payable</w:t>
            </w:r>
          </w:p>
        </w:tc>
        <w:tc>
          <w:tcPr>
            <w:tcW w:w="866" w:type="dxa"/>
            <w:tcBorders>
              <w:bottom w:val="single" w:sz="12" w:space="0" w:color="auto"/>
            </w:tcBorders>
          </w:tcPr>
          <w:p w14:paraId="1E1912FA" w14:textId="77777777" w:rsidR="00182709" w:rsidRDefault="0044097C">
            <w:r>
              <w:t>82</w:t>
            </w:r>
          </w:p>
        </w:tc>
        <w:tc>
          <w:tcPr>
            <w:tcW w:w="866" w:type="dxa"/>
            <w:tcBorders>
              <w:bottom w:val="single" w:sz="12" w:space="0" w:color="auto"/>
            </w:tcBorders>
          </w:tcPr>
          <w:p w14:paraId="42F9C3A8" w14:textId="77777777" w:rsidR="00182709" w:rsidRDefault="0044097C">
            <w:r>
              <w:t>169</w:t>
            </w:r>
          </w:p>
        </w:tc>
      </w:tr>
      <w:tr w:rsidR="00671D55" w14:paraId="17EABCF2" w14:textId="77777777" w:rsidTr="00457123">
        <w:tc>
          <w:tcPr>
            <w:tcW w:w="1349" w:type="dxa"/>
          </w:tcPr>
          <w:p w14:paraId="15160422" w14:textId="77777777" w:rsidR="00182709" w:rsidRDefault="00182709">
            <w:pPr>
              <w:jc w:val="left"/>
            </w:pPr>
          </w:p>
        </w:tc>
        <w:tc>
          <w:tcPr>
            <w:tcW w:w="6558" w:type="dxa"/>
          </w:tcPr>
          <w:p w14:paraId="08A95AA8" w14:textId="77777777" w:rsidR="00182709" w:rsidRDefault="0044097C">
            <w:pPr>
              <w:jc w:val="left"/>
            </w:pPr>
            <w:r>
              <w:rPr>
                <w:b/>
              </w:rPr>
              <w:t>Total payables</w:t>
            </w:r>
          </w:p>
        </w:tc>
        <w:tc>
          <w:tcPr>
            <w:tcW w:w="866" w:type="dxa"/>
          </w:tcPr>
          <w:p w14:paraId="6407A264" w14:textId="78B98A86" w:rsidR="00182709" w:rsidRDefault="00DB48E3">
            <w:r>
              <w:rPr>
                <w:b/>
              </w:rPr>
              <w:t>17</w:t>
            </w:r>
            <w:r w:rsidR="0044097C">
              <w:rPr>
                <w:b/>
              </w:rPr>
              <w:t xml:space="preserve"> </w:t>
            </w:r>
            <w:r>
              <w:rPr>
                <w:b/>
              </w:rPr>
              <w:t>659</w:t>
            </w:r>
          </w:p>
        </w:tc>
        <w:tc>
          <w:tcPr>
            <w:tcW w:w="866" w:type="dxa"/>
          </w:tcPr>
          <w:p w14:paraId="13EDBB7C" w14:textId="16957210" w:rsidR="00182709" w:rsidRDefault="00E93175">
            <w:r>
              <w:rPr>
                <w:b/>
              </w:rPr>
              <w:t>16</w:t>
            </w:r>
            <w:r w:rsidR="0044097C">
              <w:rPr>
                <w:b/>
              </w:rPr>
              <w:t xml:space="preserve"> </w:t>
            </w:r>
            <w:r>
              <w:rPr>
                <w:b/>
              </w:rPr>
              <w:t>67</w:t>
            </w:r>
            <w:r w:rsidR="0044097C">
              <w:rPr>
                <w:b/>
              </w:rPr>
              <w:t>4</w:t>
            </w:r>
          </w:p>
        </w:tc>
      </w:tr>
      <w:tr w:rsidR="00671D55" w14:paraId="17FCACC3" w14:textId="77777777" w:rsidTr="00457123">
        <w:tc>
          <w:tcPr>
            <w:tcW w:w="1349" w:type="dxa"/>
          </w:tcPr>
          <w:p w14:paraId="49211320" w14:textId="77777777" w:rsidR="00182709" w:rsidRDefault="00182709">
            <w:pPr>
              <w:jc w:val="left"/>
            </w:pPr>
          </w:p>
        </w:tc>
        <w:tc>
          <w:tcPr>
            <w:tcW w:w="6558" w:type="dxa"/>
          </w:tcPr>
          <w:p w14:paraId="14E79310" w14:textId="77777777" w:rsidR="00182709" w:rsidRDefault="0044097C">
            <w:pPr>
              <w:jc w:val="left"/>
            </w:pPr>
            <w:r>
              <w:rPr>
                <w:i/>
              </w:rPr>
              <w:t>Represented by:</w:t>
            </w:r>
          </w:p>
        </w:tc>
        <w:tc>
          <w:tcPr>
            <w:tcW w:w="866" w:type="dxa"/>
          </w:tcPr>
          <w:p w14:paraId="13017786" w14:textId="77777777" w:rsidR="00182709" w:rsidRDefault="00182709"/>
        </w:tc>
        <w:tc>
          <w:tcPr>
            <w:tcW w:w="866" w:type="dxa"/>
          </w:tcPr>
          <w:p w14:paraId="3A5317B0" w14:textId="77777777" w:rsidR="00182709" w:rsidRDefault="00182709"/>
        </w:tc>
      </w:tr>
      <w:tr w:rsidR="00182709" w14:paraId="107C817A" w14:textId="77777777" w:rsidTr="00457123">
        <w:tc>
          <w:tcPr>
            <w:tcW w:w="1349" w:type="dxa"/>
          </w:tcPr>
          <w:p w14:paraId="148BE553" w14:textId="77777777" w:rsidR="00182709" w:rsidRDefault="0044097C">
            <w:pPr>
              <w:jc w:val="left"/>
            </w:pPr>
            <w:r>
              <w:rPr>
                <w:color w:val="4472C4"/>
                <w:sz w:val="13"/>
              </w:rPr>
              <w:t>AASB 101.61</w:t>
            </w:r>
          </w:p>
        </w:tc>
        <w:tc>
          <w:tcPr>
            <w:tcW w:w="6558" w:type="dxa"/>
          </w:tcPr>
          <w:p w14:paraId="55E962F0" w14:textId="77777777" w:rsidR="00182709" w:rsidRDefault="0044097C">
            <w:pPr>
              <w:jc w:val="left"/>
            </w:pPr>
            <w:r>
              <w:t>Current payables</w:t>
            </w:r>
          </w:p>
        </w:tc>
        <w:tc>
          <w:tcPr>
            <w:tcW w:w="866" w:type="dxa"/>
          </w:tcPr>
          <w:p w14:paraId="75857D75" w14:textId="4D379AA2" w:rsidR="00182709" w:rsidRPr="00F1023D" w:rsidRDefault="0044097C">
            <w:r w:rsidRPr="00F1023D">
              <w:t>1</w:t>
            </w:r>
            <w:r w:rsidR="00E6653B">
              <w:t>7</w:t>
            </w:r>
            <w:r w:rsidRPr="00F1023D">
              <w:t xml:space="preserve"> </w:t>
            </w:r>
            <w:r w:rsidR="00E6653B">
              <w:t>65</w:t>
            </w:r>
            <w:r w:rsidRPr="00F1023D">
              <w:t>9</w:t>
            </w:r>
          </w:p>
        </w:tc>
        <w:tc>
          <w:tcPr>
            <w:tcW w:w="866" w:type="dxa"/>
          </w:tcPr>
          <w:p w14:paraId="1D2ADD67" w14:textId="569DD1EF" w:rsidR="00182709" w:rsidRPr="00F1023D" w:rsidRDefault="0044097C">
            <w:r w:rsidRPr="00F1023D">
              <w:t>1</w:t>
            </w:r>
            <w:r w:rsidR="00474486">
              <w:t>6</w:t>
            </w:r>
            <w:r w:rsidRPr="00F1023D">
              <w:t xml:space="preserve"> </w:t>
            </w:r>
            <w:r w:rsidR="00474486">
              <w:t>674</w:t>
            </w:r>
          </w:p>
        </w:tc>
      </w:tr>
      <w:tr w:rsidR="00182709" w14:paraId="6D794910" w14:textId="77777777" w:rsidTr="00457123">
        <w:tc>
          <w:tcPr>
            <w:tcW w:w="1349" w:type="dxa"/>
            <w:tcBorders>
              <w:bottom w:val="nil"/>
            </w:tcBorders>
          </w:tcPr>
          <w:p w14:paraId="137FDC9F" w14:textId="77777777" w:rsidR="00182709" w:rsidRDefault="0044097C">
            <w:pPr>
              <w:jc w:val="left"/>
            </w:pPr>
            <w:r>
              <w:rPr>
                <w:color w:val="4472C4"/>
                <w:sz w:val="13"/>
              </w:rPr>
              <w:t>AASB 101.61</w:t>
            </w:r>
          </w:p>
        </w:tc>
        <w:tc>
          <w:tcPr>
            <w:tcW w:w="6558" w:type="dxa"/>
            <w:tcBorders>
              <w:bottom w:val="single" w:sz="12" w:space="0" w:color="auto"/>
            </w:tcBorders>
          </w:tcPr>
          <w:p w14:paraId="2B3F7530" w14:textId="77777777" w:rsidR="00182709" w:rsidRDefault="0044097C">
            <w:pPr>
              <w:jc w:val="left"/>
            </w:pPr>
            <w:r>
              <w:t>Non</w:t>
            </w:r>
            <w:r>
              <w:noBreakHyphen/>
              <w:t>current payables</w:t>
            </w:r>
          </w:p>
        </w:tc>
        <w:tc>
          <w:tcPr>
            <w:tcW w:w="866" w:type="dxa"/>
            <w:tcBorders>
              <w:bottom w:val="single" w:sz="12" w:space="0" w:color="auto"/>
            </w:tcBorders>
          </w:tcPr>
          <w:p w14:paraId="3C7F7978" w14:textId="7F8BA512" w:rsidR="00182709" w:rsidRPr="00F1023D" w:rsidRDefault="00E6653B">
            <w:r>
              <w:t>..</w:t>
            </w:r>
          </w:p>
        </w:tc>
        <w:tc>
          <w:tcPr>
            <w:tcW w:w="866" w:type="dxa"/>
            <w:tcBorders>
              <w:bottom w:val="single" w:sz="12" w:space="0" w:color="auto"/>
            </w:tcBorders>
          </w:tcPr>
          <w:p w14:paraId="0163D1EE" w14:textId="2B48AF48" w:rsidR="00182709" w:rsidRPr="00F1023D" w:rsidRDefault="00474486">
            <w:r>
              <w:t>..</w:t>
            </w:r>
          </w:p>
        </w:tc>
      </w:tr>
    </w:tbl>
    <w:p w14:paraId="720ABDF4" w14:textId="77777777" w:rsidR="003719CD" w:rsidRDefault="003719CD" w:rsidP="00DC39DE">
      <w:r>
        <w:t>Payables consist of:</w:t>
      </w:r>
    </w:p>
    <w:p w14:paraId="21261CA0" w14:textId="20E8A19A" w:rsidR="003719CD" w:rsidRDefault="008D43CC" w:rsidP="00310F12">
      <w:pPr>
        <w:pStyle w:val="ListBullet"/>
      </w:pPr>
      <w:r>
        <w:rPr>
          <w:b/>
          <w:bCs/>
        </w:rPr>
        <w:t>C</w:t>
      </w:r>
      <w:r w:rsidR="003719CD" w:rsidRPr="002C6C91">
        <w:rPr>
          <w:b/>
          <w:bCs/>
        </w:rPr>
        <w:t>ontractual payables</w:t>
      </w:r>
      <w:r w:rsidR="009876CF">
        <w:t>:</w:t>
      </w:r>
      <w:r w:rsidR="003719CD">
        <w:t xml:space="preserve"> </w:t>
      </w:r>
      <w:r w:rsidR="007667F2">
        <w:t>C</w:t>
      </w:r>
      <w:r w:rsidR="003719CD">
        <w:t xml:space="preserve">lassified as financial instruments and measured at amortised cost. Accounts payable represent liabilities for goods and services provided to the Department prior to the end of the financial year that are unpaid </w:t>
      </w:r>
    </w:p>
    <w:p w14:paraId="4E24D7A7" w14:textId="5107AC8A" w:rsidR="003719CD" w:rsidRDefault="008D43CC" w:rsidP="00310F12">
      <w:pPr>
        <w:pStyle w:val="ListBullet"/>
      </w:pPr>
      <w:r>
        <w:rPr>
          <w:b/>
          <w:bCs/>
        </w:rPr>
        <w:t>S</w:t>
      </w:r>
      <w:r w:rsidR="003719CD" w:rsidRPr="002C6C91">
        <w:rPr>
          <w:b/>
          <w:bCs/>
        </w:rPr>
        <w:t>tatutory payables</w:t>
      </w:r>
      <w:r w:rsidR="009876CF">
        <w:t xml:space="preserve">: </w:t>
      </w:r>
      <w:r w:rsidR="007667F2">
        <w:t>R</w:t>
      </w:r>
      <w:r w:rsidR="003719CD">
        <w:t xml:space="preserve">ecognised and measured similarly to contractual payables, but not classified as financial instruments and not included in the category of financial liabilities at amortised cost, because they do not arise from contracts. </w:t>
      </w:r>
      <w:r w:rsidR="003719CD" w:rsidRPr="002C6C91">
        <w:rPr>
          <w:rStyle w:val="Reference"/>
        </w:rPr>
        <w:t>[AASB 7.21, AASB 9.5.1.1 and AASB 9.5.3.1]</w:t>
      </w:r>
    </w:p>
    <w:p w14:paraId="7671FDFA" w14:textId="77777777" w:rsidR="003719CD" w:rsidRDefault="003719CD" w:rsidP="00DC39DE">
      <w:r>
        <w:t>Payables for supplies and services have an average credit period of 30 days. No interest is charged on the ‘other payables’ for the first 30 days from the date of the invoice. Thereafter, interest is calculated as 2 per cent on the outstanding balance per annum.</w:t>
      </w:r>
    </w:p>
    <w:p w14:paraId="0E2957A2" w14:textId="48F19770" w:rsidR="003719CD" w:rsidRDefault="003719CD" w:rsidP="00DC39DE">
      <w:r>
        <w:t>The terms and conditions of amounts payable to the government and agencies vary according to the particular agreements and as they are not legislative payables, they are not classified as financial instruments.</w:t>
      </w:r>
    </w:p>
    <w:p w14:paraId="6313A669" w14:textId="50234A63" w:rsidR="003719CD" w:rsidRDefault="003719CD" w:rsidP="007D536F">
      <w:pPr>
        <w:pStyle w:val="Heading3"/>
      </w:pPr>
      <w:r>
        <w:t xml:space="preserve">Deferred capital grant </w:t>
      </w:r>
      <w:r w:rsidR="007C2D8B">
        <w:t>income</w:t>
      </w:r>
    </w:p>
    <w:p w14:paraId="03E3EBB5" w14:textId="1F63BAC4" w:rsidR="003719CD" w:rsidRDefault="003719CD" w:rsidP="00DC39DE">
      <w:r>
        <w:t xml:space="preserve">Grant consideration was received from the Commonwealth Government to support the construction of the data storage centre at Wantirna South and the development and construction of the web infrastructure framework in the </w:t>
      </w:r>
      <w:r w:rsidR="009144E8">
        <w:t>Department</w:t>
      </w:r>
      <w:r>
        <w:t xml:space="preserve">. Grant </w:t>
      </w:r>
      <w:r w:rsidR="007C2D8B">
        <w:t>income</w:t>
      </w:r>
      <w:r>
        <w:t xml:space="preserve"> is recognised progressively as the asset is constructed, since this is the time when the Department satisfies its obligations under the transfer by controlling the asset as and when it is constructed. The progressive percentage costs incurred is used to recognise income because this most closely reflects the progress to completion as costs are incurred as the works are done. (see note 2.1) As a result, the </w:t>
      </w:r>
      <w:r w:rsidR="009144E8">
        <w:t xml:space="preserve">Department </w:t>
      </w:r>
      <w:r>
        <w:t>has deferred recognition of a portion of the grant consideration received as a liability for the outstanding obligations.</w:t>
      </w:r>
    </w:p>
    <w:p w14:paraId="59D61EE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50"/>
        <w:gridCol w:w="6557"/>
        <w:gridCol w:w="866"/>
        <w:gridCol w:w="866"/>
      </w:tblGrid>
      <w:tr w:rsidR="00105FBB" w:rsidRPr="006F738A" w14:paraId="6E03A580" w14:textId="77777777" w:rsidTr="00012743">
        <w:trPr>
          <w:cnfStyle w:val="100000000000" w:firstRow="1" w:lastRow="0" w:firstColumn="0" w:lastColumn="0" w:oddVBand="0" w:evenVBand="0" w:oddHBand="0" w:evenHBand="0" w:firstRowFirstColumn="0" w:firstRowLastColumn="0" w:lastRowFirstColumn="0" w:lastRowLastColumn="0"/>
        </w:trPr>
        <w:tc>
          <w:tcPr>
            <w:tcW w:w="1350" w:type="dxa"/>
            <w:tcBorders>
              <w:bottom w:val="nil"/>
            </w:tcBorders>
            <w:shd w:val="clear" w:color="auto" w:fill="auto"/>
          </w:tcPr>
          <w:p w14:paraId="6310244C" w14:textId="5EE64DBE" w:rsidR="00105FBB" w:rsidRPr="00012743" w:rsidRDefault="00105FBB" w:rsidP="00105FBB">
            <w:pPr>
              <w:jc w:val="left"/>
              <w:rPr>
                <w:color w:val="4472C4" w:themeColor="accent1"/>
                <w:sz w:val="13"/>
                <w:szCs w:val="13"/>
              </w:rPr>
            </w:pPr>
            <w:r w:rsidRPr="00012743">
              <w:rPr>
                <w:color w:val="4472C4" w:themeColor="accent1"/>
                <w:sz w:val="13"/>
                <w:szCs w:val="13"/>
              </w:rPr>
              <w:t>Source reference</w:t>
            </w:r>
          </w:p>
        </w:tc>
        <w:tc>
          <w:tcPr>
            <w:tcW w:w="6557" w:type="dxa"/>
          </w:tcPr>
          <w:p w14:paraId="7D4D6141" w14:textId="77777777" w:rsidR="00105FBB" w:rsidRPr="006F738A" w:rsidRDefault="00105FBB" w:rsidP="00105FBB">
            <w:pPr>
              <w:ind w:left="170" w:hanging="170"/>
              <w:rPr>
                <w:szCs w:val="16"/>
              </w:rPr>
            </w:pPr>
          </w:p>
        </w:tc>
        <w:tc>
          <w:tcPr>
            <w:tcW w:w="866" w:type="dxa"/>
          </w:tcPr>
          <w:p w14:paraId="1C98FF2A" w14:textId="70C1D019" w:rsidR="00105FBB" w:rsidRPr="006F738A" w:rsidRDefault="00105FBB" w:rsidP="00105FBB">
            <w:pPr>
              <w:rPr>
                <w:szCs w:val="16"/>
              </w:rPr>
            </w:pPr>
            <w:fldSimple w:instr="DOCPROPERTY  YearCurrent \* MERGEFORMAT">
              <w:r w:rsidRPr="00105FBB">
                <w:t>20X2</w:t>
              </w:r>
            </w:fldSimple>
          </w:p>
        </w:tc>
        <w:tc>
          <w:tcPr>
            <w:tcW w:w="866" w:type="dxa"/>
          </w:tcPr>
          <w:p w14:paraId="3481AE2C" w14:textId="39E4C50B" w:rsidR="00105FBB" w:rsidRPr="006F738A" w:rsidRDefault="00105FBB" w:rsidP="00105FBB">
            <w:pPr>
              <w:rPr>
                <w:szCs w:val="16"/>
              </w:rPr>
            </w:pPr>
            <w:fldSimple w:instr="DOCPROPERTY  YearPrevious  \* MERGEFORMAT">
              <w:r w:rsidRPr="00105FBB">
                <w:t>20X1</w:t>
              </w:r>
            </w:fldSimple>
          </w:p>
        </w:tc>
      </w:tr>
      <w:tr w:rsidR="008E5233" w14:paraId="72F1096F" w14:textId="77777777" w:rsidTr="00012743">
        <w:tc>
          <w:tcPr>
            <w:tcW w:w="1350" w:type="dxa"/>
            <w:tcBorders>
              <w:bottom w:val="nil"/>
            </w:tcBorders>
          </w:tcPr>
          <w:p w14:paraId="5501B953"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3E2F8BE1" w14:textId="77777777" w:rsidR="008E5233" w:rsidRPr="006F738A" w:rsidRDefault="005648A9" w:rsidP="006F738A">
            <w:pPr>
              <w:ind w:left="170" w:hanging="170"/>
              <w:jc w:val="left"/>
              <w:rPr>
                <w:szCs w:val="16"/>
              </w:rPr>
            </w:pPr>
            <w:r w:rsidRPr="006F738A">
              <w:rPr>
                <w:szCs w:val="16"/>
              </w:rPr>
              <w:t>Grant consideration for capital works recognised that was included in the deferred grant liability balance (adjusted for AASB 1058) at the beginning of the year</w:t>
            </w:r>
          </w:p>
        </w:tc>
        <w:tc>
          <w:tcPr>
            <w:tcW w:w="866" w:type="dxa"/>
          </w:tcPr>
          <w:p w14:paraId="411611B4" w14:textId="77777777" w:rsidR="008E5233" w:rsidRPr="006F738A" w:rsidRDefault="005648A9">
            <w:pPr>
              <w:rPr>
                <w:szCs w:val="16"/>
              </w:rPr>
            </w:pPr>
            <w:r w:rsidRPr="006F738A">
              <w:rPr>
                <w:szCs w:val="16"/>
              </w:rPr>
              <w:t>13</w:t>
            </w:r>
          </w:p>
        </w:tc>
        <w:tc>
          <w:tcPr>
            <w:tcW w:w="866" w:type="dxa"/>
          </w:tcPr>
          <w:p w14:paraId="06B1ED80" w14:textId="77777777" w:rsidR="008E5233" w:rsidRPr="006F738A" w:rsidRDefault="005648A9">
            <w:pPr>
              <w:rPr>
                <w:szCs w:val="16"/>
              </w:rPr>
            </w:pPr>
            <w:r w:rsidRPr="006F738A">
              <w:rPr>
                <w:szCs w:val="16"/>
              </w:rPr>
              <w:t>..</w:t>
            </w:r>
          </w:p>
        </w:tc>
      </w:tr>
      <w:tr w:rsidR="008E5233" w14:paraId="6714A798" w14:textId="77777777" w:rsidTr="00012743">
        <w:tc>
          <w:tcPr>
            <w:tcW w:w="1350" w:type="dxa"/>
            <w:tcBorders>
              <w:bottom w:val="nil"/>
            </w:tcBorders>
          </w:tcPr>
          <w:p w14:paraId="2403E189"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43F00223" w14:textId="77777777" w:rsidR="008E5233" w:rsidRPr="006F738A" w:rsidRDefault="005648A9" w:rsidP="006F738A">
            <w:pPr>
              <w:ind w:left="170" w:hanging="170"/>
              <w:jc w:val="left"/>
              <w:rPr>
                <w:szCs w:val="16"/>
              </w:rPr>
            </w:pPr>
            <w:r w:rsidRPr="006F738A">
              <w:rPr>
                <w:szCs w:val="16"/>
              </w:rPr>
              <w:t>Grant consideration for capital works received during the year</w:t>
            </w:r>
          </w:p>
        </w:tc>
        <w:tc>
          <w:tcPr>
            <w:tcW w:w="866" w:type="dxa"/>
          </w:tcPr>
          <w:p w14:paraId="698EC97C" w14:textId="77777777" w:rsidR="008E5233" w:rsidRPr="006F738A" w:rsidRDefault="005648A9">
            <w:pPr>
              <w:rPr>
                <w:szCs w:val="16"/>
              </w:rPr>
            </w:pPr>
            <w:r w:rsidRPr="006F738A">
              <w:rPr>
                <w:szCs w:val="16"/>
              </w:rPr>
              <w:t>53</w:t>
            </w:r>
          </w:p>
        </w:tc>
        <w:tc>
          <w:tcPr>
            <w:tcW w:w="866" w:type="dxa"/>
          </w:tcPr>
          <w:p w14:paraId="25D492E8" w14:textId="77777777" w:rsidR="008E5233" w:rsidRPr="006F738A" w:rsidRDefault="005648A9">
            <w:pPr>
              <w:rPr>
                <w:szCs w:val="16"/>
              </w:rPr>
            </w:pPr>
            <w:r w:rsidRPr="006F738A">
              <w:rPr>
                <w:szCs w:val="16"/>
              </w:rPr>
              <w:t>53</w:t>
            </w:r>
          </w:p>
        </w:tc>
      </w:tr>
      <w:tr w:rsidR="008E5233" w14:paraId="2038895C" w14:textId="77777777" w:rsidTr="00012743">
        <w:tc>
          <w:tcPr>
            <w:tcW w:w="1350" w:type="dxa"/>
            <w:tcBorders>
              <w:bottom w:val="nil"/>
            </w:tcBorders>
          </w:tcPr>
          <w:p w14:paraId="1E6E5FD7"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0B5F8AFC" w14:textId="5ED2473B" w:rsidR="008E5233" w:rsidRPr="006F738A" w:rsidRDefault="005648A9" w:rsidP="006F738A">
            <w:pPr>
              <w:ind w:left="170" w:hanging="170"/>
              <w:jc w:val="left"/>
              <w:rPr>
                <w:szCs w:val="16"/>
              </w:rPr>
            </w:pPr>
            <w:r w:rsidRPr="006F738A">
              <w:rPr>
                <w:szCs w:val="16"/>
              </w:rPr>
              <w:t xml:space="preserve">Grant </w:t>
            </w:r>
            <w:r w:rsidR="007C2D8B">
              <w:rPr>
                <w:szCs w:val="16"/>
              </w:rPr>
              <w:t>income</w:t>
            </w:r>
            <w:r w:rsidR="007C2D8B" w:rsidRPr="006F738A">
              <w:rPr>
                <w:szCs w:val="16"/>
              </w:rPr>
              <w:t xml:space="preserve"> </w:t>
            </w:r>
            <w:r w:rsidRPr="006F738A">
              <w:rPr>
                <w:szCs w:val="16"/>
              </w:rPr>
              <w:t>for capital works recognised consistent with the capital works undertaken during the year</w:t>
            </w:r>
          </w:p>
        </w:tc>
        <w:tc>
          <w:tcPr>
            <w:tcW w:w="866" w:type="dxa"/>
          </w:tcPr>
          <w:p w14:paraId="6B638AC9" w14:textId="77777777" w:rsidR="008E5233" w:rsidRPr="006F738A" w:rsidRDefault="005648A9">
            <w:pPr>
              <w:rPr>
                <w:szCs w:val="16"/>
              </w:rPr>
            </w:pPr>
            <w:r w:rsidRPr="006F738A">
              <w:rPr>
                <w:szCs w:val="16"/>
              </w:rPr>
              <w:t>(40)</w:t>
            </w:r>
          </w:p>
        </w:tc>
        <w:tc>
          <w:tcPr>
            <w:tcW w:w="866" w:type="dxa"/>
          </w:tcPr>
          <w:p w14:paraId="64D0256C" w14:textId="77777777" w:rsidR="008E5233" w:rsidRPr="006F738A" w:rsidRDefault="005648A9">
            <w:pPr>
              <w:rPr>
                <w:szCs w:val="16"/>
              </w:rPr>
            </w:pPr>
            <w:r w:rsidRPr="006F738A">
              <w:rPr>
                <w:szCs w:val="16"/>
              </w:rPr>
              <w:t>(40)</w:t>
            </w:r>
          </w:p>
        </w:tc>
      </w:tr>
      <w:tr w:rsidR="008E5233" w14:paraId="28B23D83" w14:textId="77777777" w:rsidTr="00012743">
        <w:tc>
          <w:tcPr>
            <w:tcW w:w="1350" w:type="dxa"/>
            <w:tcBorders>
              <w:bottom w:val="nil"/>
            </w:tcBorders>
          </w:tcPr>
          <w:p w14:paraId="33FA6231" w14:textId="77777777" w:rsidR="008E5233" w:rsidRPr="00012743" w:rsidRDefault="005648A9">
            <w:pPr>
              <w:jc w:val="left"/>
              <w:rPr>
                <w:color w:val="4472C4" w:themeColor="accent1"/>
                <w:sz w:val="13"/>
                <w:szCs w:val="13"/>
              </w:rPr>
            </w:pPr>
            <w:r w:rsidRPr="00012743">
              <w:rPr>
                <w:color w:val="4472C4" w:themeColor="accent1"/>
                <w:sz w:val="13"/>
                <w:szCs w:val="13"/>
              </w:rPr>
              <w:t>AASB 1058.31</w:t>
            </w:r>
          </w:p>
        </w:tc>
        <w:tc>
          <w:tcPr>
            <w:tcW w:w="6557" w:type="dxa"/>
          </w:tcPr>
          <w:p w14:paraId="2795CE7D" w14:textId="77777777" w:rsidR="008E5233" w:rsidRPr="006F738A" w:rsidRDefault="005648A9" w:rsidP="006F738A">
            <w:pPr>
              <w:ind w:left="170" w:hanging="170"/>
              <w:jc w:val="left"/>
              <w:rPr>
                <w:szCs w:val="16"/>
              </w:rPr>
            </w:pPr>
            <w:r w:rsidRPr="006F738A">
              <w:rPr>
                <w:szCs w:val="16"/>
              </w:rPr>
              <w:t>Closing balance of deferred grant consideration received for capital works</w:t>
            </w:r>
          </w:p>
        </w:tc>
        <w:tc>
          <w:tcPr>
            <w:tcW w:w="866" w:type="dxa"/>
          </w:tcPr>
          <w:p w14:paraId="391F5F56" w14:textId="77777777" w:rsidR="008E5233" w:rsidRPr="006F738A" w:rsidRDefault="005648A9">
            <w:pPr>
              <w:rPr>
                <w:szCs w:val="16"/>
              </w:rPr>
            </w:pPr>
            <w:r w:rsidRPr="006F738A">
              <w:rPr>
                <w:szCs w:val="16"/>
              </w:rPr>
              <w:t>26</w:t>
            </w:r>
          </w:p>
        </w:tc>
        <w:tc>
          <w:tcPr>
            <w:tcW w:w="866" w:type="dxa"/>
          </w:tcPr>
          <w:p w14:paraId="03993C7D" w14:textId="77777777" w:rsidR="008E5233" w:rsidRPr="006F738A" w:rsidRDefault="005648A9">
            <w:pPr>
              <w:rPr>
                <w:szCs w:val="16"/>
              </w:rPr>
            </w:pPr>
            <w:r w:rsidRPr="006F738A">
              <w:rPr>
                <w:szCs w:val="16"/>
              </w:rPr>
              <w:t>13</w:t>
            </w:r>
          </w:p>
        </w:tc>
      </w:tr>
    </w:tbl>
    <w:p w14:paraId="1E851149" w14:textId="77777777" w:rsidR="003719CD" w:rsidRDefault="003719CD" w:rsidP="007D536F"/>
    <w:p w14:paraId="71F4D4F7" w14:textId="3F49245D" w:rsidR="003719CD" w:rsidRDefault="003719CD" w:rsidP="00DC39DE">
      <w:r>
        <w:t xml:space="preserve">There was a slight delay on completion of the construction work and the Department is expected to recognise all of the remaining grant </w:t>
      </w:r>
      <w:r w:rsidR="00732EE9">
        <w:t xml:space="preserve">income </w:t>
      </w:r>
      <w:r>
        <w:t>for capital works the following year. This is because the Commonwealth Government only provides grant funding progressively based on the estimated costs expected to be incurred each year.</w:t>
      </w:r>
    </w:p>
    <w:p w14:paraId="67AD3EA7" w14:textId="77777777" w:rsidR="00C67C1A" w:rsidRDefault="00C67C1A" w:rsidP="003909CA">
      <w:pPr>
        <w:pStyle w:val="Heading3"/>
        <w:pageBreakBefore/>
      </w:pPr>
      <w:r>
        <w:lastRenderedPageBreak/>
        <w:t>Contract liabilities</w:t>
      </w:r>
    </w:p>
    <w:p w14:paraId="7C497F3B" w14:textId="77777777" w:rsidR="00C67C1A" w:rsidRDefault="00C67C1A" w:rsidP="00C67C1A">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05FBB" w14:paraId="56C5928E" w14:textId="77777777" w:rsidTr="00105FB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2AA2F039" w14:textId="77777777" w:rsidR="00105FBB" w:rsidRDefault="00105FBB" w:rsidP="00105FBB">
            <w:pPr>
              <w:keepNext/>
              <w:jc w:val="left"/>
            </w:pPr>
            <w:r>
              <w:rPr>
                <w:color w:val="4472C4"/>
                <w:sz w:val="13"/>
              </w:rPr>
              <w:t>Source reference</w:t>
            </w:r>
          </w:p>
        </w:tc>
        <w:tc>
          <w:tcPr>
            <w:tcW w:w="6558" w:type="dxa"/>
          </w:tcPr>
          <w:p w14:paraId="47E682DD" w14:textId="77777777" w:rsidR="00105FBB" w:rsidRDefault="00105FBB" w:rsidP="00105FBB">
            <w:pPr>
              <w:keepNext/>
              <w:jc w:val="left"/>
            </w:pPr>
          </w:p>
        </w:tc>
        <w:tc>
          <w:tcPr>
            <w:tcW w:w="866" w:type="dxa"/>
          </w:tcPr>
          <w:p w14:paraId="71372F0D" w14:textId="7C471C75" w:rsidR="00105FBB" w:rsidRDefault="00105FBB" w:rsidP="00105FBB">
            <w:pPr>
              <w:keepNext/>
            </w:pPr>
            <w:fldSimple w:instr="DOCPROPERTY  YearCurrent \* MERGEFORMAT">
              <w:r w:rsidRPr="00105FBB">
                <w:t>20X2</w:t>
              </w:r>
            </w:fldSimple>
          </w:p>
        </w:tc>
        <w:tc>
          <w:tcPr>
            <w:tcW w:w="866" w:type="dxa"/>
          </w:tcPr>
          <w:p w14:paraId="6D14EC99" w14:textId="7210769B" w:rsidR="00105FBB" w:rsidRDefault="00105FBB" w:rsidP="00105FBB">
            <w:pPr>
              <w:keepNext/>
            </w:pPr>
            <w:fldSimple w:instr="DOCPROPERTY  YearPrevious  \* MERGEFORMAT">
              <w:r w:rsidRPr="00105FBB">
                <w:t>20X1</w:t>
              </w:r>
            </w:fldSimple>
          </w:p>
        </w:tc>
      </w:tr>
      <w:tr w:rsidR="00C67C1A" w14:paraId="25767255" w14:textId="77777777" w:rsidTr="00105FBB">
        <w:tc>
          <w:tcPr>
            <w:tcW w:w="1349" w:type="dxa"/>
          </w:tcPr>
          <w:p w14:paraId="74943DDB" w14:textId="77777777" w:rsidR="00C67C1A" w:rsidRDefault="00C67C1A">
            <w:pPr>
              <w:jc w:val="left"/>
            </w:pPr>
            <w:r>
              <w:rPr>
                <w:color w:val="4472C4"/>
                <w:sz w:val="13"/>
              </w:rPr>
              <w:t>AASB 15.116 (a)</w:t>
            </w:r>
          </w:p>
        </w:tc>
        <w:tc>
          <w:tcPr>
            <w:tcW w:w="6558" w:type="dxa"/>
          </w:tcPr>
          <w:p w14:paraId="7615E674" w14:textId="77777777" w:rsidR="00C67C1A" w:rsidRDefault="00C67C1A">
            <w:pPr>
              <w:jc w:val="left"/>
            </w:pPr>
            <w:r>
              <w:t>Contract liabilities</w:t>
            </w:r>
          </w:p>
        </w:tc>
        <w:tc>
          <w:tcPr>
            <w:tcW w:w="866" w:type="dxa"/>
          </w:tcPr>
          <w:p w14:paraId="4136DF8F" w14:textId="77777777" w:rsidR="00C67C1A" w:rsidRDefault="00C67C1A"/>
        </w:tc>
        <w:tc>
          <w:tcPr>
            <w:tcW w:w="866" w:type="dxa"/>
          </w:tcPr>
          <w:p w14:paraId="712B4EAF" w14:textId="77777777" w:rsidR="00C67C1A" w:rsidRDefault="00C67C1A"/>
        </w:tc>
      </w:tr>
      <w:tr w:rsidR="00C67C1A" w14:paraId="463C2CBE" w14:textId="77777777" w:rsidTr="00105FBB">
        <w:tc>
          <w:tcPr>
            <w:tcW w:w="1349" w:type="dxa"/>
          </w:tcPr>
          <w:p w14:paraId="4C0CE9F0" w14:textId="77777777" w:rsidR="00C67C1A" w:rsidRDefault="00C67C1A">
            <w:pPr>
              <w:jc w:val="left"/>
            </w:pPr>
            <w:r>
              <w:rPr>
                <w:color w:val="4472C4"/>
                <w:sz w:val="13"/>
              </w:rPr>
              <w:t>AASB 15.116 (b)</w:t>
            </w:r>
          </w:p>
        </w:tc>
        <w:tc>
          <w:tcPr>
            <w:tcW w:w="6558" w:type="dxa"/>
          </w:tcPr>
          <w:p w14:paraId="26778BD5" w14:textId="77777777" w:rsidR="00C67C1A" w:rsidRDefault="00C67C1A">
            <w:pPr>
              <w:jc w:val="left"/>
            </w:pPr>
            <w:r>
              <w:t>Opening balance</w:t>
            </w:r>
          </w:p>
        </w:tc>
        <w:tc>
          <w:tcPr>
            <w:tcW w:w="866" w:type="dxa"/>
          </w:tcPr>
          <w:p w14:paraId="533C3695" w14:textId="77777777" w:rsidR="00C67C1A" w:rsidRDefault="00C67C1A">
            <w:r>
              <w:t>85</w:t>
            </w:r>
          </w:p>
        </w:tc>
        <w:tc>
          <w:tcPr>
            <w:tcW w:w="866" w:type="dxa"/>
          </w:tcPr>
          <w:p w14:paraId="4806C18D" w14:textId="77777777" w:rsidR="00C67C1A" w:rsidRDefault="00C67C1A">
            <w:r>
              <w:t>55</w:t>
            </w:r>
          </w:p>
        </w:tc>
      </w:tr>
      <w:tr w:rsidR="00C67C1A" w14:paraId="7DCA2975" w14:textId="77777777" w:rsidTr="00105FBB">
        <w:tc>
          <w:tcPr>
            <w:tcW w:w="1349" w:type="dxa"/>
          </w:tcPr>
          <w:p w14:paraId="0D8D4BCB" w14:textId="77777777" w:rsidR="00C67C1A" w:rsidRDefault="00C67C1A">
            <w:pPr>
              <w:jc w:val="left"/>
            </w:pPr>
          </w:p>
        </w:tc>
        <w:tc>
          <w:tcPr>
            <w:tcW w:w="6558" w:type="dxa"/>
          </w:tcPr>
          <w:p w14:paraId="00A16B43" w14:textId="77777777" w:rsidR="00C67C1A" w:rsidRDefault="00C67C1A">
            <w:pPr>
              <w:jc w:val="left"/>
            </w:pPr>
            <w:r>
              <w:t>Add: Payments received for performance obligations yet to be completed during the period</w:t>
            </w:r>
          </w:p>
        </w:tc>
        <w:tc>
          <w:tcPr>
            <w:tcW w:w="866" w:type="dxa"/>
          </w:tcPr>
          <w:p w14:paraId="4B9CABE0" w14:textId="77777777" w:rsidR="00C67C1A" w:rsidRDefault="00C67C1A">
            <w:r>
              <w:t>80</w:t>
            </w:r>
          </w:p>
        </w:tc>
        <w:tc>
          <w:tcPr>
            <w:tcW w:w="866" w:type="dxa"/>
          </w:tcPr>
          <w:p w14:paraId="547A959A" w14:textId="77777777" w:rsidR="00C67C1A" w:rsidRDefault="00C67C1A">
            <w:r>
              <w:t>110</w:t>
            </w:r>
          </w:p>
        </w:tc>
      </w:tr>
      <w:tr w:rsidR="00C67C1A" w14:paraId="7EB2EC2E" w14:textId="77777777" w:rsidTr="00105FBB">
        <w:tc>
          <w:tcPr>
            <w:tcW w:w="1349" w:type="dxa"/>
          </w:tcPr>
          <w:p w14:paraId="4FA558A7" w14:textId="77777777" w:rsidR="00C67C1A" w:rsidRDefault="00C67C1A">
            <w:pPr>
              <w:jc w:val="left"/>
            </w:pPr>
          </w:p>
        </w:tc>
        <w:tc>
          <w:tcPr>
            <w:tcW w:w="6558" w:type="dxa"/>
          </w:tcPr>
          <w:p w14:paraId="1546CEEB" w14:textId="77777777" w:rsidR="00C67C1A" w:rsidRDefault="00C67C1A">
            <w:pPr>
              <w:jc w:val="left"/>
            </w:pPr>
            <w:r>
              <w:t>Add: Grant consideration for sufficiently specific performance obligations received during the year</w:t>
            </w:r>
          </w:p>
        </w:tc>
        <w:tc>
          <w:tcPr>
            <w:tcW w:w="866" w:type="dxa"/>
          </w:tcPr>
          <w:p w14:paraId="587CD573" w14:textId="77777777" w:rsidR="00C67C1A" w:rsidRDefault="00C67C1A">
            <w:r>
              <w:t>50</w:t>
            </w:r>
          </w:p>
        </w:tc>
        <w:tc>
          <w:tcPr>
            <w:tcW w:w="866" w:type="dxa"/>
          </w:tcPr>
          <w:p w14:paraId="481592F0" w14:textId="77777777" w:rsidR="00C67C1A" w:rsidRDefault="00C67C1A">
            <w:r>
              <w:t>50</w:t>
            </w:r>
          </w:p>
        </w:tc>
      </w:tr>
      <w:tr w:rsidR="00C67C1A" w14:paraId="6E520843" w14:textId="77777777" w:rsidTr="00105FBB">
        <w:tc>
          <w:tcPr>
            <w:tcW w:w="1349" w:type="dxa"/>
          </w:tcPr>
          <w:p w14:paraId="311BAF9A" w14:textId="77777777" w:rsidR="00C67C1A" w:rsidRDefault="00C67C1A">
            <w:pPr>
              <w:jc w:val="left"/>
            </w:pPr>
          </w:p>
        </w:tc>
        <w:tc>
          <w:tcPr>
            <w:tcW w:w="6558" w:type="dxa"/>
          </w:tcPr>
          <w:p w14:paraId="0E2C6969" w14:textId="77777777" w:rsidR="00C67C1A" w:rsidRDefault="00C67C1A">
            <w:pPr>
              <w:jc w:val="left"/>
            </w:pPr>
            <w:r>
              <w:t xml:space="preserve">Less: </w:t>
            </w:r>
            <w:r w:rsidRPr="00136BBE">
              <w:t>Revenue recognised in the reporting period for the completion of a performance obligation</w:t>
            </w:r>
          </w:p>
        </w:tc>
        <w:tc>
          <w:tcPr>
            <w:tcW w:w="866" w:type="dxa"/>
          </w:tcPr>
          <w:p w14:paraId="58D4990A" w14:textId="77777777" w:rsidR="00C67C1A" w:rsidRDefault="00C67C1A">
            <w:r>
              <w:t>(85)</w:t>
            </w:r>
          </w:p>
        </w:tc>
        <w:tc>
          <w:tcPr>
            <w:tcW w:w="866" w:type="dxa"/>
          </w:tcPr>
          <w:p w14:paraId="6F0001CD" w14:textId="77777777" w:rsidR="00C67C1A" w:rsidRDefault="00C67C1A">
            <w:r>
              <w:t>(85)</w:t>
            </w:r>
          </w:p>
        </w:tc>
      </w:tr>
      <w:tr w:rsidR="00C67C1A" w14:paraId="53A6A880" w14:textId="77777777" w:rsidTr="00105FBB">
        <w:tc>
          <w:tcPr>
            <w:tcW w:w="1349" w:type="dxa"/>
          </w:tcPr>
          <w:p w14:paraId="5C13D6AB" w14:textId="77777777" w:rsidR="00C67C1A" w:rsidRDefault="00C67C1A">
            <w:pPr>
              <w:jc w:val="left"/>
            </w:pPr>
          </w:p>
        </w:tc>
        <w:tc>
          <w:tcPr>
            <w:tcW w:w="6558" w:type="dxa"/>
            <w:tcBorders>
              <w:bottom w:val="single" w:sz="12" w:space="0" w:color="auto"/>
            </w:tcBorders>
          </w:tcPr>
          <w:p w14:paraId="001F405B" w14:textId="77777777" w:rsidR="00C67C1A" w:rsidRDefault="00C67C1A">
            <w:pPr>
              <w:jc w:val="left"/>
            </w:pPr>
            <w:r>
              <w:t>Less:</w:t>
            </w:r>
            <w:r w:rsidRPr="00136BBE">
              <w:t xml:space="preserve"> Grant revenue for sufficiently specific performance obligations works recognised consistent with the performance obligations met during the year</w:t>
            </w:r>
          </w:p>
        </w:tc>
        <w:tc>
          <w:tcPr>
            <w:tcW w:w="866" w:type="dxa"/>
            <w:tcBorders>
              <w:bottom w:val="single" w:sz="12" w:space="0" w:color="auto"/>
            </w:tcBorders>
          </w:tcPr>
          <w:p w14:paraId="49F49B8E" w14:textId="77777777" w:rsidR="00C67C1A" w:rsidRDefault="00C67C1A">
            <w:r>
              <w:t>(45)</w:t>
            </w:r>
          </w:p>
        </w:tc>
        <w:tc>
          <w:tcPr>
            <w:tcW w:w="866" w:type="dxa"/>
            <w:tcBorders>
              <w:bottom w:val="single" w:sz="12" w:space="0" w:color="auto"/>
            </w:tcBorders>
          </w:tcPr>
          <w:p w14:paraId="48006EC7" w14:textId="77777777" w:rsidR="00C67C1A" w:rsidRDefault="00C67C1A">
            <w:r>
              <w:t>(45)</w:t>
            </w:r>
          </w:p>
        </w:tc>
      </w:tr>
      <w:tr w:rsidR="00C67C1A" w14:paraId="0CC13D88" w14:textId="77777777" w:rsidTr="00105FBB">
        <w:tc>
          <w:tcPr>
            <w:tcW w:w="1349" w:type="dxa"/>
          </w:tcPr>
          <w:p w14:paraId="3B9B1908" w14:textId="77777777" w:rsidR="00C67C1A" w:rsidRDefault="00C67C1A">
            <w:pPr>
              <w:jc w:val="left"/>
            </w:pPr>
          </w:p>
        </w:tc>
        <w:tc>
          <w:tcPr>
            <w:tcW w:w="6558" w:type="dxa"/>
          </w:tcPr>
          <w:p w14:paraId="481C1C46" w14:textId="77777777" w:rsidR="00C67C1A" w:rsidRDefault="00C67C1A">
            <w:pPr>
              <w:jc w:val="left"/>
            </w:pPr>
            <w:r>
              <w:rPr>
                <w:b/>
              </w:rPr>
              <w:t>Total contract liabilities</w:t>
            </w:r>
          </w:p>
        </w:tc>
        <w:tc>
          <w:tcPr>
            <w:tcW w:w="866" w:type="dxa"/>
          </w:tcPr>
          <w:p w14:paraId="7975977F" w14:textId="77777777" w:rsidR="00C67C1A" w:rsidRDefault="00C67C1A">
            <w:r>
              <w:rPr>
                <w:b/>
              </w:rPr>
              <w:t>85</w:t>
            </w:r>
          </w:p>
        </w:tc>
        <w:tc>
          <w:tcPr>
            <w:tcW w:w="866" w:type="dxa"/>
          </w:tcPr>
          <w:p w14:paraId="2F41DCD2" w14:textId="77777777" w:rsidR="00C67C1A" w:rsidRDefault="00C67C1A">
            <w:r>
              <w:rPr>
                <w:b/>
              </w:rPr>
              <w:t>85</w:t>
            </w:r>
          </w:p>
        </w:tc>
      </w:tr>
      <w:tr w:rsidR="00C67C1A" w14:paraId="5C650831" w14:textId="77777777" w:rsidTr="00105FBB">
        <w:tc>
          <w:tcPr>
            <w:tcW w:w="1349" w:type="dxa"/>
          </w:tcPr>
          <w:p w14:paraId="6C624AB1" w14:textId="77777777" w:rsidR="00C67C1A" w:rsidRDefault="00C67C1A">
            <w:pPr>
              <w:jc w:val="left"/>
            </w:pPr>
          </w:p>
        </w:tc>
        <w:tc>
          <w:tcPr>
            <w:tcW w:w="6558" w:type="dxa"/>
          </w:tcPr>
          <w:p w14:paraId="11D862A9" w14:textId="77777777" w:rsidR="00C67C1A" w:rsidRDefault="00C67C1A">
            <w:pPr>
              <w:jc w:val="left"/>
            </w:pPr>
            <w:r>
              <w:rPr>
                <w:i/>
              </w:rPr>
              <w:t>Represented by</w:t>
            </w:r>
          </w:p>
        </w:tc>
        <w:tc>
          <w:tcPr>
            <w:tcW w:w="866" w:type="dxa"/>
          </w:tcPr>
          <w:p w14:paraId="354DB8B3" w14:textId="77777777" w:rsidR="00C67C1A" w:rsidRDefault="00C67C1A"/>
        </w:tc>
        <w:tc>
          <w:tcPr>
            <w:tcW w:w="866" w:type="dxa"/>
          </w:tcPr>
          <w:p w14:paraId="01B37390" w14:textId="77777777" w:rsidR="00C67C1A" w:rsidRDefault="00C67C1A"/>
        </w:tc>
      </w:tr>
      <w:tr w:rsidR="00C67C1A" w14:paraId="06702C80" w14:textId="77777777" w:rsidTr="00105FBB">
        <w:tc>
          <w:tcPr>
            <w:tcW w:w="1349" w:type="dxa"/>
          </w:tcPr>
          <w:p w14:paraId="2AF83870" w14:textId="77777777" w:rsidR="00C67C1A" w:rsidRDefault="00C67C1A">
            <w:pPr>
              <w:jc w:val="left"/>
            </w:pPr>
            <w:r>
              <w:rPr>
                <w:color w:val="4472C4"/>
                <w:sz w:val="13"/>
              </w:rPr>
              <w:t>AASB 15.116 (a)</w:t>
            </w:r>
          </w:p>
        </w:tc>
        <w:tc>
          <w:tcPr>
            <w:tcW w:w="6558" w:type="dxa"/>
          </w:tcPr>
          <w:p w14:paraId="0F99FC1A" w14:textId="77777777" w:rsidR="00C67C1A" w:rsidRDefault="00C67C1A">
            <w:pPr>
              <w:jc w:val="left"/>
            </w:pPr>
            <w:r>
              <w:t>Current contract liabilities</w:t>
            </w:r>
          </w:p>
        </w:tc>
        <w:tc>
          <w:tcPr>
            <w:tcW w:w="866" w:type="dxa"/>
          </w:tcPr>
          <w:p w14:paraId="21693C00" w14:textId="77777777" w:rsidR="00C67C1A" w:rsidRDefault="00C67C1A">
            <w:r>
              <w:t>85</w:t>
            </w:r>
          </w:p>
        </w:tc>
        <w:tc>
          <w:tcPr>
            <w:tcW w:w="866" w:type="dxa"/>
          </w:tcPr>
          <w:p w14:paraId="5D2F9B93" w14:textId="77777777" w:rsidR="00C67C1A" w:rsidRDefault="00C67C1A">
            <w:r>
              <w:t>85</w:t>
            </w:r>
          </w:p>
        </w:tc>
      </w:tr>
      <w:tr w:rsidR="00C67C1A" w14:paraId="1AD11515" w14:textId="77777777" w:rsidTr="00105FBB">
        <w:tc>
          <w:tcPr>
            <w:tcW w:w="1349" w:type="dxa"/>
            <w:tcBorders>
              <w:bottom w:val="nil"/>
            </w:tcBorders>
          </w:tcPr>
          <w:p w14:paraId="1867D2AA" w14:textId="77777777" w:rsidR="00C67C1A" w:rsidRDefault="00C67C1A">
            <w:pPr>
              <w:jc w:val="left"/>
            </w:pPr>
            <w:r>
              <w:rPr>
                <w:color w:val="4472C4"/>
                <w:sz w:val="13"/>
              </w:rPr>
              <w:t>AASB 15.116 (a)</w:t>
            </w:r>
          </w:p>
        </w:tc>
        <w:tc>
          <w:tcPr>
            <w:tcW w:w="6558" w:type="dxa"/>
            <w:tcBorders>
              <w:bottom w:val="single" w:sz="12" w:space="0" w:color="auto"/>
            </w:tcBorders>
          </w:tcPr>
          <w:p w14:paraId="62098505" w14:textId="77777777" w:rsidR="00C67C1A" w:rsidRDefault="00C67C1A">
            <w:pPr>
              <w:jc w:val="left"/>
            </w:pPr>
            <w:r>
              <w:t>Non</w:t>
            </w:r>
            <w:r>
              <w:noBreakHyphen/>
              <w:t>current contract liabilities</w:t>
            </w:r>
          </w:p>
        </w:tc>
        <w:tc>
          <w:tcPr>
            <w:tcW w:w="866" w:type="dxa"/>
            <w:tcBorders>
              <w:bottom w:val="single" w:sz="12" w:space="0" w:color="auto"/>
            </w:tcBorders>
          </w:tcPr>
          <w:p w14:paraId="2240F2AD" w14:textId="77777777" w:rsidR="00C67C1A" w:rsidRDefault="00C67C1A">
            <w:r>
              <w:t>..</w:t>
            </w:r>
          </w:p>
        </w:tc>
        <w:tc>
          <w:tcPr>
            <w:tcW w:w="866" w:type="dxa"/>
            <w:tcBorders>
              <w:bottom w:val="single" w:sz="12" w:space="0" w:color="auto"/>
            </w:tcBorders>
          </w:tcPr>
          <w:p w14:paraId="30AA92DE" w14:textId="77777777" w:rsidR="00C67C1A" w:rsidRDefault="00C67C1A">
            <w:r>
              <w:t>..</w:t>
            </w:r>
          </w:p>
        </w:tc>
      </w:tr>
    </w:tbl>
    <w:p w14:paraId="62229693" w14:textId="77777777" w:rsidR="00C67C1A" w:rsidRDefault="00C67C1A" w:rsidP="00C67C1A"/>
    <w:p w14:paraId="63F77E56" w14:textId="77777777" w:rsidR="00C67C1A" w:rsidRDefault="00C67C1A" w:rsidP="00C67C1A">
      <w:r>
        <w:t xml:space="preserve">Contract liabilities include consideration received in advance from customers in respect of IT infrastructure connectivity services. Invoices are raised once the goods and services are delivered provided to them. The balance of contract liabilities was significantly higher at 30 June </w:t>
      </w:r>
      <w:fldSimple w:instr="DOCPROPERTY  YearCurrent  \* MERGEFORMAT">
        <w:r>
          <w:t>20X2</w:t>
        </w:r>
      </w:fldSimple>
      <w:r>
        <w:t xml:space="preserve"> as there was higher demand for remote access. A large number of advances were received for significant upgrades to infrastructure frameworks yet to be provided. </w:t>
      </w:r>
    </w:p>
    <w:p w14:paraId="28B68987" w14:textId="77777777" w:rsidR="00C67C1A" w:rsidRDefault="00C67C1A" w:rsidP="00C67C1A">
      <w:r>
        <w:t>In addition, grant consideration was also received from the State Government in support of technology services provided to health agencies to support facilitation of certain out-patient services to the pensioners. Grant income is recognised when the relevant services are provided to the health agencies each quarter to administer their services to pensioners and reported to the Commonwealth Government. Differences in the number of services provided are adjusted in the funding provided annually. The remaining grant revenue is recognised when the services are rendered in the following year.</w:t>
      </w:r>
    </w:p>
    <w:p w14:paraId="0BE5F5A5" w14:textId="4DB4A2AF"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105FBB" w14:paraId="54C6F563" w14:textId="7E0AF92A" w:rsidTr="00105FB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1445712D" w14:textId="00AD9745" w:rsidR="00105FBB" w:rsidRDefault="00105FBB" w:rsidP="00105FBB">
            <w:pPr>
              <w:keepNext/>
              <w:jc w:val="left"/>
            </w:pPr>
            <w:r>
              <w:rPr>
                <w:color w:val="4472C4"/>
                <w:sz w:val="13"/>
              </w:rPr>
              <w:t>Source reference</w:t>
            </w:r>
          </w:p>
        </w:tc>
        <w:tc>
          <w:tcPr>
            <w:tcW w:w="6558" w:type="dxa"/>
          </w:tcPr>
          <w:p w14:paraId="471375D5" w14:textId="1E90F3A2" w:rsidR="00105FBB" w:rsidRDefault="00105FBB" w:rsidP="00105FBB">
            <w:pPr>
              <w:keepNext/>
              <w:jc w:val="left"/>
            </w:pPr>
          </w:p>
        </w:tc>
        <w:tc>
          <w:tcPr>
            <w:tcW w:w="866" w:type="dxa"/>
          </w:tcPr>
          <w:p w14:paraId="509C45D8" w14:textId="64952081" w:rsidR="00105FBB" w:rsidRDefault="00105FBB" w:rsidP="00105FBB">
            <w:pPr>
              <w:keepNext/>
            </w:pPr>
            <w:fldSimple w:instr="DOCPROPERTY  YearCurrent \* MERGEFORMAT">
              <w:r w:rsidRPr="00105FBB">
                <w:t>20X2</w:t>
              </w:r>
            </w:fldSimple>
          </w:p>
        </w:tc>
        <w:tc>
          <w:tcPr>
            <w:tcW w:w="866" w:type="dxa"/>
          </w:tcPr>
          <w:p w14:paraId="163044AA" w14:textId="30B8862A" w:rsidR="00105FBB" w:rsidRDefault="00105FBB" w:rsidP="00105FBB">
            <w:pPr>
              <w:keepNext/>
            </w:pPr>
            <w:fldSimple w:instr="DOCPROPERTY  YearPrevious  \* MERGEFORMAT">
              <w:r w:rsidRPr="00105FBB">
                <w:t>20X1</w:t>
              </w:r>
            </w:fldSimple>
          </w:p>
        </w:tc>
      </w:tr>
      <w:tr w:rsidR="00182709" w14:paraId="29ABAB2B" w14:textId="13A982DB" w:rsidTr="00105FBB">
        <w:tc>
          <w:tcPr>
            <w:tcW w:w="1349" w:type="dxa"/>
          </w:tcPr>
          <w:p w14:paraId="6FC0C9AD" w14:textId="274D6E40" w:rsidR="00182709" w:rsidRDefault="0044097C">
            <w:pPr>
              <w:jc w:val="left"/>
            </w:pPr>
            <w:r>
              <w:rPr>
                <w:color w:val="4472C4"/>
                <w:sz w:val="13"/>
              </w:rPr>
              <w:t>AASB 15.116 (c)</w:t>
            </w:r>
          </w:p>
        </w:tc>
        <w:tc>
          <w:tcPr>
            <w:tcW w:w="6558" w:type="dxa"/>
          </w:tcPr>
          <w:p w14:paraId="5205F592" w14:textId="5E831496" w:rsidR="00182709" w:rsidRDefault="0044097C">
            <w:pPr>
              <w:jc w:val="left"/>
            </w:pPr>
            <w:r>
              <w:t>Revenue recognised from performance obligations satisfied in previous periods</w:t>
            </w:r>
          </w:p>
        </w:tc>
        <w:tc>
          <w:tcPr>
            <w:tcW w:w="866" w:type="dxa"/>
          </w:tcPr>
          <w:p w14:paraId="49AAC877" w14:textId="1F93BE55" w:rsidR="00182709" w:rsidRDefault="0044097C">
            <w:r>
              <w:t>55</w:t>
            </w:r>
          </w:p>
        </w:tc>
        <w:tc>
          <w:tcPr>
            <w:tcW w:w="866" w:type="dxa"/>
          </w:tcPr>
          <w:p w14:paraId="37D962AF" w14:textId="5D940C52" w:rsidR="00182709" w:rsidRDefault="0044097C">
            <w:r>
              <w:t>75</w:t>
            </w:r>
          </w:p>
        </w:tc>
      </w:tr>
      <w:tr w:rsidR="00182709" w14:paraId="50B580F2" w14:textId="461CA016" w:rsidTr="00105FBB">
        <w:tc>
          <w:tcPr>
            <w:tcW w:w="1349" w:type="dxa"/>
            <w:tcBorders>
              <w:bottom w:val="nil"/>
            </w:tcBorders>
          </w:tcPr>
          <w:p w14:paraId="39D2510F" w14:textId="5088E0E1" w:rsidR="00182709" w:rsidRDefault="0044097C">
            <w:pPr>
              <w:jc w:val="left"/>
            </w:pPr>
            <w:r>
              <w:rPr>
                <w:color w:val="4472C4"/>
                <w:sz w:val="13"/>
              </w:rPr>
              <w:t>AASB 15.120 (b)</w:t>
            </w:r>
          </w:p>
        </w:tc>
        <w:tc>
          <w:tcPr>
            <w:tcW w:w="6558" w:type="dxa"/>
            <w:tcBorders>
              <w:bottom w:val="single" w:sz="12" w:space="0" w:color="auto"/>
            </w:tcBorders>
          </w:tcPr>
          <w:p w14:paraId="547C8E61" w14:textId="477EDC50" w:rsidR="00182709" w:rsidRDefault="0044097C">
            <w:pPr>
              <w:jc w:val="left"/>
            </w:pPr>
            <w:r>
              <w:t>Transaction price allocated to the remaining performance obligations from contracts with customers</w:t>
            </w:r>
          </w:p>
        </w:tc>
        <w:tc>
          <w:tcPr>
            <w:tcW w:w="866" w:type="dxa"/>
            <w:tcBorders>
              <w:bottom w:val="single" w:sz="12" w:space="0" w:color="auto"/>
            </w:tcBorders>
          </w:tcPr>
          <w:p w14:paraId="496F0896" w14:textId="143ECFBA" w:rsidR="00182709" w:rsidRDefault="0044097C">
            <w:r>
              <w:t>80</w:t>
            </w:r>
          </w:p>
        </w:tc>
        <w:tc>
          <w:tcPr>
            <w:tcW w:w="866" w:type="dxa"/>
            <w:tcBorders>
              <w:bottom w:val="single" w:sz="12" w:space="0" w:color="auto"/>
            </w:tcBorders>
          </w:tcPr>
          <w:p w14:paraId="43A94B2B" w14:textId="36A72AAB" w:rsidR="00182709" w:rsidRDefault="0044097C">
            <w:r>
              <w:t>85</w:t>
            </w:r>
          </w:p>
        </w:tc>
      </w:tr>
    </w:tbl>
    <w:p w14:paraId="6EBCE3B3" w14:textId="77777777" w:rsidR="003719CD" w:rsidRDefault="003719CD" w:rsidP="007D536F"/>
    <w:p w14:paraId="5F7845E2" w14:textId="62498E73" w:rsidR="003719CD" w:rsidRDefault="003719CD" w:rsidP="00DC39DE">
      <w:r>
        <w:t xml:space="preserve">The transaction price allocated to the remaining performance obligations relates to the completion of the IT infrastructure connectivity works to be completed. 100 per cent is expected to be recognised as revenue in the </w:t>
      </w:r>
      <w:fldSimple w:instr="DOCPROPERTY  FinYearCurrent  \* MERGEFORMAT">
        <w:r w:rsidR="00A545BA">
          <w:t>20X1</w:t>
        </w:r>
        <w:r w:rsidR="00A545BA">
          <w:rPr>
            <w:rFonts w:ascii="Cambria Math" w:hAnsi="Cambria Math" w:cs="Cambria Math"/>
          </w:rPr>
          <w:t>‑</w:t>
        </w:r>
        <w:r w:rsidR="00A545BA">
          <w:t>22</w:t>
        </w:r>
      </w:fldSimple>
      <w:r>
        <w:t xml:space="preserve"> financial year.</w:t>
      </w:r>
    </w:p>
    <w:p w14:paraId="241DD2AF" w14:textId="17BF5648" w:rsidR="003719CD" w:rsidRDefault="003719CD" w:rsidP="00DC39DE">
      <w:r w:rsidRPr="00EA176C">
        <w:rPr>
          <w:b/>
          <w:bCs/>
        </w:rPr>
        <w:t>Financial guarantees</w:t>
      </w:r>
      <w:r>
        <w:t xml:space="preserve">: Payments that are contingent under financial guarantee contracts are recognised as a liability, at fair value, at the time the guarantee is issued. Subsequently, should there be a material increase in the likelihood that the guarantee may have to be exercised, the liability is recognised at the higher of the amount determined in accordance with the expected credit loss model under AASB 9 </w:t>
      </w:r>
      <w:r w:rsidRPr="004D4E01">
        <w:rPr>
          <w:i/>
          <w:iCs/>
        </w:rPr>
        <w:t>Financial Instruments</w:t>
      </w:r>
      <w:r>
        <w:t xml:space="preserve"> and the amount initially recognised less, when appropriate, cumulative amortisation recognised in accordance with AASB </w:t>
      </w:r>
      <w:r w:rsidR="002E6142">
        <w:t>15</w:t>
      </w:r>
      <w:r>
        <w:t xml:space="preserve">. </w:t>
      </w:r>
      <w:r w:rsidRPr="0013299C">
        <w:rPr>
          <w:rStyle w:val="Reference"/>
        </w:rPr>
        <w:t>[AASB 9.4.2.1(c)]</w:t>
      </w:r>
    </w:p>
    <w:p w14:paraId="27284669" w14:textId="00980BAB" w:rsidR="003719CD" w:rsidRDefault="003719CD" w:rsidP="00DC39DE">
      <w:r>
        <w:t>In the determination of fair value, consideration is given to factors including the overall capital management/prudential supervision framework in operation, the protection provided by the State Government by way of funding should the probability of default increase, probability of default by the guaranteed party and the likely loss to the Department in the event of default.</w:t>
      </w:r>
    </w:p>
    <w:p w14:paraId="4F2204E2" w14:textId="11946F48" w:rsidR="003719CD" w:rsidRDefault="003719CD" w:rsidP="00DC39DE">
      <w:r>
        <w:t>The value of loans and other amounts guaranteed by the Treasurer is disclosed as contingent liabilities.</w:t>
      </w:r>
    </w:p>
    <w:p w14:paraId="7146EE84" w14:textId="77777777" w:rsidR="003B7EFD" w:rsidRDefault="003B7EFD">
      <w:pPr>
        <w:keepLines w:val="0"/>
        <w:rPr>
          <w:b/>
          <w:iCs/>
          <w:color w:val="404040" w:themeColor="text1" w:themeTint="BF"/>
        </w:rPr>
      </w:pPr>
      <w:r>
        <w:br w:type="page"/>
      </w:r>
    </w:p>
    <w:p w14:paraId="67222AAA" w14:textId="380D4CC5" w:rsidR="003719CD" w:rsidRDefault="003719CD" w:rsidP="007D536F">
      <w:pPr>
        <w:pStyle w:val="Caption"/>
      </w:pPr>
      <w:r>
        <w:lastRenderedPageBreak/>
        <w:t xml:space="preserve">Maturity analysis of contractual payables </w:t>
      </w:r>
      <w:r w:rsidRPr="00EA176C">
        <w:rPr>
          <w:vertAlign w:val="superscript"/>
        </w:rPr>
        <w:t>(a)</w:t>
      </w:r>
      <w:r>
        <w:t xml:space="preserve"> </w:t>
      </w:r>
      <w:r w:rsidRPr="00EA176C">
        <w:rPr>
          <w:rStyle w:val="Reference"/>
        </w:rPr>
        <w:t>[AASB 7.39(a)]</w:t>
      </w:r>
      <w:r>
        <w:tab/>
        <w:t>($ thousand)</w:t>
      </w:r>
    </w:p>
    <w:tbl>
      <w:tblPr>
        <w:tblStyle w:val="DTFTable"/>
        <w:tblW w:w="9639" w:type="dxa"/>
        <w:tblLayout w:type="fixed"/>
        <w:tblLook w:val="06A0" w:firstRow="1" w:lastRow="0" w:firstColumn="1" w:lastColumn="0" w:noHBand="1" w:noVBand="1"/>
      </w:tblPr>
      <w:tblGrid>
        <w:gridCol w:w="3290"/>
        <w:gridCol w:w="907"/>
        <w:gridCol w:w="907"/>
        <w:gridCol w:w="985"/>
        <w:gridCol w:w="829"/>
        <w:gridCol w:w="1162"/>
        <w:gridCol w:w="795"/>
        <w:gridCol w:w="764"/>
      </w:tblGrid>
      <w:tr w:rsidR="00182709" w14:paraId="0E949B22"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5E2092F6" w14:textId="77777777" w:rsidR="00182709" w:rsidRDefault="00182709">
            <w:pPr>
              <w:keepNext/>
            </w:pPr>
          </w:p>
        </w:tc>
        <w:tc>
          <w:tcPr>
            <w:tcW w:w="907" w:type="dxa"/>
          </w:tcPr>
          <w:p w14:paraId="22B2D969" w14:textId="6FF9AA69"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424B5627" w14:textId="11F14B32"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4535" w:type="dxa"/>
            <w:gridSpan w:val="5"/>
            <w:tcBorders>
              <w:bottom w:val="single" w:sz="6" w:space="0" w:color="FFFFFF" w:themeColor="background1"/>
            </w:tcBorders>
          </w:tcPr>
          <w:p w14:paraId="5F34FB2B"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Maturity dates</w:t>
            </w:r>
          </w:p>
        </w:tc>
      </w:tr>
      <w:tr w:rsidR="00182709" w14:paraId="64532FB9"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76101A26" w14:textId="77777777" w:rsidR="00182709" w:rsidRDefault="00182709">
            <w:pPr>
              <w:keepNext/>
            </w:pPr>
          </w:p>
        </w:tc>
        <w:tc>
          <w:tcPr>
            <w:tcW w:w="907" w:type="dxa"/>
          </w:tcPr>
          <w:p w14:paraId="62C829D9" w14:textId="6894295C" w:rsidR="00182709" w:rsidRDefault="006C4866">
            <w:pPr>
              <w:keepNext/>
              <w:cnfStyle w:val="100000000000" w:firstRow="1" w:lastRow="0" w:firstColumn="0" w:lastColumn="0" w:oddVBand="0" w:evenVBand="0" w:oddHBand="0" w:evenHBand="0" w:firstRowFirstColumn="0" w:firstRowLastColumn="0" w:lastRowFirstColumn="0" w:lastRowLastColumn="0"/>
            </w:pPr>
            <w:r w:rsidRPr="006C4866">
              <w:t>Carrying</w:t>
            </w:r>
          </w:p>
        </w:tc>
        <w:tc>
          <w:tcPr>
            <w:tcW w:w="907" w:type="dxa"/>
          </w:tcPr>
          <w:p w14:paraId="33FA6863" w14:textId="0AC3D49B" w:rsidR="00182709" w:rsidRDefault="006C4866">
            <w:pPr>
              <w:keepNext/>
              <w:cnfStyle w:val="100000000000" w:firstRow="1" w:lastRow="0" w:firstColumn="0" w:lastColumn="0" w:oddVBand="0" w:evenVBand="0" w:oddHBand="0" w:evenHBand="0" w:firstRowFirstColumn="0" w:firstRowLastColumn="0" w:lastRowFirstColumn="0" w:lastRowLastColumn="0"/>
            </w:pPr>
            <w:r w:rsidRPr="006C4866">
              <w:t>Nominal</w:t>
            </w:r>
          </w:p>
        </w:tc>
        <w:tc>
          <w:tcPr>
            <w:tcW w:w="985" w:type="dxa"/>
            <w:tcBorders>
              <w:top w:val="single" w:sz="6" w:space="0" w:color="FFFFFF" w:themeColor="background1"/>
            </w:tcBorders>
          </w:tcPr>
          <w:p w14:paraId="28836FC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Less than</w:t>
            </w:r>
          </w:p>
        </w:tc>
        <w:tc>
          <w:tcPr>
            <w:tcW w:w="829" w:type="dxa"/>
            <w:tcBorders>
              <w:top w:val="single" w:sz="6" w:space="0" w:color="FFFFFF" w:themeColor="background1"/>
            </w:tcBorders>
          </w:tcPr>
          <w:p w14:paraId="5564595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1‑3</w:t>
            </w:r>
          </w:p>
        </w:tc>
        <w:tc>
          <w:tcPr>
            <w:tcW w:w="1162" w:type="dxa"/>
            <w:tcBorders>
              <w:top w:val="single" w:sz="6" w:space="0" w:color="FFFFFF" w:themeColor="background1"/>
            </w:tcBorders>
          </w:tcPr>
          <w:p w14:paraId="05C4715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3 months–</w:t>
            </w:r>
          </w:p>
        </w:tc>
        <w:tc>
          <w:tcPr>
            <w:tcW w:w="795" w:type="dxa"/>
            <w:tcBorders>
              <w:top w:val="single" w:sz="6" w:space="0" w:color="FFFFFF" w:themeColor="background1"/>
            </w:tcBorders>
          </w:tcPr>
          <w:p w14:paraId="5C3BFCE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1‑5</w:t>
            </w:r>
          </w:p>
        </w:tc>
        <w:tc>
          <w:tcPr>
            <w:tcW w:w="764" w:type="dxa"/>
            <w:tcBorders>
              <w:top w:val="single" w:sz="6" w:space="0" w:color="FFFFFF" w:themeColor="background1"/>
            </w:tcBorders>
          </w:tcPr>
          <w:p w14:paraId="0462FB66"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5+</w:t>
            </w:r>
          </w:p>
        </w:tc>
      </w:tr>
      <w:tr w:rsidR="00182709" w14:paraId="318010B5" w14:textId="77777777" w:rsidTr="006C48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665ACAD5" w14:textId="71B1AA93" w:rsidR="00182709" w:rsidRDefault="00105FBB">
            <w:pPr>
              <w:keepNext/>
            </w:pPr>
            <w:fldSimple w:instr="DOCPROPERTY  YearCurrent \* MERGEFORMAT">
              <w:r>
                <w:t>20X2</w:t>
              </w:r>
            </w:fldSimple>
          </w:p>
        </w:tc>
        <w:tc>
          <w:tcPr>
            <w:tcW w:w="907" w:type="dxa"/>
          </w:tcPr>
          <w:p w14:paraId="44244C8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amount</w:t>
            </w:r>
          </w:p>
        </w:tc>
        <w:tc>
          <w:tcPr>
            <w:tcW w:w="907" w:type="dxa"/>
          </w:tcPr>
          <w:p w14:paraId="3F98E09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amount</w:t>
            </w:r>
          </w:p>
        </w:tc>
        <w:tc>
          <w:tcPr>
            <w:tcW w:w="985" w:type="dxa"/>
          </w:tcPr>
          <w:p w14:paraId="66EDAD6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 month</w:t>
            </w:r>
          </w:p>
        </w:tc>
        <w:tc>
          <w:tcPr>
            <w:tcW w:w="829" w:type="dxa"/>
          </w:tcPr>
          <w:p w14:paraId="4721C4A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months</w:t>
            </w:r>
          </w:p>
        </w:tc>
        <w:tc>
          <w:tcPr>
            <w:tcW w:w="1162" w:type="dxa"/>
          </w:tcPr>
          <w:p w14:paraId="7582D12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 year</w:t>
            </w:r>
          </w:p>
        </w:tc>
        <w:tc>
          <w:tcPr>
            <w:tcW w:w="795" w:type="dxa"/>
          </w:tcPr>
          <w:p w14:paraId="369F8B42"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years</w:t>
            </w:r>
          </w:p>
        </w:tc>
        <w:tc>
          <w:tcPr>
            <w:tcW w:w="764" w:type="dxa"/>
          </w:tcPr>
          <w:p w14:paraId="21AE29A3"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years</w:t>
            </w:r>
          </w:p>
        </w:tc>
      </w:tr>
      <w:tr w:rsidR="00182709" w14:paraId="0E8FE738" w14:textId="77777777">
        <w:tc>
          <w:tcPr>
            <w:cnfStyle w:val="001000000000" w:firstRow="0" w:lastRow="0" w:firstColumn="1" w:lastColumn="0" w:oddVBand="0" w:evenVBand="0" w:oddHBand="0" w:evenHBand="0" w:firstRowFirstColumn="0" w:firstRowLastColumn="0" w:lastRowFirstColumn="0" w:lastRowLastColumn="0"/>
            <w:tcW w:w="3290" w:type="dxa"/>
          </w:tcPr>
          <w:p w14:paraId="546166AD" w14:textId="77777777" w:rsidR="00182709" w:rsidRDefault="0044097C">
            <w:r>
              <w:t>Supplies and services</w:t>
            </w:r>
          </w:p>
        </w:tc>
        <w:tc>
          <w:tcPr>
            <w:tcW w:w="907" w:type="dxa"/>
          </w:tcPr>
          <w:p w14:paraId="37ACD895" w14:textId="77777777" w:rsidR="00182709" w:rsidRDefault="0044097C">
            <w:pPr>
              <w:cnfStyle w:val="000000000000" w:firstRow="0" w:lastRow="0" w:firstColumn="0" w:lastColumn="0" w:oddVBand="0" w:evenVBand="0" w:oddHBand="0" w:evenHBand="0" w:firstRowFirstColumn="0" w:firstRowLastColumn="0" w:lastRowFirstColumn="0" w:lastRowLastColumn="0"/>
            </w:pPr>
            <w:r>
              <w:t>4 508</w:t>
            </w:r>
          </w:p>
        </w:tc>
        <w:tc>
          <w:tcPr>
            <w:tcW w:w="907" w:type="dxa"/>
          </w:tcPr>
          <w:p w14:paraId="7CFDAEE2" w14:textId="77777777" w:rsidR="00182709" w:rsidRDefault="0044097C">
            <w:pPr>
              <w:cnfStyle w:val="000000000000" w:firstRow="0" w:lastRow="0" w:firstColumn="0" w:lastColumn="0" w:oddVBand="0" w:evenVBand="0" w:oddHBand="0" w:evenHBand="0" w:firstRowFirstColumn="0" w:firstRowLastColumn="0" w:lastRowFirstColumn="0" w:lastRowLastColumn="0"/>
            </w:pPr>
            <w:r>
              <w:t>4 508</w:t>
            </w:r>
          </w:p>
        </w:tc>
        <w:tc>
          <w:tcPr>
            <w:tcW w:w="985" w:type="dxa"/>
          </w:tcPr>
          <w:p w14:paraId="2B2AFD61" w14:textId="77777777" w:rsidR="00182709" w:rsidRDefault="0044097C">
            <w:pPr>
              <w:cnfStyle w:val="000000000000" w:firstRow="0" w:lastRow="0" w:firstColumn="0" w:lastColumn="0" w:oddVBand="0" w:evenVBand="0" w:oddHBand="0" w:evenHBand="0" w:firstRowFirstColumn="0" w:firstRowLastColumn="0" w:lastRowFirstColumn="0" w:lastRowLastColumn="0"/>
            </w:pPr>
            <w:r>
              <w:t>1 828</w:t>
            </w:r>
          </w:p>
        </w:tc>
        <w:tc>
          <w:tcPr>
            <w:tcW w:w="829" w:type="dxa"/>
          </w:tcPr>
          <w:p w14:paraId="2B472DA8" w14:textId="77777777" w:rsidR="00182709" w:rsidRDefault="0044097C">
            <w:pPr>
              <w:cnfStyle w:val="000000000000" w:firstRow="0" w:lastRow="0" w:firstColumn="0" w:lastColumn="0" w:oddVBand="0" w:evenVBand="0" w:oddHBand="0" w:evenHBand="0" w:firstRowFirstColumn="0" w:firstRowLastColumn="0" w:lastRowFirstColumn="0" w:lastRowLastColumn="0"/>
            </w:pPr>
            <w:r>
              <w:t>2 680</w:t>
            </w:r>
          </w:p>
        </w:tc>
        <w:tc>
          <w:tcPr>
            <w:tcW w:w="1162" w:type="dxa"/>
          </w:tcPr>
          <w:p w14:paraId="64AF617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95" w:type="dxa"/>
          </w:tcPr>
          <w:p w14:paraId="373A1CF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64" w:type="dxa"/>
          </w:tcPr>
          <w:p w14:paraId="4B7625A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40A2F06" w14:textId="77777777">
        <w:tc>
          <w:tcPr>
            <w:cnfStyle w:val="001000000000" w:firstRow="0" w:lastRow="0" w:firstColumn="1" w:lastColumn="0" w:oddVBand="0" w:evenVBand="0" w:oddHBand="0" w:evenHBand="0" w:firstRowFirstColumn="0" w:firstRowLastColumn="0" w:lastRowFirstColumn="0" w:lastRowLastColumn="0"/>
            <w:tcW w:w="3290" w:type="dxa"/>
          </w:tcPr>
          <w:p w14:paraId="41A5F781" w14:textId="77777777" w:rsidR="00182709" w:rsidRDefault="0044097C">
            <w:r>
              <w:t>Amounts payable to government and agencies</w:t>
            </w:r>
          </w:p>
        </w:tc>
        <w:tc>
          <w:tcPr>
            <w:tcW w:w="907" w:type="dxa"/>
          </w:tcPr>
          <w:p w14:paraId="1714F77E"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10 891</w:t>
            </w:r>
          </w:p>
        </w:tc>
        <w:tc>
          <w:tcPr>
            <w:tcW w:w="907" w:type="dxa"/>
          </w:tcPr>
          <w:p w14:paraId="1A675845" w14:textId="77777777" w:rsidR="00182709" w:rsidRDefault="0044097C">
            <w:pPr>
              <w:cnfStyle w:val="000000000000" w:firstRow="0" w:lastRow="0" w:firstColumn="0" w:lastColumn="0" w:oddVBand="0" w:evenVBand="0" w:oddHBand="0" w:evenHBand="0" w:firstRowFirstColumn="0" w:firstRowLastColumn="0" w:lastRowFirstColumn="0" w:lastRowLastColumn="0"/>
            </w:pPr>
            <w:r>
              <w:t>10 891</w:t>
            </w:r>
          </w:p>
        </w:tc>
        <w:tc>
          <w:tcPr>
            <w:tcW w:w="985" w:type="dxa"/>
          </w:tcPr>
          <w:p w14:paraId="09B20B16"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5 633</w:t>
            </w:r>
          </w:p>
        </w:tc>
        <w:tc>
          <w:tcPr>
            <w:tcW w:w="829" w:type="dxa"/>
          </w:tcPr>
          <w:p w14:paraId="0E60116E" w14:textId="77777777" w:rsidR="00182709" w:rsidRDefault="0044097C">
            <w:pPr>
              <w:cnfStyle w:val="000000000000" w:firstRow="0" w:lastRow="0" w:firstColumn="0" w:lastColumn="0" w:oddVBand="0" w:evenVBand="0" w:oddHBand="0" w:evenHBand="0" w:firstRowFirstColumn="0" w:firstRowLastColumn="0" w:lastRowFirstColumn="0" w:lastRowLastColumn="0"/>
            </w:pPr>
            <w:r>
              <w:t>1 610</w:t>
            </w:r>
          </w:p>
        </w:tc>
        <w:tc>
          <w:tcPr>
            <w:tcW w:w="1162" w:type="dxa"/>
          </w:tcPr>
          <w:p w14:paraId="1689528D" w14:textId="77777777" w:rsidR="00182709" w:rsidRDefault="0044097C">
            <w:pPr>
              <w:cnfStyle w:val="000000000000" w:firstRow="0" w:lastRow="0" w:firstColumn="0" w:lastColumn="0" w:oddVBand="0" w:evenVBand="0" w:oddHBand="0" w:evenHBand="0" w:firstRowFirstColumn="0" w:firstRowLastColumn="0" w:lastRowFirstColumn="0" w:lastRowLastColumn="0"/>
            </w:pPr>
            <w:r>
              <w:t>805</w:t>
            </w:r>
          </w:p>
        </w:tc>
        <w:tc>
          <w:tcPr>
            <w:tcW w:w="795" w:type="dxa"/>
          </w:tcPr>
          <w:p w14:paraId="2D30976F" w14:textId="77777777" w:rsidR="00182709" w:rsidRDefault="0044097C">
            <w:pPr>
              <w:cnfStyle w:val="000000000000" w:firstRow="0" w:lastRow="0" w:firstColumn="0" w:lastColumn="0" w:oddVBand="0" w:evenVBand="0" w:oddHBand="0" w:evenHBand="0" w:firstRowFirstColumn="0" w:firstRowLastColumn="0" w:lastRowFirstColumn="0" w:lastRowLastColumn="0"/>
            </w:pPr>
            <w:r>
              <w:t>2 843</w:t>
            </w:r>
          </w:p>
        </w:tc>
        <w:tc>
          <w:tcPr>
            <w:tcW w:w="764" w:type="dxa"/>
          </w:tcPr>
          <w:p w14:paraId="3C2E373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13E2AC52"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25BAC96E" w14:textId="77777777" w:rsidR="00182709" w:rsidRDefault="0044097C">
            <w:r>
              <w:t>Other payables</w:t>
            </w:r>
          </w:p>
        </w:tc>
        <w:tc>
          <w:tcPr>
            <w:tcW w:w="907" w:type="dxa"/>
            <w:tcBorders>
              <w:bottom w:val="single" w:sz="12" w:space="0" w:color="auto"/>
            </w:tcBorders>
          </w:tcPr>
          <w:p w14:paraId="09CE490C" w14:textId="77777777" w:rsidR="00182709" w:rsidRDefault="0044097C">
            <w:pPr>
              <w:cnfStyle w:val="000000000000" w:firstRow="0" w:lastRow="0" w:firstColumn="0" w:lastColumn="0" w:oddVBand="0" w:evenVBand="0" w:oddHBand="0" w:evenHBand="0" w:firstRowFirstColumn="0" w:firstRowLastColumn="0" w:lastRowFirstColumn="0" w:lastRowLastColumn="0"/>
            </w:pPr>
            <w:r>
              <w:t>817</w:t>
            </w:r>
          </w:p>
        </w:tc>
        <w:tc>
          <w:tcPr>
            <w:tcW w:w="907" w:type="dxa"/>
            <w:tcBorders>
              <w:bottom w:val="single" w:sz="12" w:space="0" w:color="auto"/>
            </w:tcBorders>
          </w:tcPr>
          <w:p w14:paraId="49D4FACB" w14:textId="77777777" w:rsidR="00182709" w:rsidRDefault="0044097C">
            <w:pPr>
              <w:cnfStyle w:val="000000000000" w:firstRow="0" w:lastRow="0" w:firstColumn="0" w:lastColumn="0" w:oddVBand="0" w:evenVBand="0" w:oddHBand="0" w:evenHBand="0" w:firstRowFirstColumn="0" w:firstRowLastColumn="0" w:lastRowFirstColumn="0" w:lastRowLastColumn="0"/>
            </w:pPr>
            <w:r>
              <w:t>817</w:t>
            </w:r>
          </w:p>
        </w:tc>
        <w:tc>
          <w:tcPr>
            <w:tcW w:w="985" w:type="dxa"/>
            <w:tcBorders>
              <w:bottom w:val="single" w:sz="12" w:space="0" w:color="auto"/>
            </w:tcBorders>
          </w:tcPr>
          <w:p w14:paraId="0AA628BF" w14:textId="77777777" w:rsidR="00182709" w:rsidRDefault="0044097C">
            <w:pPr>
              <w:cnfStyle w:val="000000000000" w:firstRow="0" w:lastRow="0" w:firstColumn="0" w:lastColumn="0" w:oddVBand="0" w:evenVBand="0" w:oddHBand="0" w:evenHBand="0" w:firstRowFirstColumn="0" w:firstRowLastColumn="0" w:lastRowFirstColumn="0" w:lastRowLastColumn="0"/>
            </w:pPr>
            <w:r>
              <w:t>554</w:t>
            </w:r>
          </w:p>
        </w:tc>
        <w:tc>
          <w:tcPr>
            <w:tcW w:w="829" w:type="dxa"/>
            <w:tcBorders>
              <w:bottom w:val="single" w:sz="12" w:space="0" w:color="auto"/>
            </w:tcBorders>
          </w:tcPr>
          <w:p w14:paraId="2375E98D" w14:textId="77777777" w:rsidR="00182709" w:rsidRDefault="0044097C">
            <w:pPr>
              <w:cnfStyle w:val="000000000000" w:firstRow="0" w:lastRow="0" w:firstColumn="0" w:lastColumn="0" w:oddVBand="0" w:evenVBand="0" w:oddHBand="0" w:evenHBand="0" w:firstRowFirstColumn="0" w:firstRowLastColumn="0" w:lastRowFirstColumn="0" w:lastRowLastColumn="0"/>
            </w:pPr>
            <w:r>
              <w:t>158</w:t>
            </w:r>
          </w:p>
        </w:tc>
        <w:tc>
          <w:tcPr>
            <w:tcW w:w="1162" w:type="dxa"/>
            <w:tcBorders>
              <w:bottom w:val="single" w:sz="12" w:space="0" w:color="auto"/>
            </w:tcBorders>
          </w:tcPr>
          <w:p w14:paraId="7D8D889B" w14:textId="77777777" w:rsidR="00182709" w:rsidRDefault="0044097C">
            <w:pPr>
              <w:cnfStyle w:val="000000000000" w:firstRow="0" w:lastRow="0" w:firstColumn="0" w:lastColumn="0" w:oddVBand="0" w:evenVBand="0" w:oddHBand="0" w:evenHBand="0" w:firstRowFirstColumn="0" w:firstRowLastColumn="0" w:lastRowFirstColumn="0" w:lastRowLastColumn="0"/>
            </w:pPr>
            <w:r>
              <w:t>79</w:t>
            </w:r>
          </w:p>
        </w:tc>
        <w:tc>
          <w:tcPr>
            <w:tcW w:w="795" w:type="dxa"/>
            <w:tcBorders>
              <w:bottom w:val="single" w:sz="12" w:space="0" w:color="auto"/>
            </w:tcBorders>
          </w:tcPr>
          <w:p w14:paraId="39BE9FF7" w14:textId="77777777" w:rsidR="00182709" w:rsidRDefault="0044097C">
            <w:pPr>
              <w:cnfStyle w:val="000000000000" w:firstRow="0" w:lastRow="0" w:firstColumn="0" w:lastColumn="0" w:oddVBand="0" w:evenVBand="0" w:oddHBand="0" w:evenHBand="0" w:firstRowFirstColumn="0" w:firstRowLastColumn="0" w:lastRowFirstColumn="0" w:lastRowLastColumn="0"/>
            </w:pPr>
            <w:r>
              <w:t>26</w:t>
            </w:r>
          </w:p>
        </w:tc>
        <w:tc>
          <w:tcPr>
            <w:tcW w:w="764" w:type="dxa"/>
            <w:tcBorders>
              <w:bottom w:val="single" w:sz="12" w:space="0" w:color="auto"/>
            </w:tcBorders>
          </w:tcPr>
          <w:p w14:paraId="610B91B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44E00939" w14:textId="77777777" w:rsidTr="00182709">
        <w:tc>
          <w:tcPr>
            <w:cnfStyle w:val="001000000000" w:firstRow="0" w:lastRow="0" w:firstColumn="1" w:lastColumn="0" w:oddVBand="0" w:evenVBand="0" w:oddHBand="0" w:evenHBand="0" w:firstRowFirstColumn="0" w:firstRowLastColumn="0" w:lastRowFirstColumn="0" w:lastRowLastColumn="0"/>
            <w:tcW w:w="3290" w:type="dxa"/>
          </w:tcPr>
          <w:p w14:paraId="79F98327" w14:textId="77777777" w:rsidR="00182709" w:rsidRDefault="0044097C">
            <w:r>
              <w:rPr>
                <w:b/>
              </w:rPr>
              <w:t>Total</w:t>
            </w:r>
          </w:p>
        </w:tc>
        <w:tc>
          <w:tcPr>
            <w:tcW w:w="907" w:type="dxa"/>
          </w:tcPr>
          <w:p w14:paraId="742966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16 216</w:t>
            </w:r>
          </w:p>
        </w:tc>
        <w:tc>
          <w:tcPr>
            <w:tcW w:w="907" w:type="dxa"/>
          </w:tcPr>
          <w:p w14:paraId="734690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16 216</w:t>
            </w:r>
          </w:p>
        </w:tc>
        <w:tc>
          <w:tcPr>
            <w:tcW w:w="985" w:type="dxa"/>
          </w:tcPr>
          <w:p w14:paraId="7534D48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8 015</w:t>
            </w:r>
          </w:p>
        </w:tc>
        <w:tc>
          <w:tcPr>
            <w:tcW w:w="829" w:type="dxa"/>
          </w:tcPr>
          <w:p w14:paraId="06C96BA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4 448</w:t>
            </w:r>
          </w:p>
        </w:tc>
        <w:tc>
          <w:tcPr>
            <w:tcW w:w="1162" w:type="dxa"/>
          </w:tcPr>
          <w:p w14:paraId="783392D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884</w:t>
            </w:r>
          </w:p>
        </w:tc>
        <w:tc>
          <w:tcPr>
            <w:tcW w:w="795" w:type="dxa"/>
          </w:tcPr>
          <w:p w14:paraId="6D957C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2 869</w:t>
            </w:r>
          </w:p>
        </w:tc>
        <w:tc>
          <w:tcPr>
            <w:tcW w:w="764" w:type="dxa"/>
          </w:tcPr>
          <w:p w14:paraId="1AE85D4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671D55" w14:paraId="506DAFFB" w14:textId="77777777" w:rsidTr="006C4866">
        <w:tc>
          <w:tcPr>
            <w:cnfStyle w:val="001000000000" w:firstRow="0" w:lastRow="0" w:firstColumn="1" w:lastColumn="0" w:oddVBand="0" w:evenVBand="0" w:oddHBand="0" w:evenHBand="0" w:firstRowFirstColumn="0" w:firstRowLastColumn="0" w:lastRowFirstColumn="0" w:lastRowLastColumn="0"/>
            <w:tcW w:w="3290" w:type="dxa"/>
          </w:tcPr>
          <w:p w14:paraId="36C6962C" w14:textId="77777777" w:rsidR="006C4866" w:rsidRDefault="006C4866">
            <w:pPr>
              <w:rPr>
                <w:b/>
              </w:rPr>
            </w:pPr>
          </w:p>
        </w:tc>
        <w:tc>
          <w:tcPr>
            <w:tcW w:w="907" w:type="dxa"/>
          </w:tcPr>
          <w:p w14:paraId="7B7BF60A"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907" w:type="dxa"/>
          </w:tcPr>
          <w:p w14:paraId="5D9AD897"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985" w:type="dxa"/>
          </w:tcPr>
          <w:p w14:paraId="1873F58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829" w:type="dxa"/>
          </w:tcPr>
          <w:p w14:paraId="339FA36C"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1162" w:type="dxa"/>
          </w:tcPr>
          <w:p w14:paraId="0E4D3C7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795" w:type="dxa"/>
          </w:tcPr>
          <w:p w14:paraId="4415F0C8"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c>
          <w:tcPr>
            <w:tcW w:w="764" w:type="dxa"/>
          </w:tcPr>
          <w:p w14:paraId="18C3080B" w14:textId="77777777" w:rsidR="006C4866" w:rsidRDefault="006C4866">
            <w:pPr>
              <w:cnfStyle w:val="000000000000" w:firstRow="0" w:lastRow="0" w:firstColumn="0" w:lastColumn="0" w:oddVBand="0" w:evenVBand="0" w:oddHBand="0" w:evenHBand="0" w:firstRowFirstColumn="0" w:firstRowLastColumn="0" w:lastRowFirstColumn="0" w:lastRowLastColumn="0"/>
            </w:pPr>
          </w:p>
        </w:tc>
      </w:tr>
      <w:tr w:rsidR="00182709" w14:paraId="26B44BAE" w14:textId="77777777" w:rsidTr="006C4866">
        <w:tc>
          <w:tcPr>
            <w:cnfStyle w:val="001000000000" w:firstRow="0" w:lastRow="0" w:firstColumn="1" w:lastColumn="0" w:oddVBand="0" w:evenVBand="0" w:oddHBand="0" w:evenHBand="0" w:firstRowFirstColumn="0" w:firstRowLastColumn="0" w:lastRowFirstColumn="0" w:lastRowLastColumn="0"/>
            <w:tcW w:w="3290" w:type="dxa"/>
            <w:tcBorders>
              <w:top w:val="single" w:sz="2" w:space="0" w:color="auto"/>
              <w:bottom w:val="nil"/>
            </w:tcBorders>
            <w:shd w:val="clear" w:color="auto" w:fill="000000" w:themeFill="text1"/>
          </w:tcPr>
          <w:p w14:paraId="63FB418F" w14:textId="511D4B53" w:rsidR="00182709" w:rsidRPr="00105FBB" w:rsidRDefault="00105FBB">
            <w:pPr>
              <w:rPr>
                <w:bCs w:val="0"/>
                <w:i/>
                <w:iCs/>
              </w:rPr>
            </w:pPr>
            <w:r w:rsidRPr="00105FBB">
              <w:rPr>
                <w:i/>
                <w:iCs/>
              </w:rPr>
              <w:fldChar w:fldCharType="begin"/>
            </w:r>
            <w:r w:rsidRPr="00105FBB">
              <w:rPr>
                <w:bCs w:val="0"/>
                <w:i/>
                <w:iCs/>
              </w:rPr>
              <w:instrText>DOCPROPERTY  YearPrevious  \* MERGEFORMAT</w:instrText>
            </w:r>
            <w:r w:rsidRPr="00105FBB">
              <w:rPr>
                <w:i/>
                <w:iCs/>
              </w:rPr>
              <w:fldChar w:fldCharType="separate"/>
            </w:r>
            <w:r w:rsidRPr="00105FBB">
              <w:rPr>
                <w:bCs w:val="0"/>
                <w:i/>
                <w:iCs/>
              </w:rPr>
              <w:t>20X1</w:t>
            </w:r>
            <w:r w:rsidRPr="00105FBB">
              <w:rPr>
                <w:i/>
                <w:iCs/>
              </w:rPr>
              <w:fldChar w:fldCharType="end"/>
            </w:r>
          </w:p>
        </w:tc>
        <w:tc>
          <w:tcPr>
            <w:tcW w:w="907" w:type="dxa"/>
            <w:tcBorders>
              <w:top w:val="single" w:sz="2" w:space="0" w:color="auto"/>
              <w:bottom w:val="nil"/>
            </w:tcBorders>
            <w:shd w:val="clear" w:color="auto" w:fill="000000" w:themeFill="text1"/>
          </w:tcPr>
          <w:p w14:paraId="390EFE6A"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0F42FED4"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85" w:type="dxa"/>
            <w:tcBorders>
              <w:top w:val="single" w:sz="2" w:space="0" w:color="auto"/>
              <w:bottom w:val="nil"/>
            </w:tcBorders>
            <w:shd w:val="clear" w:color="auto" w:fill="000000" w:themeFill="text1"/>
          </w:tcPr>
          <w:p w14:paraId="1836C816"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29" w:type="dxa"/>
            <w:tcBorders>
              <w:top w:val="single" w:sz="2" w:space="0" w:color="auto"/>
              <w:bottom w:val="nil"/>
            </w:tcBorders>
            <w:shd w:val="clear" w:color="auto" w:fill="000000" w:themeFill="text1"/>
          </w:tcPr>
          <w:p w14:paraId="08A6A8E5"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162" w:type="dxa"/>
            <w:tcBorders>
              <w:top w:val="single" w:sz="2" w:space="0" w:color="auto"/>
              <w:bottom w:val="nil"/>
            </w:tcBorders>
            <w:shd w:val="clear" w:color="auto" w:fill="000000" w:themeFill="text1"/>
          </w:tcPr>
          <w:p w14:paraId="7CAA15CE"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795" w:type="dxa"/>
            <w:tcBorders>
              <w:top w:val="single" w:sz="2" w:space="0" w:color="auto"/>
              <w:bottom w:val="nil"/>
            </w:tcBorders>
            <w:shd w:val="clear" w:color="auto" w:fill="000000" w:themeFill="text1"/>
          </w:tcPr>
          <w:p w14:paraId="24137E04"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764" w:type="dxa"/>
            <w:tcBorders>
              <w:top w:val="single" w:sz="2" w:space="0" w:color="auto"/>
              <w:bottom w:val="nil"/>
            </w:tcBorders>
            <w:shd w:val="clear" w:color="auto" w:fill="000000" w:themeFill="text1"/>
          </w:tcPr>
          <w:p w14:paraId="1AD634CD" w14:textId="77777777" w:rsidR="00182709" w:rsidRPr="006C4866"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28621F3B" w14:textId="77777777" w:rsidTr="006C4866">
        <w:tc>
          <w:tcPr>
            <w:cnfStyle w:val="001000000000" w:firstRow="0" w:lastRow="0" w:firstColumn="1" w:lastColumn="0" w:oddVBand="0" w:evenVBand="0" w:oddHBand="0" w:evenHBand="0" w:firstRowFirstColumn="0" w:firstRowLastColumn="0" w:lastRowFirstColumn="0" w:lastRowLastColumn="0"/>
            <w:tcW w:w="3290" w:type="dxa"/>
            <w:tcBorders>
              <w:top w:val="nil"/>
            </w:tcBorders>
          </w:tcPr>
          <w:p w14:paraId="6DC81651" w14:textId="77777777" w:rsidR="00182709" w:rsidRDefault="0044097C">
            <w:r>
              <w:t>Supplies and services</w:t>
            </w:r>
          </w:p>
        </w:tc>
        <w:tc>
          <w:tcPr>
            <w:tcW w:w="907" w:type="dxa"/>
            <w:tcBorders>
              <w:top w:val="nil"/>
            </w:tcBorders>
          </w:tcPr>
          <w:p w14:paraId="300D25E6"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07" w:type="dxa"/>
            <w:tcBorders>
              <w:top w:val="nil"/>
            </w:tcBorders>
          </w:tcPr>
          <w:p w14:paraId="0373C7CB"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85" w:type="dxa"/>
            <w:tcBorders>
              <w:top w:val="nil"/>
            </w:tcBorders>
          </w:tcPr>
          <w:p w14:paraId="0BC4650E" w14:textId="77777777" w:rsidR="00182709" w:rsidRDefault="0044097C">
            <w:pPr>
              <w:cnfStyle w:val="000000000000" w:firstRow="0" w:lastRow="0" w:firstColumn="0" w:lastColumn="0" w:oddVBand="0" w:evenVBand="0" w:oddHBand="0" w:evenHBand="0" w:firstRowFirstColumn="0" w:firstRowLastColumn="0" w:lastRowFirstColumn="0" w:lastRowLastColumn="0"/>
            </w:pPr>
            <w:r>
              <w:t>987</w:t>
            </w:r>
          </w:p>
        </w:tc>
        <w:tc>
          <w:tcPr>
            <w:tcW w:w="829" w:type="dxa"/>
            <w:tcBorders>
              <w:top w:val="nil"/>
            </w:tcBorders>
          </w:tcPr>
          <w:p w14:paraId="0865874E" w14:textId="77777777" w:rsidR="00182709" w:rsidRDefault="0044097C">
            <w:pPr>
              <w:cnfStyle w:val="000000000000" w:firstRow="0" w:lastRow="0" w:firstColumn="0" w:lastColumn="0" w:oddVBand="0" w:evenVBand="0" w:oddHBand="0" w:evenHBand="0" w:firstRowFirstColumn="0" w:firstRowLastColumn="0" w:lastRowFirstColumn="0" w:lastRowLastColumn="0"/>
            </w:pPr>
            <w:r>
              <w:t>2 400</w:t>
            </w:r>
          </w:p>
        </w:tc>
        <w:tc>
          <w:tcPr>
            <w:tcW w:w="1162" w:type="dxa"/>
            <w:tcBorders>
              <w:top w:val="nil"/>
            </w:tcBorders>
          </w:tcPr>
          <w:p w14:paraId="3A047E2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95" w:type="dxa"/>
            <w:tcBorders>
              <w:top w:val="nil"/>
            </w:tcBorders>
          </w:tcPr>
          <w:p w14:paraId="596938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764" w:type="dxa"/>
            <w:tcBorders>
              <w:top w:val="nil"/>
            </w:tcBorders>
          </w:tcPr>
          <w:p w14:paraId="34B1E9C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53CB377" w14:textId="77777777">
        <w:tc>
          <w:tcPr>
            <w:cnfStyle w:val="001000000000" w:firstRow="0" w:lastRow="0" w:firstColumn="1" w:lastColumn="0" w:oddVBand="0" w:evenVBand="0" w:oddHBand="0" w:evenHBand="0" w:firstRowFirstColumn="0" w:firstRowLastColumn="0" w:lastRowFirstColumn="0" w:lastRowLastColumn="0"/>
            <w:tcW w:w="3290" w:type="dxa"/>
          </w:tcPr>
          <w:p w14:paraId="5754ED27" w14:textId="77777777" w:rsidR="00182709" w:rsidRDefault="0044097C">
            <w:r>
              <w:t>Amounts payable to government and agencies</w:t>
            </w:r>
          </w:p>
        </w:tc>
        <w:tc>
          <w:tcPr>
            <w:tcW w:w="907" w:type="dxa"/>
          </w:tcPr>
          <w:p w14:paraId="701ADF63"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07" w:type="dxa"/>
          </w:tcPr>
          <w:p w14:paraId="51F8BA39"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85" w:type="dxa"/>
          </w:tcPr>
          <w:p w14:paraId="4E0CEDDB" w14:textId="77777777" w:rsidR="00182709" w:rsidRDefault="0044097C">
            <w:pPr>
              <w:cnfStyle w:val="000000000000" w:firstRow="0" w:lastRow="0" w:firstColumn="0" w:lastColumn="0" w:oddVBand="0" w:evenVBand="0" w:oddHBand="0" w:evenHBand="0" w:firstRowFirstColumn="0" w:firstRowLastColumn="0" w:lastRowFirstColumn="0" w:lastRowLastColumn="0"/>
            </w:pPr>
            <w:r>
              <w:t>841</w:t>
            </w:r>
          </w:p>
        </w:tc>
        <w:tc>
          <w:tcPr>
            <w:tcW w:w="829" w:type="dxa"/>
          </w:tcPr>
          <w:p w14:paraId="610DB988" w14:textId="77777777" w:rsidR="00182709" w:rsidRDefault="0044097C">
            <w:pPr>
              <w:cnfStyle w:val="000000000000" w:firstRow="0" w:lastRow="0" w:firstColumn="0" w:lastColumn="0" w:oddVBand="0" w:evenVBand="0" w:oddHBand="0" w:evenHBand="0" w:firstRowFirstColumn="0" w:firstRowLastColumn="0" w:lastRowFirstColumn="0" w:lastRowLastColumn="0"/>
            </w:pPr>
            <w:r>
              <w:t>272</w:t>
            </w:r>
          </w:p>
        </w:tc>
        <w:tc>
          <w:tcPr>
            <w:tcW w:w="1162" w:type="dxa"/>
          </w:tcPr>
          <w:p w14:paraId="6693817A" w14:textId="77777777" w:rsidR="00182709" w:rsidRDefault="0044097C">
            <w:pPr>
              <w:cnfStyle w:val="000000000000" w:firstRow="0" w:lastRow="0" w:firstColumn="0" w:lastColumn="0" w:oddVBand="0" w:evenVBand="0" w:oddHBand="0" w:evenHBand="0" w:firstRowFirstColumn="0" w:firstRowLastColumn="0" w:lastRowFirstColumn="0" w:lastRowLastColumn="0"/>
            </w:pPr>
            <w:r>
              <w:t>101</w:t>
            </w:r>
          </w:p>
        </w:tc>
        <w:tc>
          <w:tcPr>
            <w:tcW w:w="795" w:type="dxa"/>
          </w:tcPr>
          <w:p w14:paraId="43DB14D0" w14:textId="77777777" w:rsidR="00182709" w:rsidRDefault="0044097C">
            <w:pPr>
              <w:cnfStyle w:val="000000000000" w:firstRow="0" w:lastRow="0" w:firstColumn="0" w:lastColumn="0" w:oddVBand="0" w:evenVBand="0" w:oddHBand="0" w:evenHBand="0" w:firstRowFirstColumn="0" w:firstRowLastColumn="0" w:lastRowFirstColumn="0" w:lastRowLastColumn="0"/>
            </w:pPr>
            <w:r>
              <w:t>582</w:t>
            </w:r>
          </w:p>
        </w:tc>
        <w:tc>
          <w:tcPr>
            <w:tcW w:w="764" w:type="dxa"/>
          </w:tcPr>
          <w:p w14:paraId="46BA543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0D1E8E4"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34BDCA00" w14:textId="77777777" w:rsidR="00182709" w:rsidRDefault="0044097C">
            <w:r>
              <w:t>Other payables</w:t>
            </w:r>
          </w:p>
        </w:tc>
        <w:tc>
          <w:tcPr>
            <w:tcW w:w="907" w:type="dxa"/>
            <w:tcBorders>
              <w:bottom w:val="single" w:sz="12" w:space="0" w:color="auto"/>
            </w:tcBorders>
          </w:tcPr>
          <w:p w14:paraId="6FFB3FE2"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07" w:type="dxa"/>
            <w:tcBorders>
              <w:bottom w:val="single" w:sz="12" w:space="0" w:color="auto"/>
            </w:tcBorders>
          </w:tcPr>
          <w:p w14:paraId="14CEB1CC"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85" w:type="dxa"/>
            <w:tcBorders>
              <w:bottom w:val="single" w:sz="12" w:space="0" w:color="auto"/>
            </w:tcBorders>
          </w:tcPr>
          <w:p w14:paraId="588799C7" w14:textId="77777777" w:rsidR="00182709" w:rsidRDefault="0044097C">
            <w:pPr>
              <w:cnfStyle w:val="000000000000" w:firstRow="0" w:lastRow="0" w:firstColumn="0" w:lastColumn="0" w:oddVBand="0" w:evenVBand="0" w:oddHBand="0" w:evenHBand="0" w:firstRowFirstColumn="0" w:firstRowLastColumn="0" w:lastRowFirstColumn="0" w:lastRowLastColumn="0"/>
            </w:pPr>
            <w:r>
              <w:t>6 355</w:t>
            </w:r>
          </w:p>
        </w:tc>
        <w:tc>
          <w:tcPr>
            <w:tcW w:w="829" w:type="dxa"/>
            <w:tcBorders>
              <w:bottom w:val="single" w:sz="12" w:space="0" w:color="auto"/>
            </w:tcBorders>
          </w:tcPr>
          <w:p w14:paraId="652349BF" w14:textId="77777777" w:rsidR="00182709" w:rsidRDefault="0044097C">
            <w:pPr>
              <w:cnfStyle w:val="000000000000" w:firstRow="0" w:lastRow="0" w:firstColumn="0" w:lastColumn="0" w:oddVBand="0" w:evenVBand="0" w:oddHBand="0" w:evenHBand="0" w:firstRowFirstColumn="0" w:firstRowLastColumn="0" w:lastRowFirstColumn="0" w:lastRowLastColumn="0"/>
            </w:pPr>
            <w:r>
              <w:t>183</w:t>
            </w:r>
          </w:p>
        </w:tc>
        <w:tc>
          <w:tcPr>
            <w:tcW w:w="1162" w:type="dxa"/>
            <w:tcBorders>
              <w:bottom w:val="single" w:sz="12" w:space="0" w:color="auto"/>
            </w:tcBorders>
          </w:tcPr>
          <w:p w14:paraId="15D11827" w14:textId="77777777" w:rsidR="00182709" w:rsidRDefault="0044097C">
            <w:pPr>
              <w:cnfStyle w:val="000000000000" w:firstRow="0" w:lastRow="0" w:firstColumn="0" w:lastColumn="0" w:oddVBand="0" w:evenVBand="0" w:oddHBand="0" w:evenHBand="0" w:firstRowFirstColumn="0" w:firstRowLastColumn="0" w:lastRowFirstColumn="0" w:lastRowLastColumn="0"/>
            </w:pPr>
            <w:r>
              <w:t>627</w:t>
            </w:r>
          </w:p>
        </w:tc>
        <w:tc>
          <w:tcPr>
            <w:tcW w:w="795" w:type="dxa"/>
            <w:tcBorders>
              <w:bottom w:val="single" w:sz="12" w:space="0" w:color="auto"/>
            </w:tcBorders>
          </w:tcPr>
          <w:p w14:paraId="11985C00" w14:textId="77777777" w:rsidR="00182709" w:rsidRDefault="0044097C">
            <w:pPr>
              <w:cnfStyle w:val="000000000000" w:firstRow="0" w:lastRow="0" w:firstColumn="0" w:lastColumn="0" w:oddVBand="0" w:evenVBand="0" w:oddHBand="0" w:evenHBand="0" w:firstRowFirstColumn="0" w:firstRowLastColumn="0" w:lastRowFirstColumn="0" w:lastRowLastColumn="0"/>
            </w:pPr>
            <w:r>
              <w:t>962</w:t>
            </w:r>
          </w:p>
        </w:tc>
        <w:tc>
          <w:tcPr>
            <w:tcW w:w="764" w:type="dxa"/>
            <w:tcBorders>
              <w:bottom w:val="single" w:sz="12" w:space="0" w:color="auto"/>
            </w:tcBorders>
          </w:tcPr>
          <w:p w14:paraId="1D0E1896" w14:textId="77777777" w:rsidR="00182709" w:rsidRDefault="0044097C">
            <w:pPr>
              <w:cnfStyle w:val="000000000000" w:firstRow="0" w:lastRow="0" w:firstColumn="0" w:lastColumn="0" w:oddVBand="0" w:evenVBand="0" w:oddHBand="0" w:evenHBand="0" w:firstRowFirstColumn="0" w:firstRowLastColumn="0" w:lastRowFirstColumn="0" w:lastRowLastColumn="0"/>
            </w:pPr>
            <w:r>
              <w:t>798</w:t>
            </w:r>
          </w:p>
        </w:tc>
      </w:tr>
      <w:tr w:rsidR="00671D55" w14:paraId="29A3ADC5" w14:textId="77777777" w:rsidTr="00182709">
        <w:tc>
          <w:tcPr>
            <w:cnfStyle w:val="001000000000" w:firstRow="0" w:lastRow="0" w:firstColumn="1" w:lastColumn="0" w:oddVBand="0" w:evenVBand="0" w:oddHBand="0" w:evenHBand="0" w:firstRowFirstColumn="0" w:firstRowLastColumn="0" w:lastRowFirstColumn="0" w:lastRowLastColumn="0"/>
            <w:tcW w:w="3290" w:type="dxa"/>
          </w:tcPr>
          <w:p w14:paraId="4FE047B9" w14:textId="77777777" w:rsidR="00182709" w:rsidRDefault="0044097C">
            <w:r>
              <w:rPr>
                <w:b/>
              </w:rPr>
              <w:t>Total</w:t>
            </w:r>
          </w:p>
        </w:tc>
        <w:tc>
          <w:tcPr>
            <w:tcW w:w="907" w:type="dxa"/>
          </w:tcPr>
          <w:p w14:paraId="6A2C56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14 108</w:t>
            </w:r>
          </w:p>
        </w:tc>
        <w:tc>
          <w:tcPr>
            <w:tcW w:w="907" w:type="dxa"/>
          </w:tcPr>
          <w:p w14:paraId="41F8B1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14 108</w:t>
            </w:r>
          </w:p>
        </w:tc>
        <w:tc>
          <w:tcPr>
            <w:tcW w:w="985" w:type="dxa"/>
          </w:tcPr>
          <w:p w14:paraId="7CB8A58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8 183</w:t>
            </w:r>
          </w:p>
        </w:tc>
        <w:tc>
          <w:tcPr>
            <w:tcW w:w="829" w:type="dxa"/>
          </w:tcPr>
          <w:p w14:paraId="52B42C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2 855</w:t>
            </w:r>
          </w:p>
        </w:tc>
        <w:tc>
          <w:tcPr>
            <w:tcW w:w="1162" w:type="dxa"/>
          </w:tcPr>
          <w:p w14:paraId="652D439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728</w:t>
            </w:r>
          </w:p>
        </w:tc>
        <w:tc>
          <w:tcPr>
            <w:tcW w:w="795" w:type="dxa"/>
          </w:tcPr>
          <w:p w14:paraId="1485CA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1 544</w:t>
            </w:r>
          </w:p>
        </w:tc>
        <w:tc>
          <w:tcPr>
            <w:tcW w:w="764" w:type="dxa"/>
          </w:tcPr>
          <w:p w14:paraId="6BBB11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798</w:t>
            </w:r>
          </w:p>
        </w:tc>
      </w:tr>
    </w:tbl>
    <w:p w14:paraId="33CC3C45" w14:textId="77777777" w:rsidR="003719CD" w:rsidRDefault="003719CD" w:rsidP="007D536F">
      <w:pPr>
        <w:pStyle w:val="Note"/>
      </w:pPr>
      <w:r>
        <w:t>Note:</w:t>
      </w:r>
    </w:p>
    <w:p w14:paraId="2FE322EF" w14:textId="3B96BCC4" w:rsidR="00496163" w:rsidRDefault="003719CD" w:rsidP="00C67C1A">
      <w:pPr>
        <w:pStyle w:val="Note"/>
      </w:pPr>
      <w:r>
        <w:t>(a)</w:t>
      </w:r>
      <w:r>
        <w:tab/>
        <w:t>Maturity analysis is presented using the contractual undiscounted cash flows.</w:t>
      </w:r>
    </w:p>
    <w:p w14:paraId="47921B48" w14:textId="77777777" w:rsidR="00A22CA7" w:rsidRDefault="00A22CA7" w:rsidP="00DC39DE"/>
    <w:p w14:paraId="1824C67F" w14:textId="77777777" w:rsidR="003719CD" w:rsidRDefault="003719CD" w:rsidP="007D536F">
      <w:pPr>
        <w:pStyle w:val="GuidanceBlockHeading"/>
      </w:pPr>
      <w:r>
        <w:t>Guidance – Payables and other financial liabilities</w:t>
      </w:r>
    </w:p>
    <w:p w14:paraId="55DFA80A" w14:textId="68736E34" w:rsidR="003719CD" w:rsidRPr="008E0B3B" w:rsidRDefault="003719CD" w:rsidP="007D536F">
      <w:pPr>
        <w:rPr>
          <w:rStyle w:val="Guidance"/>
        </w:rPr>
      </w:pPr>
      <w:r w:rsidRPr="008E0B3B">
        <w:rPr>
          <w:rStyle w:val="Guidance"/>
          <w:b/>
          <w:bCs/>
        </w:rPr>
        <w:t>Statutory payables</w:t>
      </w:r>
      <w:r w:rsidRPr="008E0B3B">
        <w:rPr>
          <w:rStyle w:val="Guidance"/>
        </w:rPr>
        <w:t xml:space="preserve">: </w:t>
      </w:r>
      <w:r w:rsidR="007667F2">
        <w:rPr>
          <w:rStyle w:val="Guidance"/>
        </w:rPr>
        <w:t>L</w:t>
      </w:r>
      <w:r w:rsidRPr="008E0B3B">
        <w:rPr>
          <w:rStyle w:val="Guidance"/>
        </w:rPr>
        <w:t xml:space="preserve">iabilities that are not contractual (such as liabilities that arise as a result of statutory requirements) are not considered financial liabilities. Therefore, although these liabilities are similar to financial instruments, they are in fact not in the scope of AASB 7. However, entities may wish to apply disclosure requirements similar to those from AASB 7 to such liabilities at their own discretion. </w:t>
      </w:r>
      <w:r w:rsidRPr="008E0B3B">
        <w:rPr>
          <w:rStyle w:val="Reference"/>
        </w:rPr>
        <w:t>[AASB 132.AG12]</w:t>
      </w:r>
    </w:p>
    <w:p w14:paraId="7405F270" w14:textId="1E0A2A53" w:rsidR="003719CD" w:rsidRPr="008E0B3B" w:rsidRDefault="003719CD" w:rsidP="007D536F">
      <w:pPr>
        <w:rPr>
          <w:rStyle w:val="Guidance"/>
        </w:rPr>
      </w:pPr>
      <w:r w:rsidRPr="008E0B3B">
        <w:rPr>
          <w:rStyle w:val="Guidance"/>
          <w:b/>
          <w:bCs/>
        </w:rPr>
        <w:t xml:space="preserve">Financial guarantees: </w:t>
      </w:r>
      <w:r w:rsidR="007667F2">
        <w:rPr>
          <w:rStyle w:val="Guidance"/>
        </w:rPr>
        <w:t>A</w:t>
      </w:r>
      <w:r w:rsidRPr="008E0B3B">
        <w:rPr>
          <w:rStyle w:val="Guidance"/>
        </w:rPr>
        <w:t xml:space="preserve"> financial guarantee contract is a contract that requires the issuer to make specified payments to reimburse the holder for a loss it incurs because a specified debtor fails to make payment when due. Financial guarantee contracts may have various forms and may arise under legislation. Departments should undertake a comprehensive review to identify whether any financial guarantee contracts exist. </w:t>
      </w:r>
      <w:r w:rsidRPr="008E0B3B">
        <w:rPr>
          <w:rStyle w:val="Reference"/>
        </w:rPr>
        <w:t>[AASB 9.Appendix A]</w:t>
      </w:r>
    </w:p>
    <w:p w14:paraId="23329F69" w14:textId="77777777" w:rsidR="003719CD" w:rsidRPr="008E0B3B" w:rsidRDefault="003719CD" w:rsidP="007D536F">
      <w:pPr>
        <w:rPr>
          <w:rStyle w:val="Guidance"/>
        </w:rPr>
      </w:pPr>
      <w:r w:rsidRPr="008E0B3B">
        <w:rPr>
          <w:rStyle w:val="Guidance"/>
        </w:rPr>
        <w:t>It is highly unlikely financial guarantees would be issued other than under legislation that is administered by DTF, although it is possible. In the rare instance where a financial guarantee has been issued under legislation administered by another department, the department concerned would need to disclose this in a separate note and it is recommended the department seeks separate advice regarding this matter.</w:t>
      </w:r>
    </w:p>
    <w:p w14:paraId="681A5695" w14:textId="3FF1FD82" w:rsidR="003719CD" w:rsidRPr="008E0B3B" w:rsidRDefault="003719CD" w:rsidP="007D536F">
      <w:pPr>
        <w:rPr>
          <w:rStyle w:val="Guidance"/>
        </w:rPr>
      </w:pPr>
      <w:r w:rsidRPr="008E0B3B">
        <w:rPr>
          <w:rStyle w:val="Guidance"/>
        </w:rPr>
        <w:t>Financial guarantee contracts are recognised as a financial liability at the time the guarantee is issued. The liability is initially measured at fair value and subsequently at the higher of the amount of the loss allowance determined in accordance with AASB</w:t>
      </w:r>
      <w:r w:rsidR="00AB75B1">
        <w:rPr>
          <w:rStyle w:val="Guidance"/>
        </w:rPr>
        <w:t xml:space="preserve"> </w:t>
      </w:r>
      <w:r w:rsidRPr="008E0B3B">
        <w:rPr>
          <w:rStyle w:val="Guidance"/>
        </w:rPr>
        <w:t xml:space="preserve">9 Section 5.5 and the amount initially recognised less cumulative amortisation, where appropriate. </w:t>
      </w:r>
      <w:r w:rsidRPr="008E0B3B">
        <w:rPr>
          <w:rStyle w:val="Reference"/>
        </w:rPr>
        <w:t>[AASB 9.4.2.1(c)]</w:t>
      </w:r>
      <w:r w:rsidRPr="008E0B3B">
        <w:rPr>
          <w:rStyle w:val="Guidance"/>
        </w:rPr>
        <w:t xml:space="preserve"> </w:t>
      </w:r>
    </w:p>
    <w:p w14:paraId="5578915B" w14:textId="77777777" w:rsidR="003719CD" w:rsidRPr="008E0B3B" w:rsidRDefault="003719CD" w:rsidP="007D536F">
      <w:pPr>
        <w:rPr>
          <w:rStyle w:val="Guidance"/>
        </w:rPr>
      </w:pPr>
      <w:r w:rsidRPr="008E0B3B">
        <w:rPr>
          <w:rStyle w:val="Guidance"/>
        </w:rPr>
        <w:t xml:space="preserve">Alternatively, the entity can designate the financial guarantee contract at fair value through net result in case of an accounting mismatch or if it is part of a portfolio that is managed and its performance evaluated on a fair value basis. </w:t>
      </w:r>
      <w:r w:rsidRPr="008E0B3B">
        <w:rPr>
          <w:rStyle w:val="Reference"/>
        </w:rPr>
        <w:t>[AASB 9.4.2.2]</w:t>
      </w:r>
      <w:r w:rsidRPr="008E0B3B">
        <w:rPr>
          <w:rStyle w:val="Guidance"/>
        </w:rPr>
        <w:t xml:space="preserve"> The fair value of financial guarantees is determined as the present value of the difference in net cash flows between the contractual payments under the debt instrument and the payments that would be required without the guarantee. </w:t>
      </w:r>
      <w:r w:rsidRPr="008E0B3B">
        <w:rPr>
          <w:rStyle w:val="Reference"/>
        </w:rPr>
        <w:t>[AASB 9.4.2.1(c) and AASB 137.45]</w:t>
      </w:r>
    </w:p>
    <w:p w14:paraId="0D6D3A3C" w14:textId="77777777" w:rsidR="003719CD" w:rsidRPr="008E0B3B" w:rsidRDefault="003719CD" w:rsidP="007D536F">
      <w:pPr>
        <w:rPr>
          <w:rStyle w:val="Guidance"/>
        </w:rPr>
      </w:pPr>
      <w:r w:rsidRPr="008E0B3B">
        <w:rPr>
          <w:rStyle w:val="Guidance"/>
          <w:b/>
          <w:bCs/>
        </w:rPr>
        <w:t>Significance of financial instruments</w:t>
      </w:r>
      <w:r w:rsidRPr="008E0B3B">
        <w:rPr>
          <w:rStyle w:val="Guidance"/>
        </w:rPr>
        <w:t xml:space="preserve">: AASB 7 requires an entity to disclose information that enables users of financial statements to evaluate the significance of financial instruments for its financial position and performance. </w:t>
      </w:r>
      <w:r w:rsidRPr="008E0B3B">
        <w:rPr>
          <w:rStyle w:val="Reference"/>
        </w:rPr>
        <w:t>[AASB 7.7]</w:t>
      </w:r>
    </w:p>
    <w:p w14:paraId="325FD209" w14:textId="070675AB" w:rsidR="003719CD" w:rsidRPr="008E0B3B" w:rsidRDefault="003719CD" w:rsidP="007D536F">
      <w:pPr>
        <w:rPr>
          <w:rStyle w:val="Guidance"/>
        </w:rPr>
      </w:pPr>
      <w:r w:rsidRPr="008E0B3B">
        <w:rPr>
          <w:rStyle w:val="Guidance"/>
          <w:b/>
          <w:bCs/>
        </w:rPr>
        <w:t>Nature and extent of risks arising from financial instruments</w:t>
      </w:r>
      <w:r w:rsidRPr="008E0B3B">
        <w:rPr>
          <w:rStyle w:val="Guidance"/>
        </w:rPr>
        <w:t xml:space="preserve">: </w:t>
      </w:r>
      <w:r w:rsidR="007667F2">
        <w:rPr>
          <w:rStyle w:val="Guidance"/>
        </w:rPr>
        <w:t>A</w:t>
      </w:r>
      <w:r w:rsidRPr="008E0B3B">
        <w:rPr>
          <w:rStyle w:val="Guidance"/>
        </w:rPr>
        <w:t xml:space="preserve">n entity shall also disclose information that enables users of its financial statements to evaluate the nature and extent of risks arising from financial instruments to which the entity is exposed at the end of the reporting period. </w:t>
      </w:r>
      <w:r w:rsidRPr="008E0B3B">
        <w:rPr>
          <w:rStyle w:val="Reference"/>
        </w:rPr>
        <w:t>[AASB 7.31]</w:t>
      </w:r>
    </w:p>
    <w:p w14:paraId="21096CA0" w14:textId="1DDCC77D" w:rsidR="003719CD" w:rsidRPr="008E0B3B" w:rsidRDefault="003719CD" w:rsidP="007D536F">
      <w:pPr>
        <w:rPr>
          <w:rStyle w:val="Guidance"/>
        </w:rPr>
      </w:pPr>
      <w:r w:rsidRPr="008E0B3B">
        <w:rPr>
          <w:rStyle w:val="Guidance"/>
          <w:b/>
          <w:bCs/>
        </w:rPr>
        <w:t>Grant of right to operate liability</w:t>
      </w:r>
      <w:r w:rsidRPr="008E0B3B">
        <w:rPr>
          <w:rStyle w:val="Guidance"/>
        </w:rPr>
        <w:t xml:space="preserve">: </w:t>
      </w:r>
      <w:r w:rsidR="007667F2">
        <w:rPr>
          <w:rStyle w:val="Guidance"/>
        </w:rPr>
        <w:t>T</w:t>
      </w:r>
      <w:r w:rsidRPr="008E0B3B">
        <w:rPr>
          <w:rStyle w:val="Guidance"/>
        </w:rPr>
        <w:t>his liability is recognised applying ‘grant of right to the operator model’ under AASB</w:t>
      </w:r>
      <w:r w:rsidR="003B7EFD">
        <w:rPr>
          <w:rStyle w:val="Guidance"/>
        </w:rPr>
        <w:t> </w:t>
      </w:r>
      <w:r w:rsidRPr="008E0B3B">
        <w:rPr>
          <w:rStyle w:val="Guidance"/>
        </w:rPr>
        <w:t xml:space="preserve">1059 where there is no contractual obligation to pay cash or another financial asset for the construction, development, acquisition, or upgrade of a service concession asset. Instead, an operator has been given the right to earn revenue from users of the asset or has been given the right to access another asset that generates revenue. It is the unearned portion of the revenue from exchange of assets and is progressively reduced over the term of the arrangement according to the economic substance of the arrangement. </w:t>
      </w:r>
      <w:r w:rsidRPr="008E0B3B">
        <w:rPr>
          <w:rStyle w:val="Reference"/>
        </w:rPr>
        <w:t>[AASB 1059.21-23]</w:t>
      </w:r>
    </w:p>
    <w:p w14:paraId="0199094D" w14:textId="77777777" w:rsidR="003719CD" w:rsidRDefault="003719CD" w:rsidP="007D536F">
      <w:pPr>
        <w:pStyle w:val="GuidanceEnd"/>
      </w:pPr>
    </w:p>
    <w:p w14:paraId="7D99A089" w14:textId="77777777" w:rsidR="003719CD" w:rsidRDefault="003719CD" w:rsidP="00A80494">
      <w:pPr>
        <w:pStyle w:val="Heading2numbered"/>
      </w:pPr>
      <w:bookmarkStart w:id="84" w:name="_Toc96704921"/>
      <w:bookmarkStart w:id="85" w:name="_Toc130225975"/>
      <w:bookmarkStart w:id="86" w:name="_Toc64983450"/>
      <w:r>
        <w:lastRenderedPageBreak/>
        <w:t>Inventories</w:t>
      </w:r>
      <w:bookmarkEnd w:id="84"/>
      <w:bookmarkEnd w:id="85"/>
      <w:bookmarkEnd w:id="86"/>
    </w:p>
    <w:p w14:paraId="09B0ACD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6347"/>
        <w:gridCol w:w="866"/>
        <w:gridCol w:w="866"/>
      </w:tblGrid>
      <w:tr w:rsidR="00105FBB" w14:paraId="4F8C2C50"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02B86C51" w14:textId="77777777" w:rsidR="00105FBB" w:rsidRDefault="00105FBB" w:rsidP="00105FBB">
            <w:pPr>
              <w:keepNext/>
              <w:jc w:val="left"/>
            </w:pPr>
            <w:r>
              <w:rPr>
                <w:color w:val="4472C4"/>
                <w:sz w:val="13"/>
              </w:rPr>
              <w:t>Source reference</w:t>
            </w:r>
          </w:p>
        </w:tc>
        <w:tc>
          <w:tcPr>
            <w:tcW w:w="6347" w:type="dxa"/>
          </w:tcPr>
          <w:p w14:paraId="78201E37" w14:textId="77777777" w:rsidR="00105FBB" w:rsidRDefault="00105FBB" w:rsidP="00105FBB">
            <w:pPr>
              <w:keepNext/>
              <w:jc w:val="left"/>
            </w:pPr>
          </w:p>
        </w:tc>
        <w:tc>
          <w:tcPr>
            <w:tcW w:w="866" w:type="dxa"/>
          </w:tcPr>
          <w:p w14:paraId="03341D10" w14:textId="74B19454" w:rsidR="00105FBB" w:rsidRPr="00105FBB" w:rsidRDefault="00105FBB" w:rsidP="00105FBB">
            <w:pPr>
              <w:keepNext/>
              <w:rPr>
                <w:iCs/>
              </w:rPr>
            </w:pPr>
            <w:r w:rsidRPr="00105FBB">
              <w:rPr>
                <w:iCs/>
              </w:rPr>
              <w:fldChar w:fldCharType="begin"/>
            </w:r>
            <w:r w:rsidRPr="00105FBB">
              <w:rPr>
                <w:bCs w:val="0"/>
                <w:iCs/>
              </w:rPr>
              <w:instrText>DOCPROPERTY  YearCurrent \* MERGEFORMAT</w:instrText>
            </w:r>
            <w:r w:rsidRPr="00105FBB">
              <w:rPr>
                <w:iCs/>
              </w:rPr>
              <w:fldChar w:fldCharType="separate"/>
            </w:r>
            <w:r w:rsidRPr="00105FBB">
              <w:rPr>
                <w:bCs w:val="0"/>
                <w:iCs/>
              </w:rPr>
              <w:t>20X2</w:t>
            </w:r>
            <w:r w:rsidRPr="00105FBB">
              <w:rPr>
                <w:iCs/>
              </w:rPr>
              <w:fldChar w:fldCharType="end"/>
            </w:r>
          </w:p>
        </w:tc>
        <w:tc>
          <w:tcPr>
            <w:tcW w:w="866" w:type="dxa"/>
          </w:tcPr>
          <w:p w14:paraId="014BAF2E" w14:textId="65A573CC" w:rsidR="00105FBB" w:rsidRPr="00105FBB" w:rsidRDefault="00105FBB" w:rsidP="00105FBB">
            <w:pPr>
              <w:keepNext/>
              <w:rPr>
                <w:iCs/>
              </w:rPr>
            </w:pPr>
            <w:r w:rsidRPr="00105FBB">
              <w:rPr>
                <w:iCs/>
              </w:rPr>
              <w:fldChar w:fldCharType="begin"/>
            </w:r>
            <w:r w:rsidRPr="00105FBB">
              <w:rPr>
                <w:bCs w:val="0"/>
                <w:iCs/>
              </w:rPr>
              <w:instrText>DOCPROPERTY  YearPrevious  \* MERGEFORMAT</w:instrText>
            </w:r>
            <w:r w:rsidRPr="00105FBB">
              <w:rPr>
                <w:iCs/>
              </w:rPr>
              <w:fldChar w:fldCharType="separate"/>
            </w:r>
            <w:r w:rsidRPr="00105FBB">
              <w:rPr>
                <w:bCs w:val="0"/>
                <w:iCs/>
              </w:rPr>
              <w:t>20X1</w:t>
            </w:r>
            <w:r w:rsidRPr="00105FBB">
              <w:rPr>
                <w:iCs/>
              </w:rPr>
              <w:fldChar w:fldCharType="end"/>
            </w:r>
          </w:p>
        </w:tc>
      </w:tr>
      <w:tr w:rsidR="00182709" w14:paraId="4BB316CC" w14:textId="77777777" w:rsidTr="0018172B">
        <w:tc>
          <w:tcPr>
            <w:tcW w:w="1560" w:type="dxa"/>
          </w:tcPr>
          <w:p w14:paraId="4F8CD72A" w14:textId="77777777" w:rsidR="00182709" w:rsidRDefault="00182709">
            <w:pPr>
              <w:jc w:val="left"/>
            </w:pPr>
          </w:p>
        </w:tc>
        <w:tc>
          <w:tcPr>
            <w:tcW w:w="6347" w:type="dxa"/>
          </w:tcPr>
          <w:p w14:paraId="692758BF" w14:textId="77777777" w:rsidR="00182709" w:rsidRDefault="0044097C">
            <w:pPr>
              <w:jc w:val="left"/>
            </w:pPr>
            <w:r>
              <w:rPr>
                <w:b/>
              </w:rPr>
              <w:t>Current inventories</w:t>
            </w:r>
          </w:p>
        </w:tc>
        <w:tc>
          <w:tcPr>
            <w:tcW w:w="866" w:type="dxa"/>
          </w:tcPr>
          <w:p w14:paraId="25848635" w14:textId="77777777" w:rsidR="00182709" w:rsidRDefault="00182709"/>
        </w:tc>
        <w:tc>
          <w:tcPr>
            <w:tcW w:w="866" w:type="dxa"/>
          </w:tcPr>
          <w:p w14:paraId="681D6B87" w14:textId="77777777" w:rsidR="00182709" w:rsidRDefault="00182709"/>
        </w:tc>
      </w:tr>
      <w:tr w:rsidR="00182709" w14:paraId="4CE93F60" w14:textId="77777777" w:rsidTr="0018172B">
        <w:tc>
          <w:tcPr>
            <w:tcW w:w="1560" w:type="dxa"/>
          </w:tcPr>
          <w:p w14:paraId="307E7A82" w14:textId="77777777" w:rsidR="00182709" w:rsidRDefault="00182709">
            <w:pPr>
              <w:jc w:val="left"/>
            </w:pPr>
          </w:p>
        </w:tc>
        <w:tc>
          <w:tcPr>
            <w:tcW w:w="6347" w:type="dxa"/>
          </w:tcPr>
          <w:p w14:paraId="7F2EA45D" w14:textId="77777777" w:rsidR="00182709" w:rsidRDefault="0044097C">
            <w:pPr>
              <w:jc w:val="left"/>
            </w:pPr>
            <w:r>
              <w:rPr>
                <w:b/>
              </w:rPr>
              <w:t>Supplies and consumables:</w:t>
            </w:r>
          </w:p>
        </w:tc>
        <w:tc>
          <w:tcPr>
            <w:tcW w:w="866" w:type="dxa"/>
          </w:tcPr>
          <w:p w14:paraId="3B648D81" w14:textId="77777777" w:rsidR="00182709" w:rsidRDefault="00182709"/>
        </w:tc>
        <w:tc>
          <w:tcPr>
            <w:tcW w:w="866" w:type="dxa"/>
          </w:tcPr>
          <w:p w14:paraId="1B95624F" w14:textId="77777777" w:rsidR="00182709" w:rsidRDefault="00182709"/>
        </w:tc>
      </w:tr>
      <w:tr w:rsidR="00182709" w14:paraId="745A5DB3" w14:textId="77777777" w:rsidTr="0018172B">
        <w:tc>
          <w:tcPr>
            <w:tcW w:w="1560" w:type="dxa"/>
          </w:tcPr>
          <w:p w14:paraId="2B311513" w14:textId="77777777" w:rsidR="00182709" w:rsidRDefault="0044097C">
            <w:pPr>
              <w:jc w:val="left"/>
            </w:pPr>
            <w:r>
              <w:rPr>
                <w:color w:val="4472C4"/>
                <w:sz w:val="13"/>
              </w:rPr>
              <w:t>AASB 102.36 (b)</w:t>
            </w:r>
          </w:p>
        </w:tc>
        <w:tc>
          <w:tcPr>
            <w:tcW w:w="6347" w:type="dxa"/>
          </w:tcPr>
          <w:p w14:paraId="15025385" w14:textId="77777777" w:rsidR="00182709" w:rsidRDefault="0044097C">
            <w:pPr>
              <w:jc w:val="left"/>
            </w:pPr>
            <w:r>
              <w:t>At cost</w:t>
            </w:r>
          </w:p>
        </w:tc>
        <w:tc>
          <w:tcPr>
            <w:tcW w:w="866" w:type="dxa"/>
          </w:tcPr>
          <w:p w14:paraId="154AD216" w14:textId="77777777" w:rsidR="00182709" w:rsidRDefault="0044097C">
            <w:r>
              <w:t>7 299</w:t>
            </w:r>
          </w:p>
        </w:tc>
        <w:tc>
          <w:tcPr>
            <w:tcW w:w="866" w:type="dxa"/>
          </w:tcPr>
          <w:p w14:paraId="726A5561" w14:textId="77777777" w:rsidR="00182709" w:rsidRDefault="0044097C">
            <w:r>
              <w:t>9 404</w:t>
            </w:r>
          </w:p>
        </w:tc>
      </w:tr>
      <w:tr w:rsidR="00182709" w14:paraId="7B0E3517" w14:textId="77777777" w:rsidTr="0018172B">
        <w:tc>
          <w:tcPr>
            <w:tcW w:w="1560" w:type="dxa"/>
          </w:tcPr>
          <w:p w14:paraId="49C998C8" w14:textId="77777777" w:rsidR="00182709" w:rsidRDefault="00182709">
            <w:pPr>
              <w:jc w:val="left"/>
            </w:pPr>
          </w:p>
        </w:tc>
        <w:tc>
          <w:tcPr>
            <w:tcW w:w="6347" w:type="dxa"/>
          </w:tcPr>
          <w:p w14:paraId="55F71B21" w14:textId="77777777" w:rsidR="00182709" w:rsidRDefault="0044097C">
            <w:pPr>
              <w:jc w:val="left"/>
            </w:pPr>
            <w:r>
              <w:rPr>
                <w:b/>
              </w:rPr>
              <w:t>Work in progress:</w:t>
            </w:r>
          </w:p>
        </w:tc>
        <w:tc>
          <w:tcPr>
            <w:tcW w:w="866" w:type="dxa"/>
          </w:tcPr>
          <w:p w14:paraId="03D89F1A" w14:textId="77777777" w:rsidR="00182709" w:rsidRDefault="00182709"/>
        </w:tc>
        <w:tc>
          <w:tcPr>
            <w:tcW w:w="866" w:type="dxa"/>
          </w:tcPr>
          <w:p w14:paraId="285C6151" w14:textId="77777777" w:rsidR="00182709" w:rsidRDefault="00182709"/>
        </w:tc>
      </w:tr>
      <w:tr w:rsidR="00182709" w14:paraId="088C8783" w14:textId="77777777" w:rsidTr="0018172B">
        <w:tc>
          <w:tcPr>
            <w:tcW w:w="1560" w:type="dxa"/>
          </w:tcPr>
          <w:p w14:paraId="6B17BD4C" w14:textId="77777777" w:rsidR="00182709" w:rsidRDefault="0044097C">
            <w:pPr>
              <w:jc w:val="left"/>
            </w:pPr>
            <w:r>
              <w:rPr>
                <w:color w:val="4472C4"/>
                <w:sz w:val="13"/>
              </w:rPr>
              <w:t>AASB 102.36 (b)</w:t>
            </w:r>
          </w:p>
        </w:tc>
        <w:tc>
          <w:tcPr>
            <w:tcW w:w="6347" w:type="dxa"/>
          </w:tcPr>
          <w:p w14:paraId="08C5F5E3" w14:textId="77777777" w:rsidR="00182709" w:rsidRDefault="0044097C">
            <w:pPr>
              <w:jc w:val="left"/>
            </w:pPr>
            <w:r>
              <w:t>At cost</w:t>
            </w:r>
          </w:p>
        </w:tc>
        <w:tc>
          <w:tcPr>
            <w:tcW w:w="866" w:type="dxa"/>
          </w:tcPr>
          <w:p w14:paraId="2D76C0E2" w14:textId="77777777" w:rsidR="00182709" w:rsidRDefault="0044097C">
            <w:r>
              <w:t>1 931</w:t>
            </w:r>
          </w:p>
        </w:tc>
        <w:tc>
          <w:tcPr>
            <w:tcW w:w="866" w:type="dxa"/>
          </w:tcPr>
          <w:p w14:paraId="3FD27984" w14:textId="77777777" w:rsidR="00182709" w:rsidRDefault="0044097C">
            <w:r>
              <w:t>1 515</w:t>
            </w:r>
          </w:p>
        </w:tc>
      </w:tr>
      <w:tr w:rsidR="00182709" w14:paraId="5DBD5206" w14:textId="77777777" w:rsidTr="0018172B">
        <w:tc>
          <w:tcPr>
            <w:tcW w:w="1560" w:type="dxa"/>
          </w:tcPr>
          <w:p w14:paraId="123755CE" w14:textId="77777777" w:rsidR="00182709" w:rsidRDefault="00182709">
            <w:pPr>
              <w:jc w:val="left"/>
            </w:pPr>
          </w:p>
        </w:tc>
        <w:tc>
          <w:tcPr>
            <w:tcW w:w="6347" w:type="dxa"/>
          </w:tcPr>
          <w:p w14:paraId="6FE36F90" w14:textId="77777777" w:rsidR="00182709" w:rsidRDefault="0044097C">
            <w:pPr>
              <w:jc w:val="left"/>
            </w:pPr>
            <w:r>
              <w:rPr>
                <w:b/>
              </w:rPr>
              <w:t>Inventories held for sale:</w:t>
            </w:r>
          </w:p>
        </w:tc>
        <w:tc>
          <w:tcPr>
            <w:tcW w:w="866" w:type="dxa"/>
          </w:tcPr>
          <w:p w14:paraId="033BDC34" w14:textId="77777777" w:rsidR="00182709" w:rsidRDefault="00182709"/>
        </w:tc>
        <w:tc>
          <w:tcPr>
            <w:tcW w:w="866" w:type="dxa"/>
          </w:tcPr>
          <w:p w14:paraId="2A7B7828" w14:textId="77777777" w:rsidR="00182709" w:rsidRDefault="00182709"/>
        </w:tc>
      </w:tr>
      <w:tr w:rsidR="00182709" w14:paraId="2CEF2E21" w14:textId="77777777" w:rsidTr="0018172B">
        <w:tc>
          <w:tcPr>
            <w:tcW w:w="1560" w:type="dxa"/>
          </w:tcPr>
          <w:p w14:paraId="4300A990" w14:textId="77777777" w:rsidR="00182709" w:rsidRDefault="00182709">
            <w:pPr>
              <w:jc w:val="left"/>
            </w:pPr>
          </w:p>
        </w:tc>
        <w:tc>
          <w:tcPr>
            <w:tcW w:w="6347" w:type="dxa"/>
          </w:tcPr>
          <w:p w14:paraId="0B75DD0C" w14:textId="77777777" w:rsidR="00182709" w:rsidRDefault="0044097C">
            <w:pPr>
              <w:jc w:val="left"/>
            </w:pPr>
            <w:r>
              <w:t>At cost</w:t>
            </w:r>
          </w:p>
        </w:tc>
        <w:tc>
          <w:tcPr>
            <w:tcW w:w="866" w:type="dxa"/>
          </w:tcPr>
          <w:p w14:paraId="43ADBFC5" w14:textId="77777777" w:rsidR="00182709" w:rsidRDefault="0044097C">
            <w:r>
              <w:t>2 523</w:t>
            </w:r>
          </w:p>
        </w:tc>
        <w:tc>
          <w:tcPr>
            <w:tcW w:w="866" w:type="dxa"/>
          </w:tcPr>
          <w:p w14:paraId="7BA2BB0F" w14:textId="77777777" w:rsidR="00182709" w:rsidRDefault="0044097C">
            <w:r>
              <w:t>8 594</w:t>
            </w:r>
          </w:p>
        </w:tc>
      </w:tr>
      <w:tr w:rsidR="00182709" w14:paraId="1B4FC90D" w14:textId="77777777" w:rsidTr="0018172B">
        <w:tc>
          <w:tcPr>
            <w:tcW w:w="1560" w:type="dxa"/>
          </w:tcPr>
          <w:p w14:paraId="6EC96F3E" w14:textId="77777777" w:rsidR="00182709" w:rsidRDefault="00182709">
            <w:pPr>
              <w:jc w:val="left"/>
            </w:pPr>
          </w:p>
        </w:tc>
        <w:tc>
          <w:tcPr>
            <w:tcW w:w="6347" w:type="dxa"/>
            <w:tcBorders>
              <w:bottom w:val="single" w:sz="12" w:space="0" w:color="auto"/>
            </w:tcBorders>
          </w:tcPr>
          <w:p w14:paraId="40BD93C3" w14:textId="77777777" w:rsidR="00182709" w:rsidRDefault="0044097C">
            <w:pPr>
              <w:jc w:val="left"/>
            </w:pPr>
            <w:r>
              <w:t>At net realisable value</w:t>
            </w:r>
          </w:p>
        </w:tc>
        <w:tc>
          <w:tcPr>
            <w:tcW w:w="866" w:type="dxa"/>
            <w:tcBorders>
              <w:bottom w:val="single" w:sz="12" w:space="0" w:color="auto"/>
            </w:tcBorders>
          </w:tcPr>
          <w:p w14:paraId="43DA6B98" w14:textId="77777777" w:rsidR="00182709" w:rsidRDefault="0044097C">
            <w:r>
              <w:t>91</w:t>
            </w:r>
          </w:p>
        </w:tc>
        <w:tc>
          <w:tcPr>
            <w:tcW w:w="866" w:type="dxa"/>
            <w:tcBorders>
              <w:bottom w:val="single" w:sz="12" w:space="0" w:color="auto"/>
            </w:tcBorders>
          </w:tcPr>
          <w:p w14:paraId="2D5E7233" w14:textId="77777777" w:rsidR="00182709" w:rsidRDefault="0044097C">
            <w:r>
              <w:t>99</w:t>
            </w:r>
          </w:p>
        </w:tc>
      </w:tr>
      <w:tr w:rsidR="00671D55" w14:paraId="5C24DE7D" w14:textId="77777777" w:rsidTr="0018172B">
        <w:tc>
          <w:tcPr>
            <w:tcW w:w="1560" w:type="dxa"/>
          </w:tcPr>
          <w:p w14:paraId="5EE0A5E0" w14:textId="77777777" w:rsidR="00182709" w:rsidRDefault="00182709">
            <w:pPr>
              <w:jc w:val="left"/>
            </w:pPr>
          </w:p>
        </w:tc>
        <w:tc>
          <w:tcPr>
            <w:tcW w:w="6347" w:type="dxa"/>
          </w:tcPr>
          <w:p w14:paraId="6B487E61" w14:textId="77777777" w:rsidR="00182709" w:rsidRDefault="0044097C">
            <w:pPr>
              <w:jc w:val="left"/>
            </w:pPr>
            <w:r>
              <w:rPr>
                <w:b/>
              </w:rPr>
              <w:t>Total current inventories</w:t>
            </w:r>
          </w:p>
        </w:tc>
        <w:tc>
          <w:tcPr>
            <w:tcW w:w="866" w:type="dxa"/>
          </w:tcPr>
          <w:p w14:paraId="572540AE" w14:textId="77777777" w:rsidR="00182709" w:rsidRDefault="0044097C">
            <w:r>
              <w:rPr>
                <w:b/>
              </w:rPr>
              <w:t>11 844</w:t>
            </w:r>
          </w:p>
        </w:tc>
        <w:tc>
          <w:tcPr>
            <w:tcW w:w="866" w:type="dxa"/>
          </w:tcPr>
          <w:p w14:paraId="4B2F2D59" w14:textId="77777777" w:rsidR="00182709" w:rsidRDefault="0044097C">
            <w:r>
              <w:rPr>
                <w:b/>
              </w:rPr>
              <w:t>19 612</w:t>
            </w:r>
          </w:p>
        </w:tc>
      </w:tr>
      <w:tr w:rsidR="00671D55" w14:paraId="5CF264F7" w14:textId="77777777" w:rsidTr="0018172B">
        <w:tc>
          <w:tcPr>
            <w:tcW w:w="1560" w:type="dxa"/>
          </w:tcPr>
          <w:p w14:paraId="48EE2CA5" w14:textId="77777777" w:rsidR="00182709" w:rsidRDefault="00182709">
            <w:pPr>
              <w:jc w:val="left"/>
            </w:pPr>
          </w:p>
        </w:tc>
        <w:tc>
          <w:tcPr>
            <w:tcW w:w="6347" w:type="dxa"/>
          </w:tcPr>
          <w:p w14:paraId="743385BD" w14:textId="77777777" w:rsidR="00182709" w:rsidRDefault="0044097C">
            <w:pPr>
              <w:jc w:val="left"/>
            </w:pPr>
            <w:r>
              <w:rPr>
                <w:b/>
              </w:rPr>
              <w:t>Inventories held for distribution:</w:t>
            </w:r>
          </w:p>
        </w:tc>
        <w:tc>
          <w:tcPr>
            <w:tcW w:w="866" w:type="dxa"/>
          </w:tcPr>
          <w:p w14:paraId="779E8EA8" w14:textId="77777777" w:rsidR="00182709" w:rsidRDefault="00182709"/>
        </w:tc>
        <w:tc>
          <w:tcPr>
            <w:tcW w:w="866" w:type="dxa"/>
          </w:tcPr>
          <w:p w14:paraId="18D3AB8F" w14:textId="77777777" w:rsidR="00182709" w:rsidRDefault="00182709"/>
        </w:tc>
      </w:tr>
      <w:tr w:rsidR="00182709" w14:paraId="4016EB34" w14:textId="77777777" w:rsidTr="0018172B">
        <w:tc>
          <w:tcPr>
            <w:tcW w:w="1560" w:type="dxa"/>
          </w:tcPr>
          <w:p w14:paraId="62184D67" w14:textId="77777777" w:rsidR="00182709" w:rsidRDefault="0044097C">
            <w:pPr>
              <w:jc w:val="left"/>
            </w:pPr>
            <w:r>
              <w:rPr>
                <w:color w:val="4472C4"/>
                <w:sz w:val="13"/>
              </w:rPr>
              <w:t>AASB 102.Aus 36.1 (b)</w:t>
            </w:r>
          </w:p>
        </w:tc>
        <w:tc>
          <w:tcPr>
            <w:tcW w:w="6347" w:type="dxa"/>
          </w:tcPr>
          <w:p w14:paraId="595E5596" w14:textId="77777777" w:rsidR="00182709" w:rsidRDefault="0044097C">
            <w:pPr>
              <w:jc w:val="left"/>
            </w:pPr>
            <w:r>
              <w:t>At cost</w:t>
            </w:r>
          </w:p>
        </w:tc>
        <w:tc>
          <w:tcPr>
            <w:tcW w:w="866" w:type="dxa"/>
          </w:tcPr>
          <w:p w14:paraId="13064E49" w14:textId="77777777" w:rsidR="00182709" w:rsidRDefault="0044097C">
            <w:r>
              <w:t>308</w:t>
            </w:r>
          </w:p>
        </w:tc>
        <w:tc>
          <w:tcPr>
            <w:tcW w:w="866" w:type="dxa"/>
          </w:tcPr>
          <w:p w14:paraId="73F6047B" w14:textId="77777777" w:rsidR="00182709" w:rsidRDefault="0044097C">
            <w:r>
              <w:t>144</w:t>
            </w:r>
          </w:p>
        </w:tc>
      </w:tr>
      <w:tr w:rsidR="00182709" w14:paraId="4C0D6682" w14:textId="77777777" w:rsidTr="0018172B">
        <w:tc>
          <w:tcPr>
            <w:tcW w:w="1560" w:type="dxa"/>
          </w:tcPr>
          <w:p w14:paraId="4A4A01EE" w14:textId="77777777" w:rsidR="00182709" w:rsidRDefault="00182709">
            <w:pPr>
              <w:jc w:val="left"/>
            </w:pPr>
          </w:p>
        </w:tc>
        <w:tc>
          <w:tcPr>
            <w:tcW w:w="6347" w:type="dxa"/>
            <w:tcBorders>
              <w:bottom w:val="single" w:sz="12" w:space="0" w:color="auto"/>
            </w:tcBorders>
          </w:tcPr>
          <w:p w14:paraId="1438F1B6" w14:textId="77777777" w:rsidR="00182709" w:rsidRDefault="0044097C">
            <w:pPr>
              <w:jc w:val="left"/>
            </w:pPr>
            <w:r>
              <w:t>Loss of service potential</w:t>
            </w:r>
          </w:p>
        </w:tc>
        <w:tc>
          <w:tcPr>
            <w:tcW w:w="866" w:type="dxa"/>
            <w:tcBorders>
              <w:bottom w:val="single" w:sz="12" w:space="0" w:color="auto"/>
            </w:tcBorders>
          </w:tcPr>
          <w:p w14:paraId="679D9C52" w14:textId="77777777" w:rsidR="00182709" w:rsidRDefault="0044097C">
            <w:r>
              <w:t>(97)</w:t>
            </w:r>
          </w:p>
        </w:tc>
        <w:tc>
          <w:tcPr>
            <w:tcW w:w="866" w:type="dxa"/>
            <w:tcBorders>
              <w:bottom w:val="single" w:sz="12" w:space="0" w:color="auto"/>
            </w:tcBorders>
          </w:tcPr>
          <w:p w14:paraId="2482E163" w14:textId="77777777" w:rsidR="00182709" w:rsidRDefault="0044097C">
            <w:r>
              <w:t>(24)</w:t>
            </w:r>
          </w:p>
        </w:tc>
      </w:tr>
      <w:tr w:rsidR="00671D55" w14:paraId="7103D3BD" w14:textId="77777777" w:rsidTr="0018172B">
        <w:tc>
          <w:tcPr>
            <w:tcW w:w="1560" w:type="dxa"/>
            <w:tcBorders>
              <w:bottom w:val="nil"/>
            </w:tcBorders>
          </w:tcPr>
          <w:p w14:paraId="3922775F" w14:textId="77777777" w:rsidR="00182709" w:rsidRDefault="0044097C">
            <w:pPr>
              <w:jc w:val="left"/>
            </w:pPr>
            <w:r>
              <w:rPr>
                <w:color w:val="4472C4"/>
                <w:sz w:val="13"/>
              </w:rPr>
              <w:t>AASB 101.61</w:t>
            </w:r>
          </w:p>
        </w:tc>
        <w:tc>
          <w:tcPr>
            <w:tcW w:w="6347" w:type="dxa"/>
          </w:tcPr>
          <w:p w14:paraId="7A4A51CC" w14:textId="77777777" w:rsidR="00182709" w:rsidRDefault="0044097C">
            <w:pPr>
              <w:jc w:val="left"/>
            </w:pPr>
            <w:r>
              <w:rPr>
                <w:b/>
              </w:rPr>
              <w:t>Total inventories</w:t>
            </w:r>
          </w:p>
        </w:tc>
        <w:tc>
          <w:tcPr>
            <w:tcW w:w="866" w:type="dxa"/>
          </w:tcPr>
          <w:p w14:paraId="1030FA98" w14:textId="77777777" w:rsidR="00182709" w:rsidRDefault="0044097C">
            <w:r>
              <w:rPr>
                <w:b/>
              </w:rPr>
              <w:t>12 055</w:t>
            </w:r>
          </w:p>
        </w:tc>
        <w:tc>
          <w:tcPr>
            <w:tcW w:w="866" w:type="dxa"/>
          </w:tcPr>
          <w:p w14:paraId="420A59E2" w14:textId="77777777" w:rsidR="00182709" w:rsidRDefault="0044097C">
            <w:r>
              <w:rPr>
                <w:b/>
              </w:rPr>
              <w:t>19 732</w:t>
            </w:r>
          </w:p>
        </w:tc>
      </w:tr>
    </w:tbl>
    <w:p w14:paraId="6978B1E0" w14:textId="77777777" w:rsidR="003719CD" w:rsidRDefault="003719CD" w:rsidP="00DC39DE">
      <w:r>
        <w:t>Inventories include property held either for sale, or for distribution at zero or nominal cost, or for consumption in the ordinary course of business operations.</w:t>
      </w:r>
    </w:p>
    <w:p w14:paraId="564CC8B2" w14:textId="77777777" w:rsidR="003719CD" w:rsidRDefault="003719CD" w:rsidP="00DC39DE">
      <w:r>
        <w:t>Inventories held for distribution are measured at cost, adjusted for any loss of service potential. All other inventories, including land held for sale, are measured at the lower of cost and net realisable value.</w:t>
      </w:r>
    </w:p>
    <w:p w14:paraId="5ABC4B33" w14:textId="77777777" w:rsidR="003719CD" w:rsidRDefault="003719CD" w:rsidP="00DC39DE">
      <w:r>
        <w:t xml:space="preserve">Where inventories are acquired for no cost or nominal consideration, they are measured at current replacement cost at the date of acquisition. </w:t>
      </w:r>
      <w:r w:rsidRPr="00E614A8">
        <w:rPr>
          <w:rStyle w:val="Reference"/>
        </w:rPr>
        <w:t>[AASB 102.9, 102.36]</w:t>
      </w:r>
    </w:p>
    <w:p w14:paraId="049DCB02" w14:textId="77777777" w:rsidR="003719CD" w:rsidRDefault="003719CD" w:rsidP="00DC39DE">
      <w:r>
        <w:t xml:space="preserve">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on the basis of weighted average cost. </w:t>
      </w:r>
    </w:p>
    <w:p w14:paraId="3481B949" w14:textId="77777777" w:rsidR="003719CD" w:rsidRDefault="003719CD" w:rsidP="00DC39DE">
      <w:pPr>
        <w:rPr>
          <w:rStyle w:val="Reference"/>
        </w:rPr>
      </w:pPr>
      <w:r>
        <w:t xml:space="preserve">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 </w:t>
      </w:r>
      <w:r w:rsidRPr="00E614A8">
        <w:rPr>
          <w:rStyle w:val="Reference"/>
        </w:rPr>
        <w:t>[AASB 102.Aus 9.1]</w:t>
      </w:r>
    </w:p>
    <w:p w14:paraId="6FADE9C7" w14:textId="77777777" w:rsidR="003719CD" w:rsidRDefault="003719CD" w:rsidP="007D536F">
      <w:pPr>
        <w:pStyle w:val="GuidanceBlockHeading"/>
      </w:pPr>
      <w:r>
        <w:t>Guidance – Inventories [AASB 102.36]</w:t>
      </w:r>
    </w:p>
    <w:p w14:paraId="7DEE6356" w14:textId="77777777" w:rsidR="003719CD" w:rsidRPr="00CD06B1" w:rsidRDefault="003719CD" w:rsidP="00A074EE">
      <w:pPr>
        <w:rPr>
          <w:rStyle w:val="Guidance"/>
        </w:rPr>
      </w:pPr>
      <w:r w:rsidRPr="00420B22">
        <w:rPr>
          <w:rStyle w:val="Guidance"/>
        </w:rPr>
        <w:t>The financial stateme</w:t>
      </w:r>
      <w:r w:rsidRPr="005C1FDC">
        <w:rPr>
          <w:rStyle w:val="Guidance"/>
        </w:rPr>
        <w:t xml:space="preserve">nts shall disclose: </w:t>
      </w:r>
    </w:p>
    <w:p w14:paraId="3D65D7BF" w14:textId="39DDB9E3" w:rsidR="003719CD" w:rsidRPr="00140CFF" w:rsidRDefault="003719CD" w:rsidP="00310F12">
      <w:pPr>
        <w:pStyle w:val="ListBullet"/>
        <w:rPr>
          <w:rStyle w:val="Guidance"/>
          <w:b/>
          <w:sz w:val="20"/>
        </w:rPr>
      </w:pPr>
      <w:r w:rsidRPr="00140CFF">
        <w:rPr>
          <w:rStyle w:val="Guidance"/>
        </w:rPr>
        <w:t>the accounting policies adopted in measuring inventories, including the cost formula used</w:t>
      </w:r>
    </w:p>
    <w:p w14:paraId="07129DD2" w14:textId="0A310B24" w:rsidR="003719CD" w:rsidRPr="00140CFF" w:rsidRDefault="003719CD" w:rsidP="00310F12">
      <w:pPr>
        <w:pStyle w:val="ListBullet"/>
        <w:rPr>
          <w:rStyle w:val="Guidance"/>
        </w:rPr>
      </w:pPr>
      <w:r w:rsidRPr="00140CFF">
        <w:rPr>
          <w:rStyle w:val="Guidance"/>
        </w:rPr>
        <w:t>the total carrying amount of inventories and the carrying amount in classifications appropriate to the entity</w:t>
      </w:r>
    </w:p>
    <w:p w14:paraId="703D3630" w14:textId="1685171B" w:rsidR="003719CD" w:rsidRPr="00140CFF" w:rsidRDefault="003719CD" w:rsidP="00310F12">
      <w:pPr>
        <w:pStyle w:val="ListBullet"/>
        <w:rPr>
          <w:rStyle w:val="Guidance"/>
        </w:rPr>
      </w:pPr>
      <w:r w:rsidRPr="00140CFF">
        <w:rPr>
          <w:rStyle w:val="Guidance"/>
        </w:rPr>
        <w:t xml:space="preserve">the carrying amount of </w:t>
      </w:r>
      <w:r w:rsidRPr="00D814C4">
        <w:rPr>
          <w:rStyle w:val="Guidance"/>
        </w:rPr>
        <w:t>inventories</w:t>
      </w:r>
      <w:r w:rsidRPr="00140CFF">
        <w:rPr>
          <w:rStyle w:val="Guidance"/>
        </w:rPr>
        <w:t xml:space="preserve"> carried at fair value less costs to sell</w:t>
      </w:r>
    </w:p>
    <w:p w14:paraId="7754B26A" w14:textId="0AD4350A" w:rsidR="003719CD" w:rsidRPr="00140CFF" w:rsidRDefault="003719CD" w:rsidP="00310F12">
      <w:pPr>
        <w:pStyle w:val="ListBullet"/>
        <w:rPr>
          <w:rStyle w:val="Guidance"/>
        </w:rPr>
      </w:pPr>
      <w:r w:rsidRPr="00140CFF">
        <w:rPr>
          <w:rStyle w:val="Guidance"/>
        </w:rPr>
        <w:t>the amount of inventories recognised as an expense during the period</w:t>
      </w:r>
    </w:p>
    <w:p w14:paraId="074D8AC4" w14:textId="0A036607" w:rsidR="003719CD" w:rsidRPr="00140CFF" w:rsidRDefault="003719CD" w:rsidP="00310F12">
      <w:pPr>
        <w:pStyle w:val="ListBullet"/>
        <w:rPr>
          <w:rStyle w:val="Guidance"/>
        </w:rPr>
      </w:pPr>
      <w:r w:rsidRPr="00140CFF">
        <w:rPr>
          <w:rStyle w:val="Guidance"/>
        </w:rPr>
        <w:t>the amount of any write down of inventories recognised as an expense in the period</w:t>
      </w:r>
    </w:p>
    <w:p w14:paraId="44D1373A" w14:textId="3F6DC028" w:rsidR="003719CD" w:rsidRPr="00140CFF" w:rsidRDefault="003719CD" w:rsidP="00310F12">
      <w:pPr>
        <w:pStyle w:val="ListBullet"/>
        <w:rPr>
          <w:rStyle w:val="Guidance"/>
        </w:rPr>
      </w:pPr>
      <w:r w:rsidRPr="00140CFF">
        <w:rPr>
          <w:rStyle w:val="Guidance"/>
        </w:rPr>
        <w:t>the amount of any reversal of any write down that is recognised as a reduction in the amount of inventories recognised as expense in the period</w:t>
      </w:r>
    </w:p>
    <w:p w14:paraId="2940847D" w14:textId="70719F69" w:rsidR="003719CD" w:rsidRPr="00140CFF" w:rsidRDefault="003719CD" w:rsidP="00310F12">
      <w:pPr>
        <w:pStyle w:val="ListBullet"/>
        <w:rPr>
          <w:rStyle w:val="Guidance"/>
        </w:rPr>
      </w:pPr>
      <w:r w:rsidRPr="00140CFF">
        <w:rPr>
          <w:rStyle w:val="Guidance"/>
        </w:rPr>
        <w:t>the circumstances or events that led to the reversal of a write down of inventories</w:t>
      </w:r>
    </w:p>
    <w:p w14:paraId="2B276FC6" w14:textId="77777777" w:rsidR="003719CD" w:rsidRPr="00140CFF" w:rsidRDefault="003719CD" w:rsidP="00310F12">
      <w:pPr>
        <w:pStyle w:val="ListBullet"/>
        <w:rPr>
          <w:rStyle w:val="Guidance"/>
        </w:rPr>
      </w:pPr>
      <w:r w:rsidRPr="00140CFF">
        <w:rPr>
          <w:rStyle w:val="Guidance"/>
        </w:rPr>
        <w:t>the carrying amount of inventories pledged as security for liabilities.</w:t>
      </w:r>
    </w:p>
    <w:p w14:paraId="118513B1" w14:textId="78DDDCBA" w:rsidR="003B7EFD" w:rsidRPr="00842FA3" w:rsidRDefault="003B7EFD" w:rsidP="00A635AA">
      <w:pPr>
        <w:keepLines w:val="0"/>
        <w:rPr>
          <w:rStyle w:val="Guidance"/>
          <w:b/>
          <w:sz w:val="20"/>
        </w:rPr>
      </w:pPr>
      <w:r>
        <w:rPr>
          <w:rStyle w:val="Guidance"/>
        </w:rPr>
        <w:br w:type="page"/>
      </w:r>
    </w:p>
    <w:p w14:paraId="22F7D9E5" w14:textId="526BED8D" w:rsidR="003719CD" w:rsidRPr="00CD06B1" w:rsidRDefault="003719CD" w:rsidP="00A074EE">
      <w:pPr>
        <w:rPr>
          <w:rStyle w:val="Guidance"/>
          <w:sz w:val="20"/>
        </w:rPr>
      </w:pPr>
      <w:r w:rsidRPr="002C6B38">
        <w:rPr>
          <w:rStyle w:val="Guidance"/>
        </w:rPr>
        <w:lastRenderedPageBreak/>
        <w:t>Not-fo</w:t>
      </w:r>
      <w:r w:rsidRPr="005C1FDC">
        <w:rPr>
          <w:rStyle w:val="Guidance"/>
        </w:rPr>
        <w:t>r-profit entities shall disclose:</w:t>
      </w:r>
    </w:p>
    <w:p w14:paraId="196EED4D" w14:textId="51FD7A07" w:rsidR="003719CD" w:rsidRPr="00140CFF" w:rsidRDefault="003719CD" w:rsidP="00310F12">
      <w:pPr>
        <w:pStyle w:val="ListBullet"/>
        <w:rPr>
          <w:rStyle w:val="Guidance"/>
          <w:b/>
          <w:sz w:val="20"/>
        </w:rPr>
      </w:pPr>
      <w:r w:rsidRPr="00140CFF">
        <w:rPr>
          <w:rStyle w:val="Guidance"/>
        </w:rPr>
        <w:t>the accounting policies adopted in measuring inventories held for distribution, including the cost formula used</w:t>
      </w:r>
    </w:p>
    <w:p w14:paraId="4F9264E9" w14:textId="043F3431" w:rsidR="003719CD" w:rsidRPr="00140CFF" w:rsidRDefault="003719CD" w:rsidP="00310F12">
      <w:pPr>
        <w:pStyle w:val="ListBullet"/>
        <w:rPr>
          <w:rStyle w:val="Guidance"/>
        </w:rPr>
      </w:pPr>
      <w:r w:rsidRPr="00140CFF">
        <w:rPr>
          <w:rStyle w:val="Guidance"/>
        </w:rPr>
        <w:t>the total carrying amount of inventories held for distribution and the carrying amount in classifications appropriate to the entity</w:t>
      </w:r>
    </w:p>
    <w:p w14:paraId="3E36127D" w14:textId="07C1E085" w:rsidR="003719CD" w:rsidRPr="00140CFF" w:rsidRDefault="003719CD" w:rsidP="00310F12">
      <w:pPr>
        <w:pStyle w:val="ListBullet"/>
        <w:rPr>
          <w:rStyle w:val="Guidance"/>
        </w:rPr>
      </w:pPr>
      <w:r w:rsidRPr="00140CFF">
        <w:rPr>
          <w:rStyle w:val="Guidance"/>
        </w:rPr>
        <w:t>the amount of inventories held for distribution recognised as an expense during the period</w:t>
      </w:r>
    </w:p>
    <w:p w14:paraId="3B702911" w14:textId="33CF01F1" w:rsidR="003719CD" w:rsidRPr="00140CFF" w:rsidRDefault="003719CD" w:rsidP="00310F12">
      <w:pPr>
        <w:pStyle w:val="ListBullet"/>
        <w:rPr>
          <w:rStyle w:val="Guidance"/>
        </w:rPr>
      </w:pPr>
      <w:r w:rsidRPr="00140CFF">
        <w:rPr>
          <w:rStyle w:val="Guidance"/>
        </w:rPr>
        <w:t>the amount of any write down of inventories held for distribution recognised as an expense during the period</w:t>
      </w:r>
    </w:p>
    <w:p w14:paraId="58E43AFB" w14:textId="278A5A29" w:rsidR="003719CD" w:rsidRPr="00140CFF" w:rsidRDefault="003719CD" w:rsidP="00310F12">
      <w:pPr>
        <w:pStyle w:val="ListBullet"/>
        <w:rPr>
          <w:rStyle w:val="Guidance"/>
        </w:rPr>
      </w:pPr>
      <w:r w:rsidRPr="00140CFF">
        <w:rPr>
          <w:rStyle w:val="Guidance"/>
        </w:rPr>
        <w:t>the amount of any reversal of any write down that is recognised as a reduction in the amount of inventories held for distribution recognised as an expense in the period</w:t>
      </w:r>
    </w:p>
    <w:p w14:paraId="46B785CD" w14:textId="01B1A80C" w:rsidR="003719CD" w:rsidRPr="00140CFF" w:rsidRDefault="003719CD" w:rsidP="00310F12">
      <w:pPr>
        <w:pStyle w:val="ListBullet"/>
        <w:rPr>
          <w:rStyle w:val="Guidance"/>
        </w:rPr>
      </w:pPr>
      <w:r w:rsidRPr="00140CFF">
        <w:rPr>
          <w:rStyle w:val="Guidance"/>
        </w:rPr>
        <w:t>the circumstances or event that led to the reversal of a write down of inventories held for distribution</w:t>
      </w:r>
    </w:p>
    <w:p w14:paraId="0994E26B" w14:textId="17887CF9" w:rsidR="003719CD" w:rsidRPr="00140CFF" w:rsidRDefault="003719CD" w:rsidP="00310F12">
      <w:pPr>
        <w:pStyle w:val="ListBullet"/>
        <w:rPr>
          <w:rStyle w:val="Guidance"/>
        </w:rPr>
      </w:pPr>
      <w:r w:rsidRPr="00140CFF">
        <w:rPr>
          <w:rStyle w:val="Guidance"/>
        </w:rPr>
        <w:t>the carrying amount of inventories held for distribution pledged as security for liabilities</w:t>
      </w:r>
    </w:p>
    <w:p w14:paraId="2FBEC74A" w14:textId="77777777" w:rsidR="003719CD" w:rsidRPr="00140CFF" w:rsidRDefault="003719CD" w:rsidP="00310F12">
      <w:pPr>
        <w:pStyle w:val="ListBullet"/>
        <w:rPr>
          <w:rStyle w:val="Guidance"/>
        </w:rPr>
      </w:pPr>
      <w:r w:rsidRPr="00140CFF">
        <w:rPr>
          <w:rStyle w:val="Guidance"/>
        </w:rPr>
        <w:t>the basis on which any loss of service potential of inventories held for distribution is assessed, or the bases when more than one basis is used.</w:t>
      </w:r>
    </w:p>
    <w:p w14:paraId="44F02000" w14:textId="77777777" w:rsidR="003719CD" w:rsidRDefault="003719CD" w:rsidP="007D536F">
      <w:pPr>
        <w:pStyle w:val="GuidanceEnd"/>
      </w:pPr>
    </w:p>
    <w:p w14:paraId="4B0869BB" w14:textId="77777777" w:rsidR="003719CD" w:rsidRDefault="003719CD" w:rsidP="00A80494">
      <w:pPr>
        <w:pStyle w:val="Heading2numbered"/>
      </w:pPr>
      <w:bookmarkStart w:id="87" w:name="_Toc96704922"/>
      <w:bookmarkStart w:id="88" w:name="_Toc130225976"/>
      <w:bookmarkStart w:id="89" w:name="_Toc64983451"/>
      <w:r>
        <w:t xml:space="preserve">Other non-financial assets </w:t>
      </w:r>
      <w:r w:rsidRPr="00443734">
        <w:rPr>
          <w:rStyle w:val="Reference"/>
        </w:rPr>
        <w:t>[AASB 101.61]</w:t>
      </w:r>
      <w:bookmarkEnd w:id="87"/>
      <w:bookmarkEnd w:id="88"/>
      <w:bookmarkEnd w:id="89"/>
    </w:p>
    <w:p w14:paraId="1CCCFA9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73D89" w14:paraId="4BE620AF" w14:textId="77777777" w:rsidTr="00373D89">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4DC0FB63" w14:textId="77777777" w:rsidR="00373D89" w:rsidRDefault="00373D89" w:rsidP="00373D89">
            <w:pPr>
              <w:keepNext/>
              <w:jc w:val="left"/>
            </w:pPr>
            <w:r>
              <w:rPr>
                <w:color w:val="4472C4"/>
                <w:sz w:val="13"/>
              </w:rPr>
              <w:t>Source reference</w:t>
            </w:r>
          </w:p>
        </w:tc>
        <w:tc>
          <w:tcPr>
            <w:tcW w:w="6558" w:type="dxa"/>
          </w:tcPr>
          <w:p w14:paraId="7F78EEC3" w14:textId="77777777" w:rsidR="00373D89" w:rsidRDefault="00373D89" w:rsidP="00373D89">
            <w:pPr>
              <w:keepNext/>
              <w:jc w:val="left"/>
            </w:pPr>
          </w:p>
        </w:tc>
        <w:tc>
          <w:tcPr>
            <w:tcW w:w="866" w:type="dxa"/>
          </w:tcPr>
          <w:p w14:paraId="5D6C9AF6" w14:textId="3BF1434E" w:rsidR="00373D89" w:rsidRPr="00373D89" w:rsidRDefault="00373D89" w:rsidP="00373D89">
            <w:pPr>
              <w:keepNext/>
              <w:rPr>
                <w:iCs/>
              </w:rPr>
            </w:pPr>
            <w:r w:rsidRPr="00373D89">
              <w:rPr>
                <w:iCs/>
              </w:rPr>
              <w:fldChar w:fldCharType="begin"/>
            </w:r>
            <w:r w:rsidRPr="00373D89">
              <w:rPr>
                <w:bCs w:val="0"/>
                <w:iCs/>
              </w:rPr>
              <w:instrText>DOCPROPERTY  YearCurrent \* MERGEFORMAT</w:instrText>
            </w:r>
            <w:r w:rsidRPr="00373D89">
              <w:rPr>
                <w:iCs/>
              </w:rPr>
              <w:fldChar w:fldCharType="separate"/>
            </w:r>
            <w:r w:rsidRPr="00373D89">
              <w:rPr>
                <w:bCs w:val="0"/>
                <w:iCs/>
              </w:rPr>
              <w:t>20X2</w:t>
            </w:r>
            <w:r w:rsidRPr="00373D89">
              <w:rPr>
                <w:iCs/>
              </w:rPr>
              <w:fldChar w:fldCharType="end"/>
            </w:r>
          </w:p>
        </w:tc>
        <w:tc>
          <w:tcPr>
            <w:tcW w:w="866" w:type="dxa"/>
          </w:tcPr>
          <w:p w14:paraId="2A81AD67" w14:textId="44BA1D5F" w:rsidR="00373D89" w:rsidRPr="00373D89" w:rsidRDefault="00373D89" w:rsidP="00373D89">
            <w:pPr>
              <w:keepNext/>
              <w:rPr>
                <w:iCs/>
              </w:rPr>
            </w:pPr>
            <w:r w:rsidRPr="00373D89">
              <w:rPr>
                <w:iCs/>
              </w:rPr>
              <w:fldChar w:fldCharType="begin"/>
            </w:r>
            <w:r w:rsidRPr="00373D89">
              <w:rPr>
                <w:bCs w:val="0"/>
                <w:iCs/>
              </w:rPr>
              <w:instrText>DOCPROPERTY  YearPrevious  \* MERGEFORMAT</w:instrText>
            </w:r>
            <w:r w:rsidRPr="00373D89">
              <w:rPr>
                <w:iCs/>
              </w:rPr>
              <w:fldChar w:fldCharType="separate"/>
            </w:r>
            <w:r w:rsidRPr="00373D89">
              <w:rPr>
                <w:bCs w:val="0"/>
                <w:iCs/>
              </w:rPr>
              <w:t>20X1</w:t>
            </w:r>
            <w:r w:rsidRPr="00373D89">
              <w:rPr>
                <w:iCs/>
              </w:rPr>
              <w:fldChar w:fldCharType="end"/>
            </w:r>
          </w:p>
        </w:tc>
      </w:tr>
      <w:tr w:rsidR="00182709" w14:paraId="3D0AA712" w14:textId="77777777" w:rsidTr="00373D89">
        <w:tc>
          <w:tcPr>
            <w:tcW w:w="1349" w:type="dxa"/>
          </w:tcPr>
          <w:p w14:paraId="5680B25D" w14:textId="77777777" w:rsidR="00182709" w:rsidRDefault="00182709">
            <w:pPr>
              <w:jc w:val="left"/>
            </w:pPr>
          </w:p>
        </w:tc>
        <w:tc>
          <w:tcPr>
            <w:tcW w:w="6558" w:type="dxa"/>
          </w:tcPr>
          <w:p w14:paraId="22477CFE" w14:textId="77777777" w:rsidR="00182709" w:rsidRDefault="0044097C">
            <w:pPr>
              <w:jc w:val="left"/>
            </w:pPr>
            <w:r>
              <w:rPr>
                <w:b/>
              </w:rPr>
              <w:t>Current other assets</w:t>
            </w:r>
          </w:p>
        </w:tc>
        <w:tc>
          <w:tcPr>
            <w:tcW w:w="866" w:type="dxa"/>
          </w:tcPr>
          <w:p w14:paraId="2B92E2A2" w14:textId="77777777" w:rsidR="00182709" w:rsidRDefault="00182709"/>
        </w:tc>
        <w:tc>
          <w:tcPr>
            <w:tcW w:w="866" w:type="dxa"/>
          </w:tcPr>
          <w:p w14:paraId="3D0D29D5" w14:textId="77777777" w:rsidR="00182709" w:rsidRDefault="00182709"/>
        </w:tc>
      </w:tr>
      <w:tr w:rsidR="00182709" w14:paraId="3E85B0C7" w14:textId="77777777" w:rsidTr="00373D89">
        <w:tc>
          <w:tcPr>
            <w:tcW w:w="1349" w:type="dxa"/>
          </w:tcPr>
          <w:p w14:paraId="5CB83D72" w14:textId="77777777" w:rsidR="00182709" w:rsidRDefault="00182709">
            <w:pPr>
              <w:jc w:val="left"/>
            </w:pPr>
          </w:p>
        </w:tc>
        <w:tc>
          <w:tcPr>
            <w:tcW w:w="6558" w:type="dxa"/>
            <w:tcBorders>
              <w:bottom w:val="single" w:sz="12" w:space="0" w:color="auto"/>
            </w:tcBorders>
          </w:tcPr>
          <w:p w14:paraId="231A2B70" w14:textId="77777777" w:rsidR="00182709" w:rsidRDefault="0044097C">
            <w:pPr>
              <w:jc w:val="left"/>
            </w:pPr>
            <w:r>
              <w:t>Prepayments</w:t>
            </w:r>
          </w:p>
        </w:tc>
        <w:tc>
          <w:tcPr>
            <w:tcW w:w="866" w:type="dxa"/>
            <w:tcBorders>
              <w:bottom w:val="single" w:sz="12" w:space="0" w:color="auto"/>
            </w:tcBorders>
          </w:tcPr>
          <w:p w14:paraId="3E01262E" w14:textId="77777777" w:rsidR="00182709" w:rsidRDefault="0044097C">
            <w:r>
              <w:t>1 483</w:t>
            </w:r>
          </w:p>
        </w:tc>
        <w:tc>
          <w:tcPr>
            <w:tcW w:w="866" w:type="dxa"/>
            <w:tcBorders>
              <w:bottom w:val="single" w:sz="12" w:space="0" w:color="auto"/>
            </w:tcBorders>
          </w:tcPr>
          <w:p w14:paraId="4D2278EB" w14:textId="77777777" w:rsidR="00182709" w:rsidRDefault="0044097C">
            <w:r>
              <w:t>380</w:t>
            </w:r>
          </w:p>
        </w:tc>
      </w:tr>
      <w:tr w:rsidR="00671D55" w14:paraId="1410C878" w14:textId="77777777" w:rsidTr="00373D89">
        <w:tc>
          <w:tcPr>
            <w:tcW w:w="1349" w:type="dxa"/>
          </w:tcPr>
          <w:p w14:paraId="29DBA13B" w14:textId="77777777" w:rsidR="00182709" w:rsidRDefault="0044097C">
            <w:pPr>
              <w:jc w:val="left"/>
            </w:pPr>
            <w:r>
              <w:rPr>
                <w:color w:val="4472C4"/>
                <w:sz w:val="13"/>
              </w:rPr>
              <w:t>AASB 101.61</w:t>
            </w:r>
          </w:p>
        </w:tc>
        <w:tc>
          <w:tcPr>
            <w:tcW w:w="6558" w:type="dxa"/>
          </w:tcPr>
          <w:p w14:paraId="69C50D3A" w14:textId="77777777" w:rsidR="00182709" w:rsidRDefault="0044097C">
            <w:pPr>
              <w:jc w:val="left"/>
            </w:pPr>
            <w:r>
              <w:rPr>
                <w:b/>
              </w:rPr>
              <w:t>Total current other assets</w:t>
            </w:r>
          </w:p>
        </w:tc>
        <w:tc>
          <w:tcPr>
            <w:tcW w:w="866" w:type="dxa"/>
          </w:tcPr>
          <w:p w14:paraId="47995E22" w14:textId="77777777" w:rsidR="00182709" w:rsidRDefault="0044097C">
            <w:r>
              <w:rPr>
                <w:b/>
              </w:rPr>
              <w:t>1 483</w:t>
            </w:r>
          </w:p>
        </w:tc>
        <w:tc>
          <w:tcPr>
            <w:tcW w:w="866" w:type="dxa"/>
          </w:tcPr>
          <w:p w14:paraId="61BD260D" w14:textId="77777777" w:rsidR="00182709" w:rsidRDefault="0044097C">
            <w:r>
              <w:rPr>
                <w:b/>
              </w:rPr>
              <w:t>380</w:t>
            </w:r>
          </w:p>
        </w:tc>
      </w:tr>
      <w:tr w:rsidR="00671D55" w14:paraId="637C573F" w14:textId="77777777" w:rsidTr="00373D89">
        <w:tc>
          <w:tcPr>
            <w:tcW w:w="1349" w:type="dxa"/>
          </w:tcPr>
          <w:p w14:paraId="609A3E1E" w14:textId="77777777" w:rsidR="00182709" w:rsidRDefault="00182709">
            <w:pPr>
              <w:jc w:val="left"/>
            </w:pPr>
          </w:p>
        </w:tc>
        <w:tc>
          <w:tcPr>
            <w:tcW w:w="6558" w:type="dxa"/>
          </w:tcPr>
          <w:p w14:paraId="184DF212" w14:textId="77777777" w:rsidR="00182709" w:rsidRDefault="0044097C">
            <w:pPr>
              <w:jc w:val="left"/>
            </w:pPr>
            <w:r>
              <w:t>Non</w:t>
            </w:r>
            <w:r>
              <w:noBreakHyphen/>
              <w:t>current other assets</w:t>
            </w:r>
          </w:p>
        </w:tc>
        <w:tc>
          <w:tcPr>
            <w:tcW w:w="866" w:type="dxa"/>
          </w:tcPr>
          <w:p w14:paraId="014C68F8" w14:textId="77777777" w:rsidR="00182709" w:rsidRDefault="00182709"/>
        </w:tc>
        <w:tc>
          <w:tcPr>
            <w:tcW w:w="866" w:type="dxa"/>
          </w:tcPr>
          <w:p w14:paraId="6B63B00F" w14:textId="77777777" w:rsidR="00182709" w:rsidRDefault="00182709"/>
        </w:tc>
      </w:tr>
      <w:tr w:rsidR="00182709" w14:paraId="480977F4" w14:textId="77777777" w:rsidTr="00373D89">
        <w:tc>
          <w:tcPr>
            <w:tcW w:w="1349" w:type="dxa"/>
          </w:tcPr>
          <w:p w14:paraId="68BE4ABC" w14:textId="77777777" w:rsidR="00182709" w:rsidRDefault="0044097C">
            <w:pPr>
              <w:jc w:val="left"/>
            </w:pPr>
            <w:r>
              <w:rPr>
                <w:color w:val="4472C4"/>
                <w:sz w:val="13"/>
              </w:rPr>
              <w:t>AASB 101.61</w:t>
            </w:r>
          </w:p>
        </w:tc>
        <w:tc>
          <w:tcPr>
            <w:tcW w:w="6558" w:type="dxa"/>
            <w:tcBorders>
              <w:bottom w:val="single" w:sz="12" w:space="0" w:color="auto"/>
            </w:tcBorders>
          </w:tcPr>
          <w:p w14:paraId="67460FEC" w14:textId="77777777" w:rsidR="00182709" w:rsidRDefault="0044097C">
            <w:pPr>
              <w:jc w:val="left"/>
            </w:pPr>
            <w:r>
              <w:t>Other</w:t>
            </w:r>
          </w:p>
        </w:tc>
        <w:tc>
          <w:tcPr>
            <w:tcW w:w="866" w:type="dxa"/>
            <w:tcBorders>
              <w:bottom w:val="single" w:sz="12" w:space="0" w:color="auto"/>
            </w:tcBorders>
          </w:tcPr>
          <w:p w14:paraId="05DDB3B8" w14:textId="77777777" w:rsidR="00182709" w:rsidRDefault="0044097C">
            <w:r>
              <w:t>..</w:t>
            </w:r>
          </w:p>
        </w:tc>
        <w:tc>
          <w:tcPr>
            <w:tcW w:w="866" w:type="dxa"/>
            <w:tcBorders>
              <w:bottom w:val="single" w:sz="12" w:space="0" w:color="auto"/>
            </w:tcBorders>
          </w:tcPr>
          <w:p w14:paraId="25444B4C" w14:textId="77777777" w:rsidR="00182709" w:rsidRDefault="0044097C">
            <w:r>
              <w:t>..</w:t>
            </w:r>
          </w:p>
        </w:tc>
      </w:tr>
      <w:tr w:rsidR="00671D55" w14:paraId="17AACD9C" w14:textId="77777777" w:rsidTr="00373D89">
        <w:tc>
          <w:tcPr>
            <w:tcW w:w="1349" w:type="dxa"/>
          </w:tcPr>
          <w:p w14:paraId="2E4BA136" w14:textId="77777777" w:rsidR="00182709" w:rsidRDefault="00182709">
            <w:pPr>
              <w:jc w:val="left"/>
            </w:pPr>
          </w:p>
        </w:tc>
        <w:tc>
          <w:tcPr>
            <w:tcW w:w="6558" w:type="dxa"/>
          </w:tcPr>
          <w:p w14:paraId="267458BB" w14:textId="77777777" w:rsidR="00182709" w:rsidRDefault="0044097C">
            <w:pPr>
              <w:jc w:val="left"/>
            </w:pPr>
            <w:r>
              <w:rPr>
                <w:b/>
              </w:rPr>
              <w:t>Total non‑current other assets</w:t>
            </w:r>
          </w:p>
        </w:tc>
        <w:tc>
          <w:tcPr>
            <w:tcW w:w="866" w:type="dxa"/>
          </w:tcPr>
          <w:p w14:paraId="587CB5AE" w14:textId="77777777" w:rsidR="00182709" w:rsidRDefault="0044097C">
            <w:r>
              <w:rPr>
                <w:b/>
              </w:rPr>
              <w:t>..</w:t>
            </w:r>
          </w:p>
        </w:tc>
        <w:tc>
          <w:tcPr>
            <w:tcW w:w="866" w:type="dxa"/>
          </w:tcPr>
          <w:p w14:paraId="4352B372" w14:textId="77777777" w:rsidR="00182709" w:rsidRDefault="0044097C">
            <w:r>
              <w:rPr>
                <w:b/>
              </w:rPr>
              <w:t>..</w:t>
            </w:r>
          </w:p>
        </w:tc>
      </w:tr>
      <w:tr w:rsidR="00671D55" w14:paraId="75238AC2" w14:textId="77777777" w:rsidTr="00373D89">
        <w:tc>
          <w:tcPr>
            <w:tcW w:w="1349" w:type="dxa"/>
            <w:tcBorders>
              <w:bottom w:val="nil"/>
            </w:tcBorders>
          </w:tcPr>
          <w:p w14:paraId="5CBF9635" w14:textId="77777777" w:rsidR="00182709" w:rsidRDefault="00182709">
            <w:pPr>
              <w:jc w:val="left"/>
            </w:pPr>
          </w:p>
        </w:tc>
        <w:tc>
          <w:tcPr>
            <w:tcW w:w="6558" w:type="dxa"/>
          </w:tcPr>
          <w:p w14:paraId="3CF25874" w14:textId="77777777" w:rsidR="00182709" w:rsidRDefault="0044097C">
            <w:pPr>
              <w:jc w:val="left"/>
            </w:pPr>
            <w:r>
              <w:rPr>
                <w:b/>
              </w:rPr>
              <w:t>Total other assets</w:t>
            </w:r>
          </w:p>
        </w:tc>
        <w:tc>
          <w:tcPr>
            <w:tcW w:w="866" w:type="dxa"/>
          </w:tcPr>
          <w:p w14:paraId="383834E1" w14:textId="77777777" w:rsidR="00182709" w:rsidRDefault="0044097C">
            <w:r>
              <w:rPr>
                <w:b/>
              </w:rPr>
              <w:t>1 483</w:t>
            </w:r>
          </w:p>
        </w:tc>
        <w:tc>
          <w:tcPr>
            <w:tcW w:w="866" w:type="dxa"/>
          </w:tcPr>
          <w:p w14:paraId="5F51744D" w14:textId="77777777" w:rsidR="00182709" w:rsidRDefault="0044097C">
            <w:r>
              <w:rPr>
                <w:b/>
              </w:rPr>
              <w:t>380</w:t>
            </w:r>
          </w:p>
        </w:tc>
      </w:tr>
    </w:tbl>
    <w:p w14:paraId="1E005D65" w14:textId="16780B76" w:rsidR="003719CD" w:rsidRDefault="003719CD" w:rsidP="00DC39DE">
      <w:r>
        <w:t>Other non-financial assets include pre</w:t>
      </w:r>
      <w:r w:rsidR="002F6CCD">
        <w:t>-</w:t>
      </w:r>
      <w:r>
        <w:t>payments, which represent payments in advance of receipt of goods or services or the payments made for services covering a term extending beyond that financial accounting period.</w:t>
      </w:r>
    </w:p>
    <w:p w14:paraId="0F0BBBB8" w14:textId="77777777" w:rsidR="003719CD" w:rsidRDefault="003719CD">
      <w:pPr>
        <w:keepLines w:val="0"/>
      </w:pPr>
      <w:r>
        <w:br w:type="page"/>
      </w:r>
    </w:p>
    <w:p w14:paraId="7157DCFA" w14:textId="4EFAC3ED" w:rsidR="003719CD" w:rsidRDefault="003719CD" w:rsidP="00A80494">
      <w:pPr>
        <w:pStyle w:val="Heading2numbered"/>
      </w:pPr>
      <w:bookmarkStart w:id="90" w:name="_Toc96704923"/>
      <w:bookmarkStart w:id="91" w:name="_Toc130225977"/>
      <w:bookmarkStart w:id="92" w:name="_Toc64983452"/>
      <w:r>
        <w:lastRenderedPageBreak/>
        <w:t xml:space="preserve">Other provisions </w:t>
      </w:r>
      <w:r w:rsidRPr="00715EB3">
        <w:rPr>
          <w:rStyle w:val="Reference"/>
        </w:rPr>
        <w:t>[AASB 137.14, 137.36, 137.45, 137.47, 137.60]</w:t>
      </w:r>
      <w:bookmarkEnd w:id="90"/>
      <w:bookmarkEnd w:id="91"/>
      <w:bookmarkEnd w:id="92"/>
    </w:p>
    <w:p w14:paraId="52C54CB1"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DA73F1" w14:paraId="03D8C0D1" w14:textId="77777777" w:rsidTr="00DA73F1">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1B5719F0" w14:textId="77777777" w:rsidR="00DA73F1" w:rsidRDefault="00DA73F1" w:rsidP="00DA73F1">
            <w:pPr>
              <w:keepNext/>
              <w:jc w:val="left"/>
            </w:pPr>
            <w:r>
              <w:rPr>
                <w:color w:val="4472C4"/>
                <w:sz w:val="13"/>
              </w:rPr>
              <w:t>Source reference</w:t>
            </w:r>
          </w:p>
        </w:tc>
        <w:tc>
          <w:tcPr>
            <w:tcW w:w="6558" w:type="dxa"/>
          </w:tcPr>
          <w:p w14:paraId="778AD40A" w14:textId="77777777" w:rsidR="00DA73F1" w:rsidRDefault="00DA73F1" w:rsidP="00DA73F1">
            <w:pPr>
              <w:keepNext/>
              <w:jc w:val="left"/>
            </w:pPr>
          </w:p>
        </w:tc>
        <w:tc>
          <w:tcPr>
            <w:tcW w:w="866" w:type="dxa"/>
          </w:tcPr>
          <w:p w14:paraId="23F58B41" w14:textId="106F30C1" w:rsidR="00DA73F1" w:rsidRPr="00DA73F1" w:rsidRDefault="00DA73F1" w:rsidP="00DA73F1">
            <w:pPr>
              <w:keepNext/>
              <w:rPr>
                <w:iCs/>
              </w:rPr>
            </w:pPr>
            <w:r w:rsidRPr="00DA73F1">
              <w:rPr>
                <w:iCs/>
              </w:rPr>
              <w:fldChar w:fldCharType="begin"/>
            </w:r>
            <w:r w:rsidRPr="00DA73F1">
              <w:rPr>
                <w:bCs w:val="0"/>
                <w:iCs/>
              </w:rPr>
              <w:instrText>DOCPROPERTY  YearCurrent \* MERGEFORMAT</w:instrText>
            </w:r>
            <w:r w:rsidRPr="00DA73F1">
              <w:rPr>
                <w:iCs/>
              </w:rPr>
              <w:fldChar w:fldCharType="separate"/>
            </w:r>
            <w:r w:rsidRPr="00DA73F1">
              <w:rPr>
                <w:bCs w:val="0"/>
                <w:iCs/>
              </w:rPr>
              <w:t>20X2</w:t>
            </w:r>
            <w:r w:rsidRPr="00DA73F1">
              <w:rPr>
                <w:iCs/>
              </w:rPr>
              <w:fldChar w:fldCharType="end"/>
            </w:r>
          </w:p>
        </w:tc>
        <w:tc>
          <w:tcPr>
            <w:tcW w:w="866" w:type="dxa"/>
          </w:tcPr>
          <w:p w14:paraId="1DEC0DC3" w14:textId="73A1B0A6" w:rsidR="00DA73F1" w:rsidRPr="00DA73F1" w:rsidRDefault="00DA73F1" w:rsidP="00DA73F1">
            <w:pPr>
              <w:keepNext/>
              <w:rPr>
                <w:iCs/>
              </w:rPr>
            </w:pPr>
            <w:r w:rsidRPr="00DA73F1">
              <w:rPr>
                <w:iCs/>
              </w:rPr>
              <w:fldChar w:fldCharType="begin"/>
            </w:r>
            <w:r w:rsidRPr="00DA73F1">
              <w:rPr>
                <w:bCs w:val="0"/>
                <w:iCs/>
              </w:rPr>
              <w:instrText>DOCPROPERTY  YearPrevious  \* MERGEFORMAT</w:instrText>
            </w:r>
            <w:r w:rsidRPr="00DA73F1">
              <w:rPr>
                <w:iCs/>
              </w:rPr>
              <w:fldChar w:fldCharType="separate"/>
            </w:r>
            <w:r w:rsidRPr="00DA73F1">
              <w:rPr>
                <w:bCs w:val="0"/>
                <w:iCs/>
              </w:rPr>
              <w:t>20X1</w:t>
            </w:r>
            <w:r w:rsidRPr="00DA73F1">
              <w:rPr>
                <w:iCs/>
              </w:rPr>
              <w:fldChar w:fldCharType="end"/>
            </w:r>
          </w:p>
        </w:tc>
      </w:tr>
      <w:tr w:rsidR="00182709" w14:paraId="3EFC67CF" w14:textId="77777777" w:rsidTr="00DA73F1">
        <w:tc>
          <w:tcPr>
            <w:tcW w:w="1349" w:type="dxa"/>
          </w:tcPr>
          <w:p w14:paraId="2D69D6A3" w14:textId="77777777" w:rsidR="00182709" w:rsidRDefault="00182709">
            <w:pPr>
              <w:jc w:val="left"/>
            </w:pPr>
          </w:p>
        </w:tc>
        <w:tc>
          <w:tcPr>
            <w:tcW w:w="6558" w:type="dxa"/>
          </w:tcPr>
          <w:p w14:paraId="505BF458" w14:textId="77777777" w:rsidR="00182709" w:rsidRDefault="0044097C">
            <w:pPr>
              <w:jc w:val="left"/>
            </w:pPr>
            <w:r>
              <w:rPr>
                <w:b/>
              </w:rPr>
              <w:t>Current provisions</w:t>
            </w:r>
          </w:p>
        </w:tc>
        <w:tc>
          <w:tcPr>
            <w:tcW w:w="866" w:type="dxa"/>
          </w:tcPr>
          <w:p w14:paraId="72B9B898" w14:textId="77777777" w:rsidR="00182709" w:rsidRDefault="00182709"/>
        </w:tc>
        <w:tc>
          <w:tcPr>
            <w:tcW w:w="866" w:type="dxa"/>
          </w:tcPr>
          <w:p w14:paraId="59EB9D3F" w14:textId="77777777" w:rsidR="00182709" w:rsidRDefault="00182709"/>
        </w:tc>
      </w:tr>
      <w:tr w:rsidR="00182709" w14:paraId="56328504" w14:textId="77777777" w:rsidTr="00DA73F1">
        <w:tc>
          <w:tcPr>
            <w:tcW w:w="1349" w:type="dxa"/>
          </w:tcPr>
          <w:p w14:paraId="74273594" w14:textId="77777777" w:rsidR="00182709" w:rsidRDefault="00182709">
            <w:pPr>
              <w:jc w:val="left"/>
            </w:pPr>
          </w:p>
        </w:tc>
        <w:tc>
          <w:tcPr>
            <w:tcW w:w="6558" w:type="dxa"/>
            <w:tcBorders>
              <w:bottom w:val="single" w:sz="12" w:space="0" w:color="auto"/>
            </w:tcBorders>
          </w:tcPr>
          <w:p w14:paraId="1F3F769D" w14:textId="011844F0" w:rsidR="00182709" w:rsidRDefault="0044097C">
            <w:pPr>
              <w:jc w:val="left"/>
            </w:pPr>
            <w:r>
              <w:t>Onerous contracts</w:t>
            </w:r>
          </w:p>
        </w:tc>
        <w:tc>
          <w:tcPr>
            <w:tcW w:w="866" w:type="dxa"/>
            <w:tcBorders>
              <w:bottom w:val="single" w:sz="12" w:space="0" w:color="auto"/>
            </w:tcBorders>
          </w:tcPr>
          <w:p w14:paraId="60B624A6" w14:textId="77777777" w:rsidR="00182709" w:rsidRDefault="0044097C">
            <w:r>
              <w:t>993</w:t>
            </w:r>
          </w:p>
        </w:tc>
        <w:tc>
          <w:tcPr>
            <w:tcW w:w="866" w:type="dxa"/>
            <w:tcBorders>
              <w:bottom w:val="single" w:sz="12" w:space="0" w:color="auto"/>
            </w:tcBorders>
          </w:tcPr>
          <w:p w14:paraId="46A8D650" w14:textId="77777777" w:rsidR="00182709" w:rsidRDefault="0044097C">
            <w:r>
              <w:t>2 290</w:t>
            </w:r>
          </w:p>
        </w:tc>
      </w:tr>
      <w:tr w:rsidR="00671D55" w14:paraId="5FB49945" w14:textId="77777777" w:rsidTr="00DA73F1">
        <w:tc>
          <w:tcPr>
            <w:tcW w:w="1349" w:type="dxa"/>
          </w:tcPr>
          <w:p w14:paraId="6B25CF01" w14:textId="77777777" w:rsidR="00182709" w:rsidRDefault="0044097C">
            <w:pPr>
              <w:jc w:val="left"/>
            </w:pPr>
            <w:r>
              <w:rPr>
                <w:color w:val="4472C4"/>
                <w:sz w:val="13"/>
              </w:rPr>
              <w:t>AASB 101.61</w:t>
            </w:r>
          </w:p>
        </w:tc>
        <w:tc>
          <w:tcPr>
            <w:tcW w:w="6558" w:type="dxa"/>
          </w:tcPr>
          <w:p w14:paraId="2483506D" w14:textId="77777777" w:rsidR="00182709" w:rsidRDefault="0044097C">
            <w:pPr>
              <w:jc w:val="left"/>
            </w:pPr>
            <w:r>
              <w:rPr>
                <w:b/>
              </w:rPr>
              <w:t>Total current provisions</w:t>
            </w:r>
          </w:p>
        </w:tc>
        <w:tc>
          <w:tcPr>
            <w:tcW w:w="866" w:type="dxa"/>
          </w:tcPr>
          <w:p w14:paraId="5CB13133" w14:textId="77777777" w:rsidR="00182709" w:rsidRDefault="0044097C">
            <w:r>
              <w:rPr>
                <w:b/>
              </w:rPr>
              <w:t>993</w:t>
            </w:r>
          </w:p>
        </w:tc>
        <w:tc>
          <w:tcPr>
            <w:tcW w:w="866" w:type="dxa"/>
          </w:tcPr>
          <w:p w14:paraId="14B955EF" w14:textId="77777777" w:rsidR="00182709" w:rsidRDefault="0044097C">
            <w:r>
              <w:rPr>
                <w:b/>
              </w:rPr>
              <w:t>2 290</w:t>
            </w:r>
          </w:p>
        </w:tc>
      </w:tr>
      <w:tr w:rsidR="00671D55" w14:paraId="06EA0B06" w14:textId="77777777" w:rsidTr="00DA73F1">
        <w:tc>
          <w:tcPr>
            <w:tcW w:w="1349" w:type="dxa"/>
          </w:tcPr>
          <w:p w14:paraId="35DF7243" w14:textId="77777777" w:rsidR="00182709" w:rsidRDefault="00182709">
            <w:pPr>
              <w:jc w:val="left"/>
            </w:pPr>
          </w:p>
        </w:tc>
        <w:tc>
          <w:tcPr>
            <w:tcW w:w="6558" w:type="dxa"/>
          </w:tcPr>
          <w:p w14:paraId="582F5106" w14:textId="77777777" w:rsidR="00182709" w:rsidRDefault="0044097C">
            <w:pPr>
              <w:jc w:val="left"/>
            </w:pPr>
            <w:r>
              <w:rPr>
                <w:b/>
              </w:rPr>
              <w:t>Non</w:t>
            </w:r>
            <w:r>
              <w:rPr>
                <w:b/>
              </w:rPr>
              <w:noBreakHyphen/>
              <w:t>current provisions</w:t>
            </w:r>
          </w:p>
        </w:tc>
        <w:tc>
          <w:tcPr>
            <w:tcW w:w="866" w:type="dxa"/>
          </w:tcPr>
          <w:p w14:paraId="2A444778" w14:textId="77777777" w:rsidR="00182709" w:rsidRDefault="00182709"/>
        </w:tc>
        <w:tc>
          <w:tcPr>
            <w:tcW w:w="866" w:type="dxa"/>
          </w:tcPr>
          <w:p w14:paraId="18769CD7" w14:textId="77777777" w:rsidR="00182709" w:rsidRDefault="00182709"/>
        </w:tc>
      </w:tr>
      <w:tr w:rsidR="00182709" w14:paraId="2B89DBAC" w14:textId="77777777" w:rsidTr="00DA73F1">
        <w:tc>
          <w:tcPr>
            <w:tcW w:w="1349" w:type="dxa"/>
          </w:tcPr>
          <w:p w14:paraId="50079C46" w14:textId="77777777" w:rsidR="00182709" w:rsidRDefault="0044097C">
            <w:pPr>
              <w:jc w:val="left"/>
            </w:pPr>
            <w:r>
              <w:rPr>
                <w:color w:val="4472C4"/>
                <w:sz w:val="13"/>
              </w:rPr>
              <w:t>AASB 101.61</w:t>
            </w:r>
          </w:p>
        </w:tc>
        <w:tc>
          <w:tcPr>
            <w:tcW w:w="6558" w:type="dxa"/>
          </w:tcPr>
          <w:p w14:paraId="4F030C09" w14:textId="1B195BE5" w:rsidR="00182709" w:rsidRDefault="0044097C">
            <w:pPr>
              <w:jc w:val="left"/>
            </w:pPr>
            <w:r>
              <w:t>Onerous contracts</w:t>
            </w:r>
          </w:p>
        </w:tc>
        <w:tc>
          <w:tcPr>
            <w:tcW w:w="866" w:type="dxa"/>
          </w:tcPr>
          <w:p w14:paraId="42F1909B" w14:textId="77777777" w:rsidR="00182709" w:rsidRDefault="0044097C">
            <w:r>
              <w:t>709</w:t>
            </w:r>
          </w:p>
        </w:tc>
        <w:tc>
          <w:tcPr>
            <w:tcW w:w="866" w:type="dxa"/>
          </w:tcPr>
          <w:p w14:paraId="48457442" w14:textId="77777777" w:rsidR="00182709" w:rsidRDefault="0044097C">
            <w:r>
              <w:t>1 273</w:t>
            </w:r>
          </w:p>
        </w:tc>
      </w:tr>
      <w:tr w:rsidR="00182709" w14:paraId="4A24112A" w14:textId="77777777" w:rsidTr="00DA73F1">
        <w:tc>
          <w:tcPr>
            <w:tcW w:w="1349" w:type="dxa"/>
          </w:tcPr>
          <w:p w14:paraId="62BD2B33" w14:textId="77777777" w:rsidR="00182709" w:rsidRDefault="00182709">
            <w:pPr>
              <w:jc w:val="left"/>
            </w:pPr>
          </w:p>
        </w:tc>
        <w:tc>
          <w:tcPr>
            <w:tcW w:w="6558" w:type="dxa"/>
            <w:tcBorders>
              <w:bottom w:val="single" w:sz="12" w:space="0" w:color="auto"/>
            </w:tcBorders>
          </w:tcPr>
          <w:p w14:paraId="0E2F3BF1" w14:textId="77777777" w:rsidR="00182709" w:rsidRDefault="0044097C">
            <w:pPr>
              <w:jc w:val="left"/>
            </w:pPr>
            <w:r>
              <w:t>Make‑good provision</w:t>
            </w:r>
          </w:p>
        </w:tc>
        <w:tc>
          <w:tcPr>
            <w:tcW w:w="866" w:type="dxa"/>
            <w:tcBorders>
              <w:bottom w:val="single" w:sz="12" w:space="0" w:color="auto"/>
            </w:tcBorders>
          </w:tcPr>
          <w:p w14:paraId="451B3C0E" w14:textId="77777777" w:rsidR="00182709" w:rsidRDefault="0044097C">
            <w:r>
              <w:t>450</w:t>
            </w:r>
          </w:p>
        </w:tc>
        <w:tc>
          <w:tcPr>
            <w:tcW w:w="866" w:type="dxa"/>
            <w:tcBorders>
              <w:bottom w:val="single" w:sz="12" w:space="0" w:color="auto"/>
            </w:tcBorders>
          </w:tcPr>
          <w:p w14:paraId="40DBC512" w14:textId="77777777" w:rsidR="00182709" w:rsidRDefault="0044097C">
            <w:r>
              <w:t>375</w:t>
            </w:r>
          </w:p>
        </w:tc>
      </w:tr>
      <w:tr w:rsidR="00671D55" w14:paraId="5F7204ED" w14:textId="77777777" w:rsidTr="00DA73F1">
        <w:tc>
          <w:tcPr>
            <w:tcW w:w="1349" w:type="dxa"/>
          </w:tcPr>
          <w:p w14:paraId="64B358FD" w14:textId="77777777" w:rsidR="00182709" w:rsidRDefault="00182709">
            <w:pPr>
              <w:jc w:val="left"/>
            </w:pPr>
          </w:p>
        </w:tc>
        <w:tc>
          <w:tcPr>
            <w:tcW w:w="6558" w:type="dxa"/>
          </w:tcPr>
          <w:p w14:paraId="4F69CEDB" w14:textId="77777777" w:rsidR="00182709" w:rsidRDefault="0044097C">
            <w:pPr>
              <w:jc w:val="left"/>
            </w:pPr>
            <w:r>
              <w:rPr>
                <w:b/>
              </w:rPr>
              <w:t>Total non‑current provisions</w:t>
            </w:r>
          </w:p>
        </w:tc>
        <w:tc>
          <w:tcPr>
            <w:tcW w:w="866" w:type="dxa"/>
          </w:tcPr>
          <w:p w14:paraId="29318572" w14:textId="77777777" w:rsidR="00182709" w:rsidRDefault="0044097C">
            <w:r>
              <w:rPr>
                <w:b/>
              </w:rPr>
              <w:t>1 159</w:t>
            </w:r>
          </w:p>
        </w:tc>
        <w:tc>
          <w:tcPr>
            <w:tcW w:w="866" w:type="dxa"/>
          </w:tcPr>
          <w:p w14:paraId="6BD930BE" w14:textId="77777777" w:rsidR="00182709" w:rsidRDefault="0044097C">
            <w:r>
              <w:rPr>
                <w:b/>
              </w:rPr>
              <w:t>1 648</w:t>
            </w:r>
          </w:p>
        </w:tc>
      </w:tr>
      <w:tr w:rsidR="00671D55" w14:paraId="47AA0094" w14:textId="77777777" w:rsidTr="00DA73F1">
        <w:tc>
          <w:tcPr>
            <w:tcW w:w="1349" w:type="dxa"/>
            <w:tcBorders>
              <w:bottom w:val="nil"/>
            </w:tcBorders>
          </w:tcPr>
          <w:p w14:paraId="72675D9D" w14:textId="77777777" w:rsidR="00182709" w:rsidRDefault="00182709">
            <w:pPr>
              <w:jc w:val="left"/>
            </w:pPr>
          </w:p>
        </w:tc>
        <w:tc>
          <w:tcPr>
            <w:tcW w:w="6558" w:type="dxa"/>
          </w:tcPr>
          <w:p w14:paraId="027F4AC6" w14:textId="77777777" w:rsidR="00182709" w:rsidRDefault="0044097C">
            <w:pPr>
              <w:jc w:val="left"/>
            </w:pPr>
            <w:r>
              <w:rPr>
                <w:b/>
              </w:rPr>
              <w:t>Total other provisions</w:t>
            </w:r>
          </w:p>
        </w:tc>
        <w:tc>
          <w:tcPr>
            <w:tcW w:w="866" w:type="dxa"/>
          </w:tcPr>
          <w:p w14:paraId="68642F6C" w14:textId="77777777" w:rsidR="00182709" w:rsidRDefault="0044097C">
            <w:r>
              <w:rPr>
                <w:b/>
              </w:rPr>
              <w:t>2 152</w:t>
            </w:r>
          </w:p>
        </w:tc>
        <w:tc>
          <w:tcPr>
            <w:tcW w:w="866" w:type="dxa"/>
          </w:tcPr>
          <w:p w14:paraId="667C237E" w14:textId="77777777" w:rsidR="00182709" w:rsidRDefault="0044097C">
            <w:r>
              <w:rPr>
                <w:b/>
              </w:rPr>
              <w:t>3 938</w:t>
            </w:r>
          </w:p>
        </w:tc>
      </w:tr>
    </w:tbl>
    <w:p w14:paraId="5254335E" w14:textId="77777777" w:rsidR="003719CD" w:rsidRDefault="003719CD" w:rsidP="00DC39DE">
      <w:r>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0343733F" w14:textId="77777777" w:rsidR="003719CD" w:rsidRDefault="003719CD" w:rsidP="00DC39DE">
      <w:r>
        <w:t>Where a provision is measured using the cash flows estimated to settle the present obligation, its carrying amount is the present value of those cash flows, using a discount rate that reflects the time, value of money and risks specific to the provision.</w:t>
      </w:r>
    </w:p>
    <w:p w14:paraId="4DA8E00C" w14:textId="77777777" w:rsidR="003719CD" w:rsidRDefault="003719CD" w:rsidP="007D536F">
      <w:pPr>
        <w:pStyle w:val="Caption"/>
      </w:pPr>
      <w:r>
        <w:t xml:space="preserve">Reconciliation of movements in other provisions </w:t>
      </w:r>
      <w:r>
        <w:tab/>
        <w:t>($ thousand)</w:t>
      </w:r>
    </w:p>
    <w:tbl>
      <w:tblPr>
        <w:tblStyle w:val="DTFTable"/>
        <w:tblW w:w="9639" w:type="dxa"/>
        <w:tblLayout w:type="fixed"/>
        <w:tblLook w:val="0620" w:firstRow="1" w:lastRow="0" w:firstColumn="0" w:lastColumn="0" w:noHBand="1" w:noVBand="1"/>
      </w:tblPr>
      <w:tblGrid>
        <w:gridCol w:w="1349"/>
        <w:gridCol w:w="5695"/>
        <w:gridCol w:w="865"/>
        <w:gridCol w:w="1022"/>
        <w:gridCol w:w="708"/>
      </w:tblGrid>
      <w:tr w:rsidR="00182709" w14:paraId="443AA6C5"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67DB0A43" w14:textId="77777777" w:rsidR="00182709" w:rsidRDefault="0044097C">
            <w:pPr>
              <w:keepNext/>
              <w:jc w:val="left"/>
            </w:pPr>
            <w:r>
              <w:rPr>
                <w:color w:val="4472C4"/>
                <w:sz w:val="13"/>
              </w:rPr>
              <w:t>Source reference</w:t>
            </w:r>
          </w:p>
        </w:tc>
        <w:tc>
          <w:tcPr>
            <w:tcW w:w="5695" w:type="dxa"/>
          </w:tcPr>
          <w:p w14:paraId="5925A07A" w14:textId="77777777" w:rsidR="00182709" w:rsidRDefault="00182709">
            <w:pPr>
              <w:keepNext/>
              <w:jc w:val="left"/>
            </w:pPr>
          </w:p>
        </w:tc>
        <w:tc>
          <w:tcPr>
            <w:tcW w:w="865" w:type="dxa"/>
          </w:tcPr>
          <w:p w14:paraId="138A56FE" w14:textId="77777777" w:rsidR="00182709" w:rsidRDefault="0044097C">
            <w:pPr>
              <w:keepNext/>
            </w:pPr>
            <w:r>
              <w:t>Onerous contracts</w:t>
            </w:r>
          </w:p>
        </w:tc>
        <w:tc>
          <w:tcPr>
            <w:tcW w:w="1022" w:type="dxa"/>
          </w:tcPr>
          <w:p w14:paraId="3D380C9D" w14:textId="77777777" w:rsidR="00182709" w:rsidRDefault="0044097C">
            <w:pPr>
              <w:keepNext/>
            </w:pPr>
            <w:r>
              <w:t>Make</w:t>
            </w:r>
            <w:r>
              <w:noBreakHyphen/>
              <w:t>good</w:t>
            </w:r>
          </w:p>
        </w:tc>
        <w:tc>
          <w:tcPr>
            <w:tcW w:w="708" w:type="dxa"/>
          </w:tcPr>
          <w:p w14:paraId="2A48C1AC" w14:textId="75F47600" w:rsidR="00182709" w:rsidRDefault="0044097C">
            <w:pPr>
              <w:keepNext/>
            </w:pPr>
            <w:r>
              <w:t xml:space="preserve">Total </w:t>
            </w:r>
            <w:fldSimple w:instr="DOCPROPERTY  YearCurrent \* MERGEFORMAT">
              <w:r w:rsidR="00DA73F1">
                <w:t>20X2</w:t>
              </w:r>
            </w:fldSimple>
          </w:p>
        </w:tc>
      </w:tr>
      <w:tr w:rsidR="00182709" w14:paraId="466270C0" w14:textId="77777777" w:rsidTr="0018172B">
        <w:tc>
          <w:tcPr>
            <w:tcW w:w="1349" w:type="dxa"/>
          </w:tcPr>
          <w:p w14:paraId="191CB1C1" w14:textId="77777777" w:rsidR="00182709" w:rsidRDefault="0044097C">
            <w:pPr>
              <w:jc w:val="left"/>
            </w:pPr>
            <w:r>
              <w:rPr>
                <w:color w:val="4472C4"/>
                <w:sz w:val="13"/>
              </w:rPr>
              <w:t>AASB 137.84 (a)</w:t>
            </w:r>
          </w:p>
        </w:tc>
        <w:tc>
          <w:tcPr>
            <w:tcW w:w="5695" w:type="dxa"/>
          </w:tcPr>
          <w:p w14:paraId="7CDBF8F3" w14:textId="77777777" w:rsidR="00182709" w:rsidRDefault="0044097C">
            <w:pPr>
              <w:jc w:val="left"/>
            </w:pPr>
            <w:r>
              <w:rPr>
                <w:b/>
              </w:rPr>
              <w:t>Opening balance</w:t>
            </w:r>
          </w:p>
        </w:tc>
        <w:tc>
          <w:tcPr>
            <w:tcW w:w="865" w:type="dxa"/>
          </w:tcPr>
          <w:p w14:paraId="1DEA7931" w14:textId="77777777" w:rsidR="00182709" w:rsidRDefault="0044097C">
            <w:r>
              <w:rPr>
                <w:b/>
              </w:rPr>
              <w:t>3 563</w:t>
            </w:r>
          </w:p>
        </w:tc>
        <w:tc>
          <w:tcPr>
            <w:tcW w:w="1022" w:type="dxa"/>
          </w:tcPr>
          <w:p w14:paraId="47380A77" w14:textId="77777777" w:rsidR="00182709" w:rsidRDefault="0044097C">
            <w:r>
              <w:rPr>
                <w:b/>
              </w:rPr>
              <w:t>375</w:t>
            </w:r>
          </w:p>
        </w:tc>
        <w:tc>
          <w:tcPr>
            <w:tcW w:w="708" w:type="dxa"/>
          </w:tcPr>
          <w:p w14:paraId="4BF663E0" w14:textId="77777777" w:rsidR="00182709" w:rsidRDefault="0044097C">
            <w:r>
              <w:rPr>
                <w:b/>
              </w:rPr>
              <w:t>3 938</w:t>
            </w:r>
          </w:p>
        </w:tc>
      </w:tr>
      <w:tr w:rsidR="00182709" w14:paraId="1B87ED95" w14:textId="77777777" w:rsidTr="0018172B">
        <w:tc>
          <w:tcPr>
            <w:tcW w:w="1349" w:type="dxa"/>
          </w:tcPr>
          <w:p w14:paraId="498C5090" w14:textId="77777777" w:rsidR="00182709" w:rsidRDefault="0044097C">
            <w:pPr>
              <w:jc w:val="left"/>
            </w:pPr>
            <w:r>
              <w:rPr>
                <w:color w:val="4472C4"/>
                <w:sz w:val="13"/>
              </w:rPr>
              <w:t>AASB 137.84 (b)</w:t>
            </w:r>
          </w:p>
        </w:tc>
        <w:tc>
          <w:tcPr>
            <w:tcW w:w="5695" w:type="dxa"/>
          </w:tcPr>
          <w:p w14:paraId="26FB83D9" w14:textId="77777777" w:rsidR="00182709" w:rsidRDefault="0044097C">
            <w:pPr>
              <w:jc w:val="left"/>
            </w:pPr>
            <w:r>
              <w:t>Additional provisions recognised</w:t>
            </w:r>
          </w:p>
        </w:tc>
        <w:tc>
          <w:tcPr>
            <w:tcW w:w="865" w:type="dxa"/>
          </w:tcPr>
          <w:p w14:paraId="19FDE604" w14:textId="77777777" w:rsidR="00182709" w:rsidRDefault="0044097C">
            <w:r>
              <w:t>426</w:t>
            </w:r>
          </w:p>
        </w:tc>
        <w:tc>
          <w:tcPr>
            <w:tcW w:w="1022" w:type="dxa"/>
          </w:tcPr>
          <w:p w14:paraId="3C6DD430" w14:textId="77777777" w:rsidR="00182709" w:rsidRDefault="0044097C">
            <w:r>
              <w:t>50</w:t>
            </w:r>
          </w:p>
        </w:tc>
        <w:tc>
          <w:tcPr>
            <w:tcW w:w="708" w:type="dxa"/>
          </w:tcPr>
          <w:p w14:paraId="5C71F9C5" w14:textId="77777777" w:rsidR="00182709" w:rsidRDefault="0044097C">
            <w:r>
              <w:t>476</w:t>
            </w:r>
          </w:p>
        </w:tc>
      </w:tr>
      <w:tr w:rsidR="00182709" w14:paraId="7DEF7A72" w14:textId="77777777" w:rsidTr="0018172B">
        <w:tc>
          <w:tcPr>
            <w:tcW w:w="1349" w:type="dxa"/>
          </w:tcPr>
          <w:p w14:paraId="48B24000" w14:textId="77777777" w:rsidR="00182709" w:rsidRDefault="0044097C">
            <w:pPr>
              <w:jc w:val="left"/>
            </w:pPr>
            <w:r>
              <w:rPr>
                <w:color w:val="4472C4"/>
                <w:sz w:val="13"/>
              </w:rPr>
              <w:t>AASB 137.84 (b)</w:t>
            </w:r>
          </w:p>
        </w:tc>
        <w:tc>
          <w:tcPr>
            <w:tcW w:w="5695" w:type="dxa"/>
          </w:tcPr>
          <w:p w14:paraId="794E15CA" w14:textId="77777777" w:rsidR="00182709" w:rsidRDefault="0044097C">
            <w:pPr>
              <w:jc w:val="left"/>
            </w:pPr>
            <w:r>
              <w:t>Additions due to transfer in</w:t>
            </w:r>
          </w:p>
        </w:tc>
        <w:tc>
          <w:tcPr>
            <w:tcW w:w="865" w:type="dxa"/>
          </w:tcPr>
          <w:p w14:paraId="43A6E5C3" w14:textId="77777777" w:rsidR="00182709" w:rsidRDefault="0044097C">
            <w:r>
              <w:t>..</w:t>
            </w:r>
          </w:p>
        </w:tc>
        <w:tc>
          <w:tcPr>
            <w:tcW w:w="1022" w:type="dxa"/>
          </w:tcPr>
          <w:p w14:paraId="74C93B95" w14:textId="77777777" w:rsidR="00182709" w:rsidRDefault="0044097C">
            <w:r>
              <w:t>..</w:t>
            </w:r>
          </w:p>
        </w:tc>
        <w:tc>
          <w:tcPr>
            <w:tcW w:w="708" w:type="dxa"/>
          </w:tcPr>
          <w:p w14:paraId="66FFC9D9" w14:textId="77777777" w:rsidR="00182709" w:rsidRDefault="0044097C">
            <w:r>
              <w:t>..</w:t>
            </w:r>
          </w:p>
        </w:tc>
      </w:tr>
      <w:tr w:rsidR="00182709" w14:paraId="0774419C" w14:textId="77777777" w:rsidTr="0018172B">
        <w:tc>
          <w:tcPr>
            <w:tcW w:w="1349" w:type="dxa"/>
          </w:tcPr>
          <w:p w14:paraId="673967D7" w14:textId="77777777" w:rsidR="00182709" w:rsidRDefault="0044097C">
            <w:pPr>
              <w:jc w:val="left"/>
            </w:pPr>
            <w:r>
              <w:rPr>
                <w:color w:val="4472C4"/>
                <w:sz w:val="13"/>
              </w:rPr>
              <w:t>AASB 137.84 (b)</w:t>
            </w:r>
          </w:p>
        </w:tc>
        <w:tc>
          <w:tcPr>
            <w:tcW w:w="5695" w:type="dxa"/>
          </w:tcPr>
          <w:p w14:paraId="205189D6" w14:textId="77777777" w:rsidR="00182709" w:rsidRDefault="0044097C">
            <w:pPr>
              <w:jc w:val="left"/>
            </w:pPr>
            <w:r>
              <w:t>Additions due to acquisitions</w:t>
            </w:r>
          </w:p>
        </w:tc>
        <w:tc>
          <w:tcPr>
            <w:tcW w:w="865" w:type="dxa"/>
          </w:tcPr>
          <w:p w14:paraId="73218B57" w14:textId="77777777" w:rsidR="00182709" w:rsidRDefault="0044097C">
            <w:r>
              <w:t>..</w:t>
            </w:r>
          </w:p>
        </w:tc>
        <w:tc>
          <w:tcPr>
            <w:tcW w:w="1022" w:type="dxa"/>
          </w:tcPr>
          <w:p w14:paraId="68EB7613" w14:textId="77777777" w:rsidR="00182709" w:rsidRDefault="0044097C">
            <w:r>
              <w:t>..</w:t>
            </w:r>
          </w:p>
        </w:tc>
        <w:tc>
          <w:tcPr>
            <w:tcW w:w="708" w:type="dxa"/>
          </w:tcPr>
          <w:p w14:paraId="2C1D9F47" w14:textId="77777777" w:rsidR="00182709" w:rsidRDefault="0044097C">
            <w:r>
              <w:t>..</w:t>
            </w:r>
          </w:p>
        </w:tc>
      </w:tr>
      <w:tr w:rsidR="00182709" w14:paraId="4910A13E" w14:textId="77777777" w:rsidTr="0018172B">
        <w:tc>
          <w:tcPr>
            <w:tcW w:w="1349" w:type="dxa"/>
          </w:tcPr>
          <w:p w14:paraId="1205B6D8" w14:textId="77777777" w:rsidR="00182709" w:rsidRDefault="0044097C">
            <w:pPr>
              <w:jc w:val="left"/>
            </w:pPr>
            <w:r>
              <w:rPr>
                <w:color w:val="4472C4"/>
                <w:sz w:val="13"/>
              </w:rPr>
              <w:t>AASB 137.84 (c)</w:t>
            </w:r>
          </w:p>
        </w:tc>
        <w:tc>
          <w:tcPr>
            <w:tcW w:w="5695" w:type="dxa"/>
          </w:tcPr>
          <w:p w14:paraId="004446A7" w14:textId="77777777" w:rsidR="00182709" w:rsidRDefault="0044097C">
            <w:pPr>
              <w:jc w:val="left"/>
            </w:pPr>
            <w:r>
              <w:t>Reductions arising from payments/other sacrifices of future economic benefits</w:t>
            </w:r>
          </w:p>
        </w:tc>
        <w:tc>
          <w:tcPr>
            <w:tcW w:w="865" w:type="dxa"/>
          </w:tcPr>
          <w:p w14:paraId="56572166" w14:textId="77777777" w:rsidR="00182709" w:rsidRDefault="0044097C">
            <w:r>
              <w:t>(105)</w:t>
            </w:r>
          </w:p>
        </w:tc>
        <w:tc>
          <w:tcPr>
            <w:tcW w:w="1022" w:type="dxa"/>
          </w:tcPr>
          <w:p w14:paraId="67A930C0" w14:textId="77777777" w:rsidR="00182709" w:rsidRDefault="0044097C">
            <w:r>
              <w:t>..</w:t>
            </w:r>
          </w:p>
        </w:tc>
        <w:tc>
          <w:tcPr>
            <w:tcW w:w="708" w:type="dxa"/>
          </w:tcPr>
          <w:p w14:paraId="60C03726" w14:textId="77777777" w:rsidR="00182709" w:rsidRDefault="0044097C">
            <w:r>
              <w:t>(105)</w:t>
            </w:r>
          </w:p>
        </w:tc>
      </w:tr>
      <w:tr w:rsidR="00182709" w14:paraId="5B106146" w14:textId="77777777" w:rsidTr="0018172B">
        <w:tc>
          <w:tcPr>
            <w:tcW w:w="1349" w:type="dxa"/>
          </w:tcPr>
          <w:p w14:paraId="1E06ABB4" w14:textId="77777777" w:rsidR="00182709" w:rsidRDefault="0044097C">
            <w:pPr>
              <w:jc w:val="left"/>
            </w:pPr>
            <w:r>
              <w:rPr>
                <w:color w:val="4472C4"/>
                <w:sz w:val="13"/>
              </w:rPr>
              <w:t>AASB 137.84 (d)</w:t>
            </w:r>
          </w:p>
        </w:tc>
        <w:tc>
          <w:tcPr>
            <w:tcW w:w="5695" w:type="dxa"/>
          </w:tcPr>
          <w:p w14:paraId="00F5EC9D" w14:textId="77777777" w:rsidR="00182709" w:rsidRDefault="0044097C">
            <w:pPr>
              <w:jc w:val="left"/>
            </w:pPr>
            <w:r>
              <w:t>Reductions resulting from remeasurement or settlement without cost</w:t>
            </w:r>
          </w:p>
        </w:tc>
        <w:tc>
          <w:tcPr>
            <w:tcW w:w="865" w:type="dxa"/>
          </w:tcPr>
          <w:p w14:paraId="7582FCCD" w14:textId="77777777" w:rsidR="00182709" w:rsidRDefault="0044097C">
            <w:r>
              <w:t>..</w:t>
            </w:r>
          </w:p>
        </w:tc>
        <w:tc>
          <w:tcPr>
            <w:tcW w:w="1022" w:type="dxa"/>
          </w:tcPr>
          <w:p w14:paraId="3D294666" w14:textId="77777777" w:rsidR="00182709" w:rsidRDefault="0044097C">
            <w:r>
              <w:t>..</w:t>
            </w:r>
          </w:p>
        </w:tc>
        <w:tc>
          <w:tcPr>
            <w:tcW w:w="708" w:type="dxa"/>
          </w:tcPr>
          <w:p w14:paraId="737E9B15" w14:textId="77777777" w:rsidR="00182709" w:rsidRDefault="0044097C">
            <w:r>
              <w:t>..</w:t>
            </w:r>
          </w:p>
        </w:tc>
      </w:tr>
      <w:tr w:rsidR="00182709" w14:paraId="72A91E8B" w14:textId="77777777" w:rsidTr="0018172B">
        <w:tc>
          <w:tcPr>
            <w:tcW w:w="1349" w:type="dxa"/>
          </w:tcPr>
          <w:p w14:paraId="1E70A2F5" w14:textId="77777777" w:rsidR="00182709" w:rsidRDefault="0044097C">
            <w:pPr>
              <w:jc w:val="left"/>
            </w:pPr>
            <w:r>
              <w:rPr>
                <w:color w:val="4472C4"/>
                <w:sz w:val="13"/>
              </w:rPr>
              <w:t>AASB 137.60, 84 (e)</w:t>
            </w:r>
          </w:p>
        </w:tc>
        <w:tc>
          <w:tcPr>
            <w:tcW w:w="5695" w:type="dxa"/>
          </w:tcPr>
          <w:p w14:paraId="62285363" w14:textId="77777777" w:rsidR="00182709" w:rsidRDefault="0044097C">
            <w:pPr>
              <w:jc w:val="left"/>
            </w:pPr>
            <w:r>
              <w:t>Unwind of discount and effect of changes in the discount rate</w:t>
            </w:r>
          </w:p>
        </w:tc>
        <w:tc>
          <w:tcPr>
            <w:tcW w:w="865" w:type="dxa"/>
          </w:tcPr>
          <w:p w14:paraId="4013FA9F" w14:textId="77777777" w:rsidR="00182709" w:rsidRDefault="0044097C">
            <w:r>
              <w:t>..</w:t>
            </w:r>
          </w:p>
        </w:tc>
        <w:tc>
          <w:tcPr>
            <w:tcW w:w="1022" w:type="dxa"/>
          </w:tcPr>
          <w:p w14:paraId="598270B0" w14:textId="77777777" w:rsidR="00182709" w:rsidRDefault="0044097C">
            <w:r>
              <w:t>25</w:t>
            </w:r>
          </w:p>
        </w:tc>
        <w:tc>
          <w:tcPr>
            <w:tcW w:w="708" w:type="dxa"/>
          </w:tcPr>
          <w:p w14:paraId="7C2A025A" w14:textId="77777777" w:rsidR="00182709" w:rsidRDefault="0044097C">
            <w:r>
              <w:t>25</w:t>
            </w:r>
          </w:p>
        </w:tc>
      </w:tr>
      <w:tr w:rsidR="00182709" w14:paraId="7E8A8F8F" w14:textId="77777777" w:rsidTr="0018172B">
        <w:tc>
          <w:tcPr>
            <w:tcW w:w="1349" w:type="dxa"/>
          </w:tcPr>
          <w:p w14:paraId="5D05B168" w14:textId="77777777" w:rsidR="00182709" w:rsidRDefault="0044097C">
            <w:pPr>
              <w:jc w:val="left"/>
            </w:pPr>
            <w:r>
              <w:rPr>
                <w:color w:val="4472C4"/>
                <w:sz w:val="13"/>
              </w:rPr>
              <w:t>AASB 137.84 (c)</w:t>
            </w:r>
          </w:p>
        </w:tc>
        <w:tc>
          <w:tcPr>
            <w:tcW w:w="5695" w:type="dxa"/>
          </w:tcPr>
          <w:p w14:paraId="3E73C6D0" w14:textId="77777777" w:rsidR="00182709" w:rsidRDefault="0044097C">
            <w:pPr>
              <w:jc w:val="left"/>
            </w:pPr>
            <w:r>
              <w:t>Reduction due to held for sale</w:t>
            </w:r>
          </w:p>
        </w:tc>
        <w:tc>
          <w:tcPr>
            <w:tcW w:w="865" w:type="dxa"/>
          </w:tcPr>
          <w:p w14:paraId="7A9EDFD8" w14:textId="77777777" w:rsidR="00182709" w:rsidRDefault="0044097C">
            <w:r>
              <w:t>(1 042)</w:t>
            </w:r>
          </w:p>
        </w:tc>
        <w:tc>
          <w:tcPr>
            <w:tcW w:w="1022" w:type="dxa"/>
          </w:tcPr>
          <w:p w14:paraId="3BFE49D8" w14:textId="77777777" w:rsidR="00182709" w:rsidRDefault="0044097C">
            <w:r>
              <w:t>..</w:t>
            </w:r>
          </w:p>
        </w:tc>
        <w:tc>
          <w:tcPr>
            <w:tcW w:w="708" w:type="dxa"/>
          </w:tcPr>
          <w:p w14:paraId="2563BE5C" w14:textId="77777777" w:rsidR="00182709" w:rsidRDefault="0044097C">
            <w:r>
              <w:t>(1 042)</w:t>
            </w:r>
          </w:p>
        </w:tc>
      </w:tr>
      <w:tr w:rsidR="00182709" w14:paraId="2286622E" w14:textId="77777777" w:rsidTr="0018172B">
        <w:tc>
          <w:tcPr>
            <w:tcW w:w="1349" w:type="dxa"/>
          </w:tcPr>
          <w:p w14:paraId="24B24D5F" w14:textId="77777777" w:rsidR="00182709" w:rsidRDefault="0044097C">
            <w:pPr>
              <w:jc w:val="left"/>
            </w:pPr>
            <w:r>
              <w:rPr>
                <w:color w:val="4472C4"/>
                <w:sz w:val="13"/>
              </w:rPr>
              <w:t>AASB 137.84 (c)</w:t>
            </w:r>
          </w:p>
        </w:tc>
        <w:tc>
          <w:tcPr>
            <w:tcW w:w="5695" w:type="dxa"/>
            <w:tcBorders>
              <w:bottom w:val="single" w:sz="12" w:space="0" w:color="auto"/>
            </w:tcBorders>
          </w:tcPr>
          <w:p w14:paraId="674F090E" w14:textId="77777777" w:rsidR="00182709" w:rsidRDefault="0044097C">
            <w:pPr>
              <w:jc w:val="left"/>
            </w:pPr>
            <w:r>
              <w:t>Reduction due to transfer out</w:t>
            </w:r>
          </w:p>
        </w:tc>
        <w:tc>
          <w:tcPr>
            <w:tcW w:w="865" w:type="dxa"/>
            <w:tcBorders>
              <w:bottom w:val="single" w:sz="12" w:space="0" w:color="auto"/>
            </w:tcBorders>
          </w:tcPr>
          <w:p w14:paraId="5E1B4C3B" w14:textId="77777777" w:rsidR="00182709" w:rsidRDefault="0044097C">
            <w:r>
              <w:t>(1 139)</w:t>
            </w:r>
          </w:p>
        </w:tc>
        <w:tc>
          <w:tcPr>
            <w:tcW w:w="1022" w:type="dxa"/>
            <w:tcBorders>
              <w:bottom w:val="single" w:sz="12" w:space="0" w:color="auto"/>
            </w:tcBorders>
          </w:tcPr>
          <w:p w14:paraId="58484DB9" w14:textId="77777777" w:rsidR="00182709" w:rsidRDefault="0044097C">
            <w:r>
              <w:t>..</w:t>
            </w:r>
          </w:p>
        </w:tc>
        <w:tc>
          <w:tcPr>
            <w:tcW w:w="708" w:type="dxa"/>
            <w:tcBorders>
              <w:bottom w:val="single" w:sz="12" w:space="0" w:color="auto"/>
            </w:tcBorders>
          </w:tcPr>
          <w:p w14:paraId="68DA8753" w14:textId="77777777" w:rsidR="00182709" w:rsidRDefault="0044097C">
            <w:r>
              <w:t>(1 139)</w:t>
            </w:r>
          </w:p>
        </w:tc>
      </w:tr>
      <w:tr w:rsidR="00671D55" w14:paraId="6ED4E8D3" w14:textId="77777777" w:rsidTr="0018172B">
        <w:tc>
          <w:tcPr>
            <w:tcW w:w="1349" w:type="dxa"/>
            <w:tcBorders>
              <w:bottom w:val="nil"/>
            </w:tcBorders>
          </w:tcPr>
          <w:p w14:paraId="18714F30" w14:textId="77777777" w:rsidR="00182709" w:rsidRDefault="0044097C">
            <w:pPr>
              <w:jc w:val="left"/>
            </w:pPr>
            <w:r>
              <w:rPr>
                <w:color w:val="4472C4"/>
                <w:sz w:val="13"/>
              </w:rPr>
              <w:t>AASB 137.84 (a)</w:t>
            </w:r>
          </w:p>
        </w:tc>
        <w:tc>
          <w:tcPr>
            <w:tcW w:w="5695" w:type="dxa"/>
          </w:tcPr>
          <w:p w14:paraId="4DF79B0F" w14:textId="77777777" w:rsidR="00182709" w:rsidRDefault="0044097C">
            <w:pPr>
              <w:jc w:val="left"/>
            </w:pPr>
            <w:r>
              <w:rPr>
                <w:b/>
              </w:rPr>
              <w:t>Closing balance</w:t>
            </w:r>
          </w:p>
        </w:tc>
        <w:tc>
          <w:tcPr>
            <w:tcW w:w="865" w:type="dxa"/>
          </w:tcPr>
          <w:p w14:paraId="2F047840" w14:textId="77777777" w:rsidR="00182709" w:rsidRDefault="0044097C">
            <w:r>
              <w:rPr>
                <w:b/>
              </w:rPr>
              <w:t>1 703</w:t>
            </w:r>
          </w:p>
        </w:tc>
        <w:tc>
          <w:tcPr>
            <w:tcW w:w="1022" w:type="dxa"/>
          </w:tcPr>
          <w:p w14:paraId="5985F502" w14:textId="77777777" w:rsidR="00182709" w:rsidRDefault="0044097C">
            <w:r>
              <w:rPr>
                <w:b/>
              </w:rPr>
              <w:t>450</w:t>
            </w:r>
          </w:p>
        </w:tc>
        <w:tc>
          <w:tcPr>
            <w:tcW w:w="708" w:type="dxa"/>
          </w:tcPr>
          <w:p w14:paraId="03152BB1" w14:textId="77777777" w:rsidR="00182709" w:rsidRDefault="0044097C">
            <w:r>
              <w:rPr>
                <w:b/>
              </w:rPr>
              <w:t>2 153</w:t>
            </w:r>
          </w:p>
        </w:tc>
      </w:tr>
    </w:tbl>
    <w:p w14:paraId="09E1F3B5" w14:textId="77777777" w:rsidR="003719CD" w:rsidRDefault="003719CD" w:rsidP="00DC39DE">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3C4F259F" w14:textId="77777777" w:rsidR="003719CD" w:rsidRDefault="003719CD" w:rsidP="00DC39DE">
      <w:r>
        <w:t xml:space="preserve">The make-good provision is recognised in accordance with the lease agreement over the warehouse facilities. The Department must remove any leasehold improvements from the leased warehouse and restore the premises to its original condition at the end of the lease term. </w:t>
      </w:r>
    </w:p>
    <w:p w14:paraId="43630773" w14:textId="30D6C80C" w:rsidR="003719CD" w:rsidRDefault="003719CD" w:rsidP="00DC39DE">
      <w:r w:rsidRPr="00543833">
        <w:rPr>
          <w:b/>
          <w:bCs/>
        </w:rPr>
        <w:t>Onerous contracts</w:t>
      </w:r>
      <w:r>
        <w:t xml:space="preserve">: </w:t>
      </w:r>
      <w:r w:rsidR="007667F2">
        <w:t>A</w:t>
      </w:r>
      <w:r>
        <w:t xml:space="preserve">n onerous contract is considered to exist when the unavoidable cost of meeting the contractual obligations exceeds the estimated economic benefits to be received. </w:t>
      </w:r>
      <w:r w:rsidRPr="00543833">
        <w:rPr>
          <w:rStyle w:val="Reference"/>
        </w:rPr>
        <w:t>[AASB 137.66]</w:t>
      </w:r>
    </w:p>
    <w:p w14:paraId="28277593" w14:textId="63B3696A" w:rsidR="003719CD" w:rsidRDefault="00F946D8" w:rsidP="00DC39DE">
      <w:r w:rsidRPr="00F946D8">
        <w:t>Present obligations arising under onerous contracts are recognised as a provision to the extent that the present obligation exceeds the estimated economic benefits to be received. The provision has been measured based on the unavoidable costs of meeting the contractual obligations. The unavoidable costs are the lower of the costs of fulfilling the contract and any compensation or penalties from the failure to fulfill the contract.</w:t>
      </w:r>
    </w:p>
    <w:p w14:paraId="13936C00" w14:textId="77777777" w:rsidR="003B7EFD" w:rsidRDefault="003B7EFD">
      <w:pPr>
        <w:keepLines w:val="0"/>
        <w:rPr>
          <w:rFonts w:asciiTheme="majorHAnsi" w:eastAsiaTheme="majorEastAsia" w:hAnsiTheme="majorHAnsi" w:cstheme="majorBidi"/>
          <w:b/>
          <w:bCs/>
          <w:iCs/>
          <w:color w:val="FFFFFF" w:themeColor="background1"/>
          <w:sz w:val="20"/>
          <w:szCs w:val="24"/>
        </w:rPr>
      </w:pPr>
      <w:r>
        <w:br w:type="page"/>
      </w:r>
    </w:p>
    <w:p w14:paraId="0CD655F5" w14:textId="4772A0E6" w:rsidR="003719CD" w:rsidRDefault="003719CD" w:rsidP="007D536F">
      <w:pPr>
        <w:pStyle w:val="GuidanceBlockHeading"/>
      </w:pPr>
      <w:r>
        <w:lastRenderedPageBreak/>
        <w:t>Guidance – Provisions</w:t>
      </w:r>
    </w:p>
    <w:p w14:paraId="15AC4B68" w14:textId="77777777" w:rsidR="003719CD" w:rsidRDefault="003719CD" w:rsidP="007D536F">
      <w:pPr>
        <w:pStyle w:val="GuidanceHeading"/>
      </w:pPr>
      <w:r>
        <w:t>Recognition of provisions</w:t>
      </w:r>
    </w:p>
    <w:p w14:paraId="0DD59F7D" w14:textId="77777777" w:rsidR="003719CD" w:rsidRPr="00250697" w:rsidRDefault="003719CD" w:rsidP="007D536F">
      <w:pPr>
        <w:rPr>
          <w:rStyle w:val="Guidance"/>
        </w:rPr>
      </w:pPr>
      <w:r w:rsidRPr="00250697">
        <w:rPr>
          <w:rStyle w:val="Guidance"/>
        </w:rPr>
        <w:t>A provision shall be recognised when:</w:t>
      </w:r>
    </w:p>
    <w:p w14:paraId="5754358E" w14:textId="2D184EC1" w:rsidR="003719CD" w:rsidRPr="00250697" w:rsidRDefault="003719CD" w:rsidP="00310F12">
      <w:pPr>
        <w:pStyle w:val="ListBullet"/>
        <w:rPr>
          <w:rStyle w:val="Guidance"/>
        </w:rPr>
      </w:pPr>
      <w:r w:rsidRPr="00250697">
        <w:rPr>
          <w:rStyle w:val="Guidance"/>
        </w:rPr>
        <w:t>an entity has a present obligation (legal or constructive) as a result of a past event</w:t>
      </w:r>
    </w:p>
    <w:p w14:paraId="54977CCC" w14:textId="18921DAE" w:rsidR="003719CD" w:rsidRPr="00250697" w:rsidRDefault="003719CD" w:rsidP="00310F12">
      <w:pPr>
        <w:pStyle w:val="ListBullet"/>
        <w:rPr>
          <w:rStyle w:val="Guidance"/>
        </w:rPr>
      </w:pPr>
      <w:r w:rsidRPr="00250697">
        <w:rPr>
          <w:rStyle w:val="Guidance"/>
        </w:rPr>
        <w:t>it is probable that an outflow of resources embodying economic benefits will be required to settle the obligation</w:t>
      </w:r>
    </w:p>
    <w:p w14:paraId="529B93BF" w14:textId="77777777" w:rsidR="003719CD" w:rsidRPr="00250697" w:rsidRDefault="003719CD" w:rsidP="00310F12">
      <w:pPr>
        <w:pStyle w:val="ListBullet"/>
        <w:rPr>
          <w:rStyle w:val="Guidance"/>
        </w:rPr>
      </w:pPr>
      <w:r w:rsidRPr="00250697">
        <w:rPr>
          <w:rStyle w:val="Guidance"/>
        </w:rPr>
        <w:t>a reliable estimate can be made of the amount of the obligation.</w:t>
      </w:r>
    </w:p>
    <w:p w14:paraId="357FE6F8" w14:textId="77777777" w:rsidR="003719CD" w:rsidRPr="00250697" w:rsidRDefault="003719CD" w:rsidP="007D536F">
      <w:pPr>
        <w:rPr>
          <w:rStyle w:val="Guidance"/>
        </w:rPr>
      </w:pPr>
      <w:r w:rsidRPr="00250697">
        <w:rPr>
          <w:rStyle w:val="Guidance"/>
        </w:rPr>
        <w:t xml:space="preserve">If these conditions are not met, no provision shall be recognised. </w:t>
      </w:r>
      <w:r w:rsidRPr="00250697">
        <w:rPr>
          <w:rStyle w:val="Reference"/>
        </w:rPr>
        <w:t>[AASB 137.14-15, 137.23]</w:t>
      </w:r>
    </w:p>
    <w:p w14:paraId="06CC971B" w14:textId="77777777" w:rsidR="003719CD" w:rsidRPr="00250697" w:rsidRDefault="003719CD" w:rsidP="007D536F">
      <w:pPr>
        <w:rPr>
          <w:rStyle w:val="Guidance"/>
        </w:rPr>
      </w:pPr>
      <w:r w:rsidRPr="00250697">
        <w:rPr>
          <w:rStyle w:val="Guidance"/>
        </w:rPr>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p w14:paraId="71CDA692" w14:textId="4218094D" w:rsidR="003719CD" w:rsidRPr="00250697" w:rsidRDefault="003719CD" w:rsidP="007D536F">
      <w:pPr>
        <w:rPr>
          <w:rStyle w:val="Guidance"/>
        </w:rPr>
      </w:pPr>
      <w:r w:rsidRPr="00250697">
        <w:rPr>
          <w:rStyle w:val="Guidance"/>
        </w:rPr>
        <w:t>For a liability to qualify for recognition there must be not only a present obligation but also the probability of an outflow of resources embodying economic benefits to settle that obligation. For the purpose of AASB 137, an outflow of resources or other event is regarded as probable if the event is more likely than not to occur, that is, the probability that the event will occur is greater than the probability that it will not. Where it is not probable that a present obligation exists, an entity discloses a contingent liability, unless the possibility of an outflow of resources embodying economic benefits is remote.</w:t>
      </w:r>
    </w:p>
    <w:p w14:paraId="797C1EFB" w14:textId="77777777" w:rsidR="003719CD" w:rsidRPr="00250697" w:rsidRDefault="003719CD" w:rsidP="007D536F">
      <w:pPr>
        <w:pStyle w:val="GuidanceHeading"/>
        <w:rPr>
          <w:rStyle w:val="Guidance"/>
        </w:rPr>
      </w:pPr>
      <w:r w:rsidRPr="00250697">
        <w:rPr>
          <w:rStyle w:val="Guidance"/>
        </w:rPr>
        <w:t xml:space="preserve">Disclosure </w:t>
      </w:r>
      <w:r w:rsidRPr="00250697">
        <w:rPr>
          <w:rStyle w:val="Reference"/>
        </w:rPr>
        <w:t>[AASB 137.84-85]</w:t>
      </w:r>
    </w:p>
    <w:p w14:paraId="29BD6B69" w14:textId="77777777" w:rsidR="003719CD" w:rsidRPr="00250697" w:rsidRDefault="003719CD" w:rsidP="007D536F">
      <w:pPr>
        <w:rPr>
          <w:rStyle w:val="Guidance"/>
        </w:rPr>
      </w:pPr>
      <w:r w:rsidRPr="00250697">
        <w:rPr>
          <w:rStyle w:val="Guidance"/>
        </w:rPr>
        <w:t>For each class of provision, an entity shall disclose:</w:t>
      </w:r>
    </w:p>
    <w:p w14:paraId="62CE6818" w14:textId="38894E57" w:rsidR="003719CD" w:rsidRPr="00250697" w:rsidRDefault="003719CD" w:rsidP="00310F12">
      <w:pPr>
        <w:pStyle w:val="ListBullet"/>
        <w:rPr>
          <w:rStyle w:val="Guidance"/>
        </w:rPr>
      </w:pPr>
      <w:r w:rsidRPr="00250697">
        <w:rPr>
          <w:rStyle w:val="Guidance"/>
        </w:rPr>
        <w:t>the carrying amount at the beginning and end of the period</w:t>
      </w:r>
    </w:p>
    <w:p w14:paraId="237C4F77" w14:textId="3CD59C08" w:rsidR="003719CD" w:rsidRPr="00250697" w:rsidRDefault="003719CD" w:rsidP="00310F12">
      <w:pPr>
        <w:pStyle w:val="ListBullet"/>
        <w:rPr>
          <w:rStyle w:val="Guidance"/>
        </w:rPr>
      </w:pPr>
      <w:r w:rsidRPr="00250697">
        <w:rPr>
          <w:rStyle w:val="Guidance"/>
        </w:rPr>
        <w:t>additional provisions made in the period, including increases to existing provision</w:t>
      </w:r>
      <w:r w:rsidR="002F6CCD">
        <w:rPr>
          <w:rStyle w:val="Guidance"/>
        </w:rPr>
        <w:t>s</w:t>
      </w:r>
    </w:p>
    <w:p w14:paraId="73014D89" w14:textId="69CFA663" w:rsidR="003719CD" w:rsidRPr="00250697" w:rsidRDefault="003719CD" w:rsidP="00310F12">
      <w:pPr>
        <w:pStyle w:val="ListBullet"/>
        <w:rPr>
          <w:rStyle w:val="Guidance"/>
        </w:rPr>
      </w:pPr>
      <w:r w:rsidRPr="00250697">
        <w:rPr>
          <w:rStyle w:val="Guidance"/>
        </w:rPr>
        <w:t>amounts used (that is, incurred and charged against the provision) during the period</w:t>
      </w:r>
    </w:p>
    <w:p w14:paraId="140881A6" w14:textId="5E2F08BE" w:rsidR="003719CD" w:rsidRPr="00250697" w:rsidRDefault="003719CD" w:rsidP="00310F12">
      <w:pPr>
        <w:pStyle w:val="ListBullet"/>
        <w:rPr>
          <w:rStyle w:val="Guidance"/>
        </w:rPr>
      </w:pPr>
      <w:r w:rsidRPr="00250697">
        <w:rPr>
          <w:rStyle w:val="Guidance"/>
        </w:rPr>
        <w:t>unused amounts reversed during the period</w:t>
      </w:r>
    </w:p>
    <w:p w14:paraId="256280F8" w14:textId="77777777" w:rsidR="003719CD" w:rsidRPr="00250697" w:rsidRDefault="003719CD" w:rsidP="00310F12">
      <w:pPr>
        <w:pStyle w:val="ListBullet"/>
        <w:rPr>
          <w:rStyle w:val="Guidance"/>
        </w:rPr>
      </w:pPr>
      <w:r w:rsidRPr="00250697">
        <w:rPr>
          <w:rStyle w:val="Guidance"/>
        </w:rPr>
        <w:t>the increase during the period in the discounted amount arising from the passage of time and the effect of any change in the discount rate.</w:t>
      </w:r>
    </w:p>
    <w:p w14:paraId="4EFA5E65" w14:textId="77777777" w:rsidR="003719CD" w:rsidRPr="00250697" w:rsidRDefault="003719CD" w:rsidP="007D536F">
      <w:pPr>
        <w:rPr>
          <w:rStyle w:val="Guidance"/>
        </w:rPr>
      </w:pPr>
      <w:r w:rsidRPr="00250697">
        <w:rPr>
          <w:rStyle w:val="Guidance"/>
        </w:rPr>
        <w:t>Comparative information is not required.</w:t>
      </w:r>
    </w:p>
    <w:p w14:paraId="76041A49" w14:textId="77777777" w:rsidR="003719CD" w:rsidRPr="00250697" w:rsidRDefault="003719CD" w:rsidP="007D536F">
      <w:pPr>
        <w:rPr>
          <w:rStyle w:val="Guidance"/>
        </w:rPr>
      </w:pPr>
      <w:r w:rsidRPr="00250697">
        <w:rPr>
          <w:rStyle w:val="Guidance"/>
        </w:rPr>
        <w:t>An entity shall disclose the following for each class of provision:</w:t>
      </w:r>
    </w:p>
    <w:p w14:paraId="16715B4F" w14:textId="4D6F46A0" w:rsidR="003719CD" w:rsidRPr="00250697" w:rsidRDefault="003719CD" w:rsidP="00310F12">
      <w:pPr>
        <w:pStyle w:val="ListBullet"/>
        <w:rPr>
          <w:rStyle w:val="Guidance"/>
        </w:rPr>
      </w:pPr>
      <w:r w:rsidRPr="00250697">
        <w:rPr>
          <w:rStyle w:val="Guidance"/>
        </w:rPr>
        <w:t>a brief description of the nature of the obligation and the expected timing of any resulting outflows of economic benefits</w:t>
      </w:r>
    </w:p>
    <w:p w14:paraId="15C891AF" w14:textId="77777777" w:rsidR="003719CD" w:rsidRPr="00250697" w:rsidRDefault="003719CD" w:rsidP="00310F12">
      <w:pPr>
        <w:pStyle w:val="ListBullet"/>
        <w:rPr>
          <w:rStyle w:val="Guidance"/>
        </w:rPr>
      </w:pPr>
      <w:r w:rsidRPr="00250697">
        <w:rPr>
          <w:rStyle w:val="Guidance"/>
        </w:rPr>
        <w:t xml:space="preserve">an indication of the uncertainties about the amount or timing of those outflows. Where necessary to provide adequate information, an entity shall disclose the major assumptions made concerning future events. </w:t>
      </w:r>
    </w:p>
    <w:p w14:paraId="4A89B1F4" w14:textId="40F54DA7" w:rsidR="003719CD" w:rsidRPr="00250697" w:rsidRDefault="003719CD" w:rsidP="007D536F">
      <w:pPr>
        <w:rPr>
          <w:rStyle w:val="Guidance"/>
        </w:rPr>
      </w:pPr>
      <w:r w:rsidRPr="00250697">
        <w:rPr>
          <w:rStyle w:val="Guidance"/>
          <w:b/>
          <w:bCs/>
        </w:rPr>
        <w:t>Reimbursements</w:t>
      </w:r>
      <w:r w:rsidRPr="00250697">
        <w:rPr>
          <w:rStyle w:val="Guidance"/>
        </w:rPr>
        <w:t xml:space="preserve">: </w:t>
      </w:r>
      <w:r w:rsidR="007667F2">
        <w:rPr>
          <w:rStyle w:val="Guidance"/>
        </w:rPr>
        <w:t>I</w:t>
      </w:r>
      <w:r w:rsidRPr="00250697">
        <w:rPr>
          <w:rStyle w:val="Guidance"/>
        </w:rPr>
        <w:t>n respect of each class of provision</w:t>
      </w:r>
      <w:r w:rsidR="002F6CCD">
        <w:rPr>
          <w:rStyle w:val="Guidance"/>
        </w:rPr>
        <w:t>,</w:t>
      </w:r>
      <w:r w:rsidRPr="00250697">
        <w:rPr>
          <w:rStyle w:val="Guidance"/>
        </w:rPr>
        <w:t xml:space="preserve"> the financial statements must disclose the amount of any related reimbursement, stating the amount of any asset recognised for that expected reimbursement. </w:t>
      </w:r>
      <w:r w:rsidRPr="00250697">
        <w:rPr>
          <w:rStyle w:val="Reference"/>
        </w:rPr>
        <w:t>[AASB 137.85(c)]</w:t>
      </w:r>
    </w:p>
    <w:p w14:paraId="1F7CAD24" w14:textId="1DB0DE3B" w:rsidR="003719CD" w:rsidRPr="00250697" w:rsidRDefault="003719CD" w:rsidP="007D536F">
      <w:pPr>
        <w:rPr>
          <w:rStyle w:val="Guidance"/>
        </w:rPr>
      </w:pPr>
      <w:r w:rsidRPr="00250697">
        <w:rPr>
          <w:rStyle w:val="Guidance"/>
          <w:b/>
          <w:bCs/>
        </w:rPr>
        <w:t>Exemptions</w:t>
      </w:r>
      <w:r w:rsidRPr="00250697">
        <w:rPr>
          <w:rStyle w:val="Guidance"/>
        </w:rPr>
        <w:t xml:space="preserve">: </w:t>
      </w:r>
      <w:r w:rsidR="007667F2">
        <w:rPr>
          <w:rStyle w:val="Guidance"/>
        </w:rPr>
        <w:t>I</w:t>
      </w:r>
      <w:r w:rsidRPr="00250697">
        <w:rPr>
          <w:rStyle w:val="Guidance"/>
        </w:rPr>
        <w:t>n extremely rare cases, disclosure of some or all of the information required by AASB 137 can be expected to prejudice seriously the position of the entity in a dispute with other parties on the subject matter of the provision. In such cases, an entity need not disclose the information, but shall disclose the general nature of the dispute, together with the fact that, and reason why, the information has not been disclosed.</w:t>
      </w:r>
    </w:p>
    <w:p w14:paraId="0D0B0D35" w14:textId="77777777" w:rsidR="003719CD" w:rsidRPr="00250697" w:rsidRDefault="003719CD" w:rsidP="007D536F">
      <w:pPr>
        <w:rPr>
          <w:rStyle w:val="Guidance"/>
        </w:rPr>
      </w:pPr>
      <w:r w:rsidRPr="00250697">
        <w:rPr>
          <w:rStyle w:val="Guidance"/>
        </w:rPr>
        <w:t xml:space="preserve">Regardless of how sensitive certain information about provisions may be, this exemption from disclosure does not affect the requirement to recognise provisions that satisfy the criteria for recognition set out in AASB 137. </w:t>
      </w:r>
      <w:r w:rsidRPr="00250697">
        <w:rPr>
          <w:rStyle w:val="Reference"/>
        </w:rPr>
        <w:t>[AASB 137.92]</w:t>
      </w:r>
    </w:p>
    <w:p w14:paraId="7C065688" w14:textId="254A39C1" w:rsidR="003719CD" w:rsidRPr="00250697" w:rsidRDefault="003719CD" w:rsidP="007D536F">
      <w:pPr>
        <w:rPr>
          <w:rStyle w:val="Guidance"/>
        </w:rPr>
      </w:pPr>
      <w:r w:rsidRPr="00250697">
        <w:rPr>
          <w:rStyle w:val="Guidance"/>
          <w:b/>
          <w:bCs/>
        </w:rPr>
        <w:t>Contingent liabilities</w:t>
      </w:r>
      <w:r w:rsidRPr="00250697">
        <w:rPr>
          <w:rStyle w:val="Guidance"/>
        </w:rPr>
        <w:t xml:space="preserve"> </w:t>
      </w:r>
      <w:r w:rsidRPr="00250697">
        <w:rPr>
          <w:rStyle w:val="Reference"/>
        </w:rPr>
        <w:t>[AASB 137.88]</w:t>
      </w:r>
      <w:r w:rsidRPr="00250697">
        <w:rPr>
          <w:rStyle w:val="Guidance"/>
        </w:rPr>
        <w:t xml:space="preserve">: </w:t>
      </w:r>
      <w:r w:rsidR="007667F2">
        <w:rPr>
          <w:rStyle w:val="Guidance"/>
        </w:rPr>
        <w:t>W</w:t>
      </w:r>
      <w:r w:rsidRPr="00250697">
        <w:rPr>
          <w:rStyle w:val="Guidance"/>
        </w:rPr>
        <w:t>here a provision and a contingent liability arise from the same set of circumstances, the disclosures in the financial statements should be made in a way that shows the link between the provision and the contingent liability.</w:t>
      </w:r>
    </w:p>
    <w:p w14:paraId="1A32AD06" w14:textId="68FBDF59" w:rsidR="003719CD" w:rsidRDefault="003719CD" w:rsidP="007D536F">
      <w:pPr>
        <w:pStyle w:val="GuidanceEnd"/>
      </w:pPr>
    </w:p>
    <w:p w14:paraId="1E40D468" w14:textId="77777777" w:rsidR="00E43051" w:rsidRDefault="00E43051" w:rsidP="00E43051">
      <w:pPr>
        <w:sectPr w:rsidR="00E43051" w:rsidSect="006E0E99">
          <w:type w:val="continuous"/>
          <w:pgSz w:w="11906" w:h="16838" w:code="9"/>
          <w:pgMar w:top="1134" w:right="1134" w:bottom="1134" w:left="1134" w:header="624" w:footer="567" w:gutter="0"/>
          <w:cols w:space="708"/>
          <w:titlePg/>
          <w:docGrid w:linePitch="360"/>
        </w:sectPr>
      </w:pPr>
    </w:p>
    <w:bookmarkEnd w:id="76"/>
    <w:p w14:paraId="040FD488" w14:textId="3FDE646A" w:rsidR="003719CD" w:rsidRDefault="003719CD" w:rsidP="00A80494">
      <w:pPr>
        <w:pStyle w:val="Heading1numbered"/>
        <w:sectPr w:rsidR="003719CD" w:rsidSect="006E0E99">
          <w:footerReference w:type="first" r:id="rId99"/>
          <w:pgSz w:w="11906" w:h="16838" w:code="9"/>
          <w:pgMar w:top="1134" w:right="1134" w:bottom="1134" w:left="1134" w:header="624" w:footer="567" w:gutter="0"/>
          <w:cols w:space="708"/>
          <w:titlePg/>
          <w:docGrid w:linePitch="360"/>
        </w:sectPr>
      </w:pPr>
      <w:r>
        <w:lastRenderedPageBreak/>
        <w:t>HOW WE FINANCED OUR OPERATIONS</w:t>
      </w:r>
    </w:p>
    <w:p w14:paraId="6E5921B9" w14:textId="77777777" w:rsidR="003719CD" w:rsidRDefault="003719CD" w:rsidP="007D536F">
      <w:pPr>
        <w:pStyle w:val="Heading3"/>
      </w:pPr>
      <w:r>
        <w:t>Introduction</w:t>
      </w:r>
    </w:p>
    <w:p w14:paraId="6C6F9883" w14:textId="77777777" w:rsidR="003719CD" w:rsidRDefault="003719CD" w:rsidP="00DC39DE">
      <w:r>
        <w:t xml:space="preserve">This section provides information on the sources of finance utilised by the Department during its operations, along with interest expenses (the cost of borrowings) and other information related to financing activities of the Department. </w:t>
      </w:r>
    </w:p>
    <w:p w14:paraId="103ABF6C" w14:textId="77777777" w:rsidR="003719CD" w:rsidRDefault="003719CD" w:rsidP="00DC39DE">
      <w:r>
        <w:t>This section includes disclosures of balances that are financial instruments (such as borrowings and cash balances). Notes 8.1 and 8.3 provide additional, specific financial instrument disclosures.</w:t>
      </w:r>
    </w:p>
    <w:p w14:paraId="38CE4004" w14:textId="77777777" w:rsidR="003719CD" w:rsidRDefault="003719CD" w:rsidP="007D536F">
      <w:pPr>
        <w:pStyle w:val="Heading3"/>
      </w:pPr>
      <w:r>
        <w:br w:type="column"/>
      </w:r>
      <w:r>
        <w:t>Structure</w:t>
      </w:r>
    </w:p>
    <w:p w14:paraId="7DFE065E" w14:textId="4A774BAF" w:rsidR="00D42903"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_7</w:instrText>
      </w:r>
      <w:r w:rsidRPr="00940E38">
        <w:instrText xml:space="preserve"> \* MERGEFORMAT </w:instrText>
      </w:r>
      <w:r w:rsidRPr="00940E38">
        <w:fldChar w:fldCharType="separate"/>
      </w:r>
      <w:hyperlink w:anchor="_Toc96704974" w:history="1">
        <w:r w:rsidR="00D42903" w:rsidRPr="00C25E65">
          <w:rPr>
            <w:rStyle w:val="Hyperlink"/>
            <w:noProof/>
          </w:rPr>
          <w:t>7.1</w:t>
        </w:r>
        <w:r w:rsidR="00D42903">
          <w:rPr>
            <w:noProof/>
            <w:sz w:val="22"/>
          </w:rPr>
          <w:tab/>
        </w:r>
        <w:r w:rsidR="00D42903" w:rsidRPr="00C25E65">
          <w:rPr>
            <w:rStyle w:val="Hyperlink"/>
            <w:noProof/>
          </w:rPr>
          <w:t>Borrowings</w:t>
        </w:r>
        <w:r w:rsidR="00D42903">
          <w:rPr>
            <w:noProof/>
            <w:webHidden/>
          </w:rPr>
          <w:tab/>
        </w:r>
        <w:r w:rsidR="00D42903">
          <w:rPr>
            <w:noProof/>
            <w:webHidden/>
          </w:rPr>
          <w:fldChar w:fldCharType="begin"/>
        </w:r>
        <w:r w:rsidR="00D42903">
          <w:rPr>
            <w:noProof/>
            <w:webHidden/>
          </w:rPr>
          <w:instrText xml:space="preserve"> PAGEREF _Toc96704974 \h </w:instrText>
        </w:r>
        <w:r w:rsidR="00D42903">
          <w:rPr>
            <w:noProof/>
            <w:webHidden/>
          </w:rPr>
        </w:r>
        <w:r w:rsidR="00D42903">
          <w:rPr>
            <w:noProof/>
            <w:webHidden/>
          </w:rPr>
          <w:fldChar w:fldCharType="separate"/>
        </w:r>
        <w:r w:rsidR="00D26320">
          <w:rPr>
            <w:noProof/>
            <w:webHidden/>
          </w:rPr>
          <w:t>91</w:t>
        </w:r>
        <w:r w:rsidR="00D42903">
          <w:rPr>
            <w:noProof/>
            <w:webHidden/>
          </w:rPr>
          <w:fldChar w:fldCharType="end"/>
        </w:r>
      </w:hyperlink>
    </w:p>
    <w:p w14:paraId="15473DAF" w14:textId="4468BB56" w:rsidR="00D42903" w:rsidRDefault="00D42903" w:rsidP="00C70938">
      <w:pPr>
        <w:pStyle w:val="TOC9"/>
        <w:rPr>
          <w:noProof/>
          <w:sz w:val="22"/>
        </w:rPr>
      </w:pPr>
      <w:hyperlink w:anchor="_Toc96704975" w:history="1">
        <w:r w:rsidRPr="00C25E65">
          <w:rPr>
            <w:rStyle w:val="Hyperlink"/>
            <w:noProof/>
          </w:rPr>
          <w:t>7.2</w:t>
        </w:r>
        <w:r>
          <w:rPr>
            <w:noProof/>
            <w:sz w:val="22"/>
          </w:rPr>
          <w:tab/>
        </w:r>
        <w:r w:rsidRPr="00C25E65">
          <w:rPr>
            <w:rStyle w:val="Hyperlink"/>
            <w:noProof/>
          </w:rPr>
          <w:t>Leases</w:t>
        </w:r>
        <w:r>
          <w:rPr>
            <w:noProof/>
            <w:webHidden/>
          </w:rPr>
          <w:tab/>
        </w:r>
        <w:r>
          <w:rPr>
            <w:noProof/>
            <w:webHidden/>
          </w:rPr>
          <w:fldChar w:fldCharType="begin"/>
        </w:r>
        <w:r>
          <w:rPr>
            <w:noProof/>
            <w:webHidden/>
          </w:rPr>
          <w:instrText xml:space="preserve"> PAGEREF _Toc96704975 \h </w:instrText>
        </w:r>
        <w:r>
          <w:rPr>
            <w:noProof/>
            <w:webHidden/>
          </w:rPr>
        </w:r>
        <w:r>
          <w:rPr>
            <w:noProof/>
            <w:webHidden/>
          </w:rPr>
          <w:fldChar w:fldCharType="separate"/>
        </w:r>
        <w:r w:rsidR="00D26320">
          <w:rPr>
            <w:noProof/>
            <w:webHidden/>
          </w:rPr>
          <w:t>93</w:t>
        </w:r>
        <w:r>
          <w:rPr>
            <w:noProof/>
            <w:webHidden/>
          </w:rPr>
          <w:fldChar w:fldCharType="end"/>
        </w:r>
      </w:hyperlink>
    </w:p>
    <w:p w14:paraId="69162E06" w14:textId="50998C21" w:rsidR="00D42903" w:rsidRDefault="00D42903" w:rsidP="00C70938">
      <w:pPr>
        <w:pStyle w:val="TOC9"/>
        <w:rPr>
          <w:noProof/>
          <w:sz w:val="22"/>
        </w:rPr>
      </w:pPr>
      <w:hyperlink w:anchor="_Toc96704976" w:history="1">
        <w:r w:rsidRPr="00C25E65">
          <w:rPr>
            <w:rStyle w:val="Hyperlink"/>
            <w:noProof/>
          </w:rPr>
          <w:t>7.3</w:t>
        </w:r>
        <w:r>
          <w:rPr>
            <w:noProof/>
            <w:sz w:val="22"/>
          </w:rPr>
          <w:tab/>
        </w:r>
        <w:r w:rsidRPr="00C25E65">
          <w:rPr>
            <w:rStyle w:val="Hyperlink"/>
            <w:noProof/>
          </w:rPr>
          <w:t>Cash flow information and balances</w:t>
        </w:r>
        <w:r>
          <w:rPr>
            <w:noProof/>
            <w:webHidden/>
          </w:rPr>
          <w:tab/>
        </w:r>
        <w:r>
          <w:rPr>
            <w:noProof/>
            <w:webHidden/>
          </w:rPr>
          <w:fldChar w:fldCharType="begin"/>
        </w:r>
        <w:r>
          <w:rPr>
            <w:noProof/>
            <w:webHidden/>
          </w:rPr>
          <w:instrText xml:space="preserve"> PAGEREF _Toc96704976 \h </w:instrText>
        </w:r>
        <w:r>
          <w:rPr>
            <w:noProof/>
            <w:webHidden/>
          </w:rPr>
        </w:r>
        <w:r>
          <w:rPr>
            <w:noProof/>
            <w:webHidden/>
          </w:rPr>
          <w:fldChar w:fldCharType="separate"/>
        </w:r>
        <w:r w:rsidR="00D26320">
          <w:rPr>
            <w:noProof/>
            <w:webHidden/>
          </w:rPr>
          <w:t>98</w:t>
        </w:r>
        <w:r>
          <w:rPr>
            <w:noProof/>
            <w:webHidden/>
          </w:rPr>
          <w:fldChar w:fldCharType="end"/>
        </w:r>
      </w:hyperlink>
    </w:p>
    <w:p w14:paraId="12F09903" w14:textId="3136E48B" w:rsidR="00D42903" w:rsidRDefault="00D42903" w:rsidP="00C70938">
      <w:pPr>
        <w:pStyle w:val="TOC9"/>
        <w:rPr>
          <w:noProof/>
          <w:sz w:val="22"/>
        </w:rPr>
      </w:pPr>
      <w:hyperlink w:anchor="_Toc96704977" w:history="1">
        <w:r w:rsidRPr="00C25E65">
          <w:rPr>
            <w:rStyle w:val="Hyperlink"/>
            <w:noProof/>
          </w:rPr>
          <w:t>7.4</w:t>
        </w:r>
        <w:r>
          <w:rPr>
            <w:noProof/>
            <w:sz w:val="22"/>
          </w:rPr>
          <w:tab/>
        </w:r>
        <w:r w:rsidRPr="00C25E65">
          <w:rPr>
            <w:rStyle w:val="Hyperlink"/>
            <w:noProof/>
          </w:rPr>
          <w:t>Trust account balances</w:t>
        </w:r>
        <w:r>
          <w:rPr>
            <w:noProof/>
            <w:webHidden/>
          </w:rPr>
          <w:tab/>
        </w:r>
        <w:r>
          <w:rPr>
            <w:noProof/>
            <w:webHidden/>
          </w:rPr>
          <w:fldChar w:fldCharType="begin"/>
        </w:r>
        <w:r>
          <w:rPr>
            <w:noProof/>
            <w:webHidden/>
          </w:rPr>
          <w:instrText xml:space="preserve"> PAGEREF _Toc96704977 \h </w:instrText>
        </w:r>
        <w:r>
          <w:rPr>
            <w:noProof/>
            <w:webHidden/>
          </w:rPr>
        </w:r>
        <w:r>
          <w:rPr>
            <w:noProof/>
            <w:webHidden/>
          </w:rPr>
          <w:fldChar w:fldCharType="separate"/>
        </w:r>
        <w:r w:rsidR="00D26320">
          <w:rPr>
            <w:noProof/>
            <w:webHidden/>
          </w:rPr>
          <w:t>100</w:t>
        </w:r>
        <w:r>
          <w:rPr>
            <w:noProof/>
            <w:webHidden/>
          </w:rPr>
          <w:fldChar w:fldCharType="end"/>
        </w:r>
      </w:hyperlink>
    </w:p>
    <w:p w14:paraId="332AD318" w14:textId="3CDECBAE" w:rsidR="00D42903" w:rsidRDefault="00D42903" w:rsidP="00C70938">
      <w:pPr>
        <w:pStyle w:val="TOC9"/>
        <w:rPr>
          <w:noProof/>
          <w:sz w:val="22"/>
        </w:rPr>
      </w:pPr>
      <w:hyperlink w:anchor="_Toc96704978" w:history="1">
        <w:r w:rsidRPr="00C25E65">
          <w:rPr>
            <w:rStyle w:val="Hyperlink"/>
            <w:noProof/>
          </w:rPr>
          <w:t>7.5</w:t>
        </w:r>
        <w:r>
          <w:rPr>
            <w:noProof/>
            <w:sz w:val="22"/>
          </w:rPr>
          <w:tab/>
        </w:r>
        <w:r w:rsidRPr="00C25E65">
          <w:rPr>
            <w:rStyle w:val="Hyperlink"/>
            <w:noProof/>
          </w:rPr>
          <w:t>Commitments for expenditure</w:t>
        </w:r>
        <w:r>
          <w:rPr>
            <w:noProof/>
            <w:webHidden/>
          </w:rPr>
          <w:tab/>
        </w:r>
        <w:r>
          <w:rPr>
            <w:noProof/>
            <w:webHidden/>
          </w:rPr>
          <w:fldChar w:fldCharType="begin"/>
        </w:r>
        <w:r>
          <w:rPr>
            <w:noProof/>
            <w:webHidden/>
          </w:rPr>
          <w:instrText xml:space="preserve"> PAGEREF _Toc96704978 \h </w:instrText>
        </w:r>
        <w:r>
          <w:rPr>
            <w:noProof/>
            <w:webHidden/>
          </w:rPr>
        </w:r>
        <w:r>
          <w:rPr>
            <w:noProof/>
            <w:webHidden/>
          </w:rPr>
          <w:fldChar w:fldCharType="separate"/>
        </w:r>
        <w:r w:rsidR="00D26320">
          <w:rPr>
            <w:noProof/>
            <w:webHidden/>
          </w:rPr>
          <w:t>103</w:t>
        </w:r>
        <w:r>
          <w:rPr>
            <w:noProof/>
            <w:webHidden/>
          </w:rPr>
          <w:fldChar w:fldCharType="end"/>
        </w:r>
      </w:hyperlink>
    </w:p>
    <w:p w14:paraId="0CF112BE" w14:textId="7CEACC58" w:rsidR="00D42903" w:rsidRDefault="00D42903" w:rsidP="00C70938">
      <w:pPr>
        <w:pStyle w:val="TOC9"/>
        <w:rPr>
          <w:noProof/>
          <w:sz w:val="22"/>
        </w:rPr>
      </w:pPr>
      <w:hyperlink w:anchor="_Toc96704979" w:history="1">
        <w:r w:rsidRPr="00C25E65">
          <w:rPr>
            <w:rStyle w:val="Hyperlink"/>
            <w:noProof/>
          </w:rPr>
          <w:t>7.6</w:t>
        </w:r>
        <w:r>
          <w:rPr>
            <w:noProof/>
            <w:sz w:val="22"/>
          </w:rPr>
          <w:tab/>
        </w:r>
        <w:r w:rsidRPr="00C25E65">
          <w:rPr>
            <w:rStyle w:val="Hyperlink"/>
            <w:noProof/>
          </w:rPr>
          <w:t>Assets pledged as security</w:t>
        </w:r>
        <w:r>
          <w:rPr>
            <w:noProof/>
            <w:webHidden/>
          </w:rPr>
          <w:tab/>
        </w:r>
        <w:r>
          <w:rPr>
            <w:noProof/>
            <w:webHidden/>
          </w:rPr>
          <w:fldChar w:fldCharType="begin"/>
        </w:r>
        <w:r>
          <w:rPr>
            <w:noProof/>
            <w:webHidden/>
          </w:rPr>
          <w:instrText xml:space="preserve"> PAGEREF _Toc96704979 \h </w:instrText>
        </w:r>
        <w:r>
          <w:rPr>
            <w:noProof/>
            <w:webHidden/>
          </w:rPr>
        </w:r>
        <w:r>
          <w:rPr>
            <w:noProof/>
            <w:webHidden/>
          </w:rPr>
          <w:fldChar w:fldCharType="separate"/>
        </w:r>
        <w:r w:rsidR="00D26320">
          <w:rPr>
            <w:noProof/>
            <w:webHidden/>
          </w:rPr>
          <w:t>109</w:t>
        </w:r>
        <w:r>
          <w:rPr>
            <w:noProof/>
            <w:webHidden/>
          </w:rPr>
          <w:fldChar w:fldCharType="end"/>
        </w:r>
      </w:hyperlink>
    </w:p>
    <w:p w14:paraId="62B7B92E" w14:textId="1768C064" w:rsidR="003719CD" w:rsidRDefault="003719CD" w:rsidP="00DC39DE">
      <w:r w:rsidRPr="00940E38">
        <w:fldChar w:fldCharType="end"/>
      </w:r>
    </w:p>
    <w:p w14:paraId="3D47F340"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0C4BBA6A" w14:textId="6966E6AB" w:rsidR="003719CD" w:rsidRDefault="003719CD" w:rsidP="00A80494">
      <w:pPr>
        <w:pStyle w:val="Heading2numbered"/>
      </w:pPr>
      <w:bookmarkStart w:id="93" w:name="_Toc96704974"/>
      <w:bookmarkStart w:id="94" w:name="_Toc130225983"/>
      <w:bookmarkStart w:id="95" w:name="_Toc64983167"/>
      <w:bookmarkStart w:id="96" w:name="Section_7"/>
      <w:r>
        <w:t>Borrowings</w:t>
      </w:r>
      <w:bookmarkEnd w:id="93"/>
      <w:bookmarkEnd w:id="94"/>
      <w:bookmarkEnd w:id="95"/>
    </w:p>
    <w:p w14:paraId="503B380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418"/>
        <w:gridCol w:w="6489"/>
        <w:gridCol w:w="866"/>
        <w:gridCol w:w="866"/>
      </w:tblGrid>
      <w:tr w:rsidR="00C7556D" w14:paraId="3D3B38C2" w14:textId="77777777" w:rsidTr="0018172B">
        <w:trPr>
          <w:cnfStyle w:val="100000000000" w:firstRow="1" w:lastRow="0" w:firstColumn="0" w:lastColumn="0" w:oddVBand="0" w:evenVBand="0" w:oddHBand="0" w:evenHBand="0" w:firstRowFirstColumn="0" w:firstRowLastColumn="0" w:lastRowFirstColumn="0" w:lastRowLastColumn="0"/>
          <w:tblHeader/>
        </w:trPr>
        <w:tc>
          <w:tcPr>
            <w:tcW w:w="1418" w:type="dxa"/>
            <w:tcBorders>
              <w:top w:val="nil"/>
              <w:bottom w:val="nil"/>
            </w:tcBorders>
            <w:shd w:val="clear" w:color="auto" w:fill="FFFFFF" w:themeFill="background1"/>
          </w:tcPr>
          <w:p w14:paraId="0A689B97" w14:textId="77777777" w:rsidR="00C7556D" w:rsidRDefault="00C7556D" w:rsidP="00C7556D">
            <w:pPr>
              <w:keepNext/>
              <w:jc w:val="left"/>
            </w:pPr>
            <w:r>
              <w:rPr>
                <w:color w:val="4472C4"/>
                <w:sz w:val="13"/>
              </w:rPr>
              <w:t>Source reference</w:t>
            </w:r>
          </w:p>
        </w:tc>
        <w:tc>
          <w:tcPr>
            <w:tcW w:w="6489" w:type="dxa"/>
          </w:tcPr>
          <w:p w14:paraId="6A25B0D1" w14:textId="77777777" w:rsidR="00C7556D" w:rsidRDefault="00C7556D" w:rsidP="00C7556D">
            <w:pPr>
              <w:keepNext/>
              <w:jc w:val="left"/>
            </w:pPr>
          </w:p>
        </w:tc>
        <w:tc>
          <w:tcPr>
            <w:tcW w:w="866" w:type="dxa"/>
          </w:tcPr>
          <w:p w14:paraId="42FD2E46" w14:textId="49B2A69B" w:rsidR="00C7556D" w:rsidRPr="00C7556D" w:rsidRDefault="00C7556D" w:rsidP="00C7556D">
            <w:pPr>
              <w:keepNext/>
              <w:rPr>
                <w:iCs/>
              </w:rPr>
            </w:pPr>
            <w:r w:rsidRPr="00C7556D">
              <w:rPr>
                <w:iCs/>
              </w:rPr>
              <w:fldChar w:fldCharType="begin"/>
            </w:r>
            <w:r w:rsidRPr="00C7556D">
              <w:rPr>
                <w:bCs w:val="0"/>
                <w:iCs/>
              </w:rPr>
              <w:instrText>DOCPROPERTY  YearCurrent \* MERGEFORMAT</w:instrText>
            </w:r>
            <w:r w:rsidRPr="00C7556D">
              <w:rPr>
                <w:iCs/>
              </w:rPr>
              <w:fldChar w:fldCharType="separate"/>
            </w:r>
            <w:r w:rsidRPr="00C7556D">
              <w:rPr>
                <w:bCs w:val="0"/>
                <w:iCs/>
              </w:rPr>
              <w:t>20X2</w:t>
            </w:r>
            <w:r w:rsidRPr="00C7556D">
              <w:rPr>
                <w:iCs/>
              </w:rPr>
              <w:fldChar w:fldCharType="end"/>
            </w:r>
          </w:p>
        </w:tc>
        <w:tc>
          <w:tcPr>
            <w:tcW w:w="866" w:type="dxa"/>
          </w:tcPr>
          <w:p w14:paraId="05E4FFEF" w14:textId="6EDE1321" w:rsidR="00C7556D" w:rsidRPr="00C7556D" w:rsidRDefault="00C7556D" w:rsidP="00C7556D">
            <w:pPr>
              <w:keepNext/>
              <w:rPr>
                <w:iCs/>
              </w:rPr>
            </w:pPr>
            <w:r w:rsidRPr="00C7556D">
              <w:rPr>
                <w:iCs/>
              </w:rPr>
              <w:fldChar w:fldCharType="begin"/>
            </w:r>
            <w:r w:rsidRPr="00C7556D">
              <w:rPr>
                <w:bCs w:val="0"/>
                <w:iCs/>
              </w:rPr>
              <w:instrText>DOCPROPERTY  YearPrevious  \* MERGEFORMAT</w:instrText>
            </w:r>
            <w:r w:rsidRPr="00C7556D">
              <w:rPr>
                <w:iCs/>
              </w:rPr>
              <w:fldChar w:fldCharType="separate"/>
            </w:r>
            <w:r w:rsidRPr="00C7556D">
              <w:rPr>
                <w:bCs w:val="0"/>
                <w:iCs/>
              </w:rPr>
              <w:t>20X1</w:t>
            </w:r>
            <w:r w:rsidRPr="00C7556D">
              <w:rPr>
                <w:iCs/>
              </w:rPr>
              <w:fldChar w:fldCharType="end"/>
            </w:r>
          </w:p>
        </w:tc>
      </w:tr>
      <w:tr w:rsidR="00182709" w14:paraId="2664C87E" w14:textId="77777777" w:rsidTr="0018172B">
        <w:tc>
          <w:tcPr>
            <w:tcW w:w="1418" w:type="dxa"/>
          </w:tcPr>
          <w:p w14:paraId="23FD4883" w14:textId="77777777" w:rsidR="00182709" w:rsidRDefault="0044097C">
            <w:pPr>
              <w:jc w:val="left"/>
            </w:pPr>
            <w:r>
              <w:rPr>
                <w:color w:val="4472C4"/>
                <w:sz w:val="13"/>
              </w:rPr>
              <w:t>AASB 101.61</w:t>
            </w:r>
          </w:p>
        </w:tc>
        <w:tc>
          <w:tcPr>
            <w:tcW w:w="6489" w:type="dxa"/>
          </w:tcPr>
          <w:p w14:paraId="46D3A1DB" w14:textId="77777777" w:rsidR="00182709" w:rsidRDefault="0044097C">
            <w:pPr>
              <w:jc w:val="left"/>
            </w:pPr>
            <w:r>
              <w:rPr>
                <w:b/>
              </w:rPr>
              <w:t>Current borrowings</w:t>
            </w:r>
          </w:p>
        </w:tc>
        <w:tc>
          <w:tcPr>
            <w:tcW w:w="866" w:type="dxa"/>
          </w:tcPr>
          <w:p w14:paraId="3FF52759" w14:textId="77777777" w:rsidR="00182709" w:rsidRDefault="00182709"/>
        </w:tc>
        <w:tc>
          <w:tcPr>
            <w:tcW w:w="866" w:type="dxa"/>
          </w:tcPr>
          <w:p w14:paraId="3AF3648A" w14:textId="77777777" w:rsidR="00182709" w:rsidRDefault="00182709"/>
        </w:tc>
      </w:tr>
      <w:tr w:rsidR="00182709" w14:paraId="2EA882DA" w14:textId="77777777" w:rsidTr="0018172B">
        <w:tc>
          <w:tcPr>
            <w:tcW w:w="1418" w:type="dxa"/>
          </w:tcPr>
          <w:p w14:paraId="036C52C2" w14:textId="77777777" w:rsidR="00182709" w:rsidRDefault="00182709">
            <w:pPr>
              <w:jc w:val="left"/>
            </w:pPr>
          </w:p>
        </w:tc>
        <w:tc>
          <w:tcPr>
            <w:tcW w:w="6489" w:type="dxa"/>
          </w:tcPr>
          <w:p w14:paraId="6DAF8CCE" w14:textId="77777777" w:rsidR="00182709" w:rsidRDefault="0044097C">
            <w:pPr>
              <w:jc w:val="left"/>
            </w:pPr>
            <w:r>
              <w:t>Bank overdrafts</w:t>
            </w:r>
          </w:p>
        </w:tc>
        <w:tc>
          <w:tcPr>
            <w:tcW w:w="866" w:type="dxa"/>
          </w:tcPr>
          <w:p w14:paraId="02B99AC0" w14:textId="77777777" w:rsidR="00182709" w:rsidRDefault="0044097C">
            <w:r>
              <w:t>..</w:t>
            </w:r>
          </w:p>
        </w:tc>
        <w:tc>
          <w:tcPr>
            <w:tcW w:w="866" w:type="dxa"/>
          </w:tcPr>
          <w:p w14:paraId="2572580C" w14:textId="77777777" w:rsidR="00182709" w:rsidRDefault="0044097C">
            <w:r>
              <w:t>5 437</w:t>
            </w:r>
          </w:p>
        </w:tc>
      </w:tr>
      <w:tr w:rsidR="00182709" w14:paraId="1662BFA7" w14:textId="77777777" w:rsidTr="0018172B">
        <w:tc>
          <w:tcPr>
            <w:tcW w:w="1418" w:type="dxa"/>
          </w:tcPr>
          <w:p w14:paraId="11B0C269" w14:textId="77777777" w:rsidR="00182709" w:rsidRDefault="00182709">
            <w:pPr>
              <w:jc w:val="left"/>
            </w:pPr>
          </w:p>
        </w:tc>
        <w:tc>
          <w:tcPr>
            <w:tcW w:w="6489" w:type="dxa"/>
          </w:tcPr>
          <w:p w14:paraId="451EE81F" w14:textId="77777777" w:rsidR="00182709" w:rsidRDefault="0044097C">
            <w:pPr>
              <w:jc w:val="left"/>
            </w:pPr>
            <w:r>
              <w:t>Lease liabilities</w:t>
            </w:r>
            <w:r>
              <w:rPr>
                <w:vertAlign w:val="superscript"/>
              </w:rPr>
              <w:t xml:space="preserve"> (a)</w:t>
            </w:r>
          </w:p>
        </w:tc>
        <w:tc>
          <w:tcPr>
            <w:tcW w:w="866" w:type="dxa"/>
          </w:tcPr>
          <w:p w14:paraId="4DBBCD05" w14:textId="77777777" w:rsidR="00182709" w:rsidRDefault="00182709"/>
        </w:tc>
        <w:tc>
          <w:tcPr>
            <w:tcW w:w="866" w:type="dxa"/>
          </w:tcPr>
          <w:p w14:paraId="38B517E7" w14:textId="77777777" w:rsidR="00182709" w:rsidRDefault="00182709"/>
        </w:tc>
      </w:tr>
      <w:tr w:rsidR="00182709" w14:paraId="0D9EE578" w14:textId="77777777" w:rsidTr="0018172B">
        <w:tc>
          <w:tcPr>
            <w:tcW w:w="1418" w:type="dxa"/>
          </w:tcPr>
          <w:p w14:paraId="655F2F20" w14:textId="47F19AB6" w:rsidR="00182709" w:rsidRDefault="0044097C">
            <w:pPr>
              <w:jc w:val="left"/>
            </w:pPr>
            <w:r>
              <w:rPr>
                <w:color w:val="4472C4"/>
                <w:sz w:val="13"/>
              </w:rPr>
              <w:t xml:space="preserve">Recommendation 12, PAEC Report </w:t>
            </w:r>
            <w:r w:rsidR="00CF3215">
              <w:rPr>
                <w:color w:val="4472C4"/>
                <w:sz w:val="13"/>
              </w:rPr>
              <w:t>on the 2011-12 Financial and Performance O</w:t>
            </w:r>
            <w:r w:rsidR="007343D7">
              <w:rPr>
                <w:color w:val="4472C4"/>
                <w:sz w:val="13"/>
              </w:rPr>
              <w:t>u</w:t>
            </w:r>
            <w:r w:rsidR="00CF3215">
              <w:rPr>
                <w:color w:val="4472C4"/>
                <w:sz w:val="13"/>
              </w:rPr>
              <w:t>tcomes</w:t>
            </w:r>
          </w:p>
        </w:tc>
        <w:tc>
          <w:tcPr>
            <w:tcW w:w="6489" w:type="dxa"/>
          </w:tcPr>
          <w:p w14:paraId="0F9FC714" w14:textId="07E5285C" w:rsidR="00182709" w:rsidRDefault="0044097C">
            <w:pPr>
              <w:jc w:val="left"/>
            </w:pPr>
            <w:r>
              <w:t>Public private partnership (PPP) related lease liabilities</w:t>
            </w:r>
          </w:p>
        </w:tc>
        <w:tc>
          <w:tcPr>
            <w:tcW w:w="866" w:type="dxa"/>
          </w:tcPr>
          <w:p w14:paraId="7FA505AE" w14:textId="77777777" w:rsidR="00182709" w:rsidRDefault="0044097C">
            <w:r>
              <w:t>2 643</w:t>
            </w:r>
          </w:p>
        </w:tc>
        <w:tc>
          <w:tcPr>
            <w:tcW w:w="866" w:type="dxa"/>
          </w:tcPr>
          <w:p w14:paraId="78D7E5FC" w14:textId="77777777" w:rsidR="00182709" w:rsidRDefault="0044097C">
            <w:r>
              <w:t>6 670</w:t>
            </w:r>
          </w:p>
        </w:tc>
      </w:tr>
      <w:tr w:rsidR="00182709" w14:paraId="24E51136" w14:textId="77777777" w:rsidTr="0018172B">
        <w:tc>
          <w:tcPr>
            <w:tcW w:w="1418" w:type="dxa"/>
          </w:tcPr>
          <w:p w14:paraId="23D5D5E2" w14:textId="77777777" w:rsidR="00182709" w:rsidRDefault="00182709">
            <w:pPr>
              <w:jc w:val="left"/>
            </w:pPr>
          </w:p>
        </w:tc>
        <w:tc>
          <w:tcPr>
            <w:tcW w:w="6489" w:type="dxa"/>
          </w:tcPr>
          <w:p w14:paraId="5D7AF5CC" w14:textId="412673E7" w:rsidR="00182709" w:rsidRDefault="0044097C">
            <w:pPr>
              <w:jc w:val="left"/>
            </w:pPr>
            <w:r>
              <w:t>Non‑PPP related lease liabilities</w:t>
            </w:r>
          </w:p>
        </w:tc>
        <w:tc>
          <w:tcPr>
            <w:tcW w:w="866" w:type="dxa"/>
          </w:tcPr>
          <w:p w14:paraId="513483E0" w14:textId="77777777" w:rsidR="00182709" w:rsidRDefault="0044097C">
            <w:r>
              <w:t>2 603</w:t>
            </w:r>
          </w:p>
        </w:tc>
        <w:tc>
          <w:tcPr>
            <w:tcW w:w="866" w:type="dxa"/>
          </w:tcPr>
          <w:p w14:paraId="66B41060" w14:textId="77777777" w:rsidR="00182709" w:rsidRDefault="0044097C">
            <w:r>
              <w:t>3 576</w:t>
            </w:r>
          </w:p>
        </w:tc>
      </w:tr>
      <w:tr w:rsidR="00182709" w14:paraId="518B451B" w14:textId="77777777" w:rsidTr="0018172B">
        <w:tc>
          <w:tcPr>
            <w:tcW w:w="1418" w:type="dxa"/>
          </w:tcPr>
          <w:p w14:paraId="02D21266" w14:textId="77777777" w:rsidR="00182709" w:rsidRDefault="00182709">
            <w:pPr>
              <w:jc w:val="left"/>
            </w:pPr>
          </w:p>
        </w:tc>
        <w:tc>
          <w:tcPr>
            <w:tcW w:w="6489" w:type="dxa"/>
          </w:tcPr>
          <w:p w14:paraId="501874FF" w14:textId="77777777" w:rsidR="00182709" w:rsidRDefault="0044097C">
            <w:pPr>
              <w:jc w:val="left"/>
            </w:pPr>
            <w:r>
              <w:t>Service concession financial liability</w:t>
            </w:r>
          </w:p>
        </w:tc>
        <w:tc>
          <w:tcPr>
            <w:tcW w:w="866" w:type="dxa"/>
          </w:tcPr>
          <w:p w14:paraId="554D3F57" w14:textId="77777777" w:rsidR="00182709" w:rsidRDefault="0044097C">
            <w:r>
              <w:t>1 000</w:t>
            </w:r>
          </w:p>
        </w:tc>
        <w:tc>
          <w:tcPr>
            <w:tcW w:w="866" w:type="dxa"/>
          </w:tcPr>
          <w:p w14:paraId="0F83E23F" w14:textId="77777777" w:rsidR="00182709" w:rsidRDefault="0044097C">
            <w:r>
              <w:t>1 000</w:t>
            </w:r>
          </w:p>
        </w:tc>
      </w:tr>
      <w:tr w:rsidR="00182709" w14:paraId="113A82AF" w14:textId="77777777" w:rsidTr="0018172B">
        <w:tc>
          <w:tcPr>
            <w:tcW w:w="1418" w:type="dxa"/>
          </w:tcPr>
          <w:p w14:paraId="66E6FBD1" w14:textId="77777777" w:rsidR="00182709" w:rsidRDefault="00182709">
            <w:pPr>
              <w:jc w:val="left"/>
            </w:pPr>
          </w:p>
        </w:tc>
        <w:tc>
          <w:tcPr>
            <w:tcW w:w="6489" w:type="dxa"/>
            <w:tcBorders>
              <w:bottom w:val="single" w:sz="12" w:space="0" w:color="auto"/>
            </w:tcBorders>
          </w:tcPr>
          <w:p w14:paraId="4657670E" w14:textId="77777777" w:rsidR="00182709" w:rsidRDefault="0044097C">
            <w:pPr>
              <w:jc w:val="left"/>
            </w:pPr>
            <w:r>
              <w:t>Advances from government</w:t>
            </w:r>
            <w:r>
              <w:rPr>
                <w:vertAlign w:val="superscript"/>
              </w:rPr>
              <w:t xml:space="preserve"> (b)</w:t>
            </w:r>
          </w:p>
        </w:tc>
        <w:tc>
          <w:tcPr>
            <w:tcW w:w="866" w:type="dxa"/>
            <w:tcBorders>
              <w:bottom w:val="single" w:sz="12" w:space="0" w:color="auto"/>
            </w:tcBorders>
          </w:tcPr>
          <w:p w14:paraId="22194DAB" w14:textId="77777777" w:rsidR="00182709" w:rsidRDefault="0044097C">
            <w:r>
              <w:t>5 118</w:t>
            </w:r>
          </w:p>
        </w:tc>
        <w:tc>
          <w:tcPr>
            <w:tcW w:w="866" w:type="dxa"/>
            <w:tcBorders>
              <w:bottom w:val="single" w:sz="12" w:space="0" w:color="auto"/>
            </w:tcBorders>
          </w:tcPr>
          <w:p w14:paraId="3FC55AD5" w14:textId="77777777" w:rsidR="00182709" w:rsidRDefault="0044097C">
            <w:r>
              <w:t>10 287</w:t>
            </w:r>
          </w:p>
        </w:tc>
      </w:tr>
      <w:tr w:rsidR="00671D55" w14:paraId="65353DB8" w14:textId="77777777" w:rsidTr="0018172B">
        <w:tc>
          <w:tcPr>
            <w:tcW w:w="1418" w:type="dxa"/>
          </w:tcPr>
          <w:p w14:paraId="0CB43D3B" w14:textId="77777777" w:rsidR="00182709" w:rsidRDefault="00182709">
            <w:pPr>
              <w:jc w:val="left"/>
            </w:pPr>
          </w:p>
        </w:tc>
        <w:tc>
          <w:tcPr>
            <w:tcW w:w="6489" w:type="dxa"/>
          </w:tcPr>
          <w:p w14:paraId="799DC91C" w14:textId="77777777" w:rsidR="00182709" w:rsidRDefault="0044097C">
            <w:pPr>
              <w:jc w:val="left"/>
            </w:pPr>
            <w:r>
              <w:rPr>
                <w:b/>
              </w:rPr>
              <w:t>Total current borrowings</w:t>
            </w:r>
          </w:p>
        </w:tc>
        <w:tc>
          <w:tcPr>
            <w:tcW w:w="866" w:type="dxa"/>
          </w:tcPr>
          <w:p w14:paraId="35393EB8" w14:textId="77777777" w:rsidR="00182709" w:rsidRDefault="0044097C">
            <w:r>
              <w:rPr>
                <w:b/>
              </w:rPr>
              <w:t>11 364</w:t>
            </w:r>
          </w:p>
        </w:tc>
        <w:tc>
          <w:tcPr>
            <w:tcW w:w="866" w:type="dxa"/>
          </w:tcPr>
          <w:p w14:paraId="7027E2F2" w14:textId="77777777" w:rsidR="00182709" w:rsidRDefault="0044097C">
            <w:r>
              <w:rPr>
                <w:b/>
              </w:rPr>
              <w:t>26 970</w:t>
            </w:r>
          </w:p>
        </w:tc>
      </w:tr>
      <w:tr w:rsidR="00671D55" w14:paraId="437D0C2C" w14:textId="77777777" w:rsidTr="0018172B">
        <w:tc>
          <w:tcPr>
            <w:tcW w:w="1418" w:type="dxa"/>
          </w:tcPr>
          <w:p w14:paraId="692B6E3C" w14:textId="77777777" w:rsidR="00182709" w:rsidRDefault="0044097C">
            <w:pPr>
              <w:jc w:val="left"/>
            </w:pPr>
            <w:r>
              <w:rPr>
                <w:color w:val="4472C4"/>
                <w:sz w:val="13"/>
              </w:rPr>
              <w:t>AASB 101.61</w:t>
            </w:r>
          </w:p>
        </w:tc>
        <w:tc>
          <w:tcPr>
            <w:tcW w:w="6489" w:type="dxa"/>
          </w:tcPr>
          <w:p w14:paraId="4230E670" w14:textId="77777777" w:rsidR="00182709" w:rsidRDefault="0044097C">
            <w:pPr>
              <w:jc w:val="left"/>
            </w:pPr>
            <w:r>
              <w:rPr>
                <w:b/>
              </w:rPr>
              <w:t>Non‑current borrowings</w:t>
            </w:r>
          </w:p>
        </w:tc>
        <w:tc>
          <w:tcPr>
            <w:tcW w:w="866" w:type="dxa"/>
          </w:tcPr>
          <w:p w14:paraId="69052D14" w14:textId="77777777" w:rsidR="00182709" w:rsidRDefault="00182709"/>
        </w:tc>
        <w:tc>
          <w:tcPr>
            <w:tcW w:w="866" w:type="dxa"/>
          </w:tcPr>
          <w:p w14:paraId="069F42AB" w14:textId="77777777" w:rsidR="00182709" w:rsidRDefault="00182709"/>
        </w:tc>
      </w:tr>
      <w:tr w:rsidR="00182709" w14:paraId="7705BF04" w14:textId="77777777" w:rsidTr="0018172B">
        <w:tc>
          <w:tcPr>
            <w:tcW w:w="1418" w:type="dxa"/>
          </w:tcPr>
          <w:p w14:paraId="2CBF3CE9" w14:textId="77777777" w:rsidR="00182709" w:rsidRDefault="00182709">
            <w:pPr>
              <w:jc w:val="left"/>
            </w:pPr>
          </w:p>
        </w:tc>
        <w:tc>
          <w:tcPr>
            <w:tcW w:w="6489" w:type="dxa"/>
          </w:tcPr>
          <w:p w14:paraId="3F908AF0" w14:textId="77777777" w:rsidR="00182709" w:rsidRDefault="0044097C">
            <w:pPr>
              <w:jc w:val="left"/>
            </w:pPr>
            <w:r>
              <w:t>Lease liabilities</w:t>
            </w:r>
          </w:p>
        </w:tc>
        <w:tc>
          <w:tcPr>
            <w:tcW w:w="866" w:type="dxa"/>
          </w:tcPr>
          <w:p w14:paraId="272F004A" w14:textId="77777777" w:rsidR="00182709" w:rsidRDefault="00182709"/>
        </w:tc>
        <w:tc>
          <w:tcPr>
            <w:tcW w:w="866" w:type="dxa"/>
          </w:tcPr>
          <w:p w14:paraId="512AEE53" w14:textId="77777777" w:rsidR="00182709" w:rsidRDefault="00182709"/>
        </w:tc>
      </w:tr>
      <w:tr w:rsidR="00182709" w14:paraId="196C2593" w14:textId="77777777" w:rsidTr="0018172B">
        <w:tc>
          <w:tcPr>
            <w:tcW w:w="1418" w:type="dxa"/>
          </w:tcPr>
          <w:p w14:paraId="327DE6A1" w14:textId="77777777" w:rsidR="00182709" w:rsidRDefault="00182709">
            <w:pPr>
              <w:jc w:val="left"/>
            </w:pPr>
          </w:p>
        </w:tc>
        <w:tc>
          <w:tcPr>
            <w:tcW w:w="6489" w:type="dxa"/>
          </w:tcPr>
          <w:p w14:paraId="230570CD" w14:textId="2F63FFA5" w:rsidR="00182709" w:rsidRDefault="0044097C">
            <w:pPr>
              <w:jc w:val="left"/>
            </w:pPr>
            <w:r>
              <w:t>Public private partnership (PPP) related lease liabilities</w:t>
            </w:r>
          </w:p>
        </w:tc>
        <w:tc>
          <w:tcPr>
            <w:tcW w:w="866" w:type="dxa"/>
          </w:tcPr>
          <w:p w14:paraId="22C538CC" w14:textId="77777777" w:rsidR="00182709" w:rsidRDefault="0044097C">
            <w:r>
              <w:t>2 551</w:t>
            </w:r>
          </w:p>
        </w:tc>
        <w:tc>
          <w:tcPr>
            <w:tcW w:w="866" w:type="dxa"/>
          </w:tcPr>
          <w:p w14:paraId="0320B92A" w14:textId="77777777" w:rsidR="00182709" w:rsidRDefault="0044097C">
            <w:r>
              <w:t>6 391</w:t>
            </w:r>
          </w:p>
        </w:tc>
      </w:tr>
      <w:tr w:rsidR="00182709" w14:paraId="4352B2FC" w14:textId="77777777" w:rsidTr="0018172B">
        <w:tc>
          <w:tcPr>
            <w:tcW w:w="1418" w:type="dxa"/>
          </w:tcPr>
          <w:p w14:paraId="64EA3D69" w14:textId="77777777" w:rsidR="00182709" w:rsidRDefault="00182709">
            <w:pPr>
              <w:jc w:val="left"/>
            </w:pPr>
          </w:p>
        </w:tc>
        <w:tc>
          <w:tcPr>
            <w:tcW w:w="6489" w:type="dxa"/>
          </w:tcPr>
          <w:p w14:paraId="0942E128" w14:textId="2F2FE9D2" w:rsidR="00182709" w:rsidRDefault="0044097C">
            <w:pPr>
              <w:jc w:val="left"/>
            </w:pPr>
            <w:r>
              <w:t>Non‑PPP related lease liabilities</w:t>
            </w:r>
          </w:p>
        </w:tc>
        <w:tc>
          <w:tcPr>
            <w:tcW w:w="866" w:type="dxa"/>
          </w:tcPr>
          <w:p w14:paraId="65C4603E" w14:textId="77777777" w:rsidR="00182709" w:rsidRDefault="0044097C">
            <w:r>
              <w:t>5 209</w:t>
            </w:r>
          </w:p>
        </w:tc>
        <w:tc>
          <w:tcPr>
            <w:tcW w:w="866" w:type="dxa"/>
          </w:tcPr>
          <w:p w14:paraId="39AD2AE0" w14:textId="77777777" w:rsidR="00182709" w:rsidRDefault="0044097C">
            <w:r>
              <w:t>3 425</w:t>
            </w:r>
          </w:p>
        </w:tc>
      </w:tr>
      <w:tr w:rsidR="00182709" w14:paraId="613ED4B8" w14:textId="77777777" w:rsidTr="0018172B">
        <w:tc>
          <w:tcPr>
            <w:tcW w:w="1418" w:type="dxa"/>
          </w:tcPr>
          <w:p w14:paraId="56A93EB1" w14:textId="77777777" w:rsidR="00182709" w:rsidRDefault="00182709">
            <w:pPr>
              <w:jc w:val="left"/>
            </w:pPr>
          </w:p>
        </w:tc>
        <w:tc>
          <w:tcPr>
            <w:tcW w:w="6489" w:type="dxa"/>
          </w:tcPr>
          <w:p w14:paraId="35D701A4" w14:textId="77777777" w:rsidR="00182709" w:rsidRDefault="0044097C">
            <w:pPr>
              <w:jc w:val="left"/>
            </w:pPr>
            <w:r>
              <w:t>Service concession financial liability</w:t>
            </w:r>
            <w:r>
              <w:rPr>
                <w:vertAlign w:val="superscript"/>
              </w:rPr>
              <w:t xml:space="preserve"> (c)</w:t>
            </w:r>
          </w:p>
        </w:tc>
        <w:tc>
          <w:tcPr>
            <w:tcW w:w="866" w:type="dxa"/>
          </w:tcPr>
          <w:p w14:paraId="1466B54A" w14:textId="77777777" w:rsidR="00182709" w:rsidRDefault="0044097C">
            <w:r>
              <w:t>57 500</w:t>
            </w:r>
          </w:p>
        </w:tc>
        <w:tc>
          <w:tcPr>
            <w:tcW w:w="866" w:type="dxa"/>
          </w:tcPr>
          <w:p w14:paraId="4345A103" w14:textId="77777777" w:rsidR="00182709" w:rsidRDefault="0044097C">
            <w:r>
              <w:t>58 500</w:t>
            </w:r>
          </w:p>
        </w:tc>
      </w:tr>
      <w:tr w:rsidR="00182709" w14:paraId="681150DE" w14:textId="77777777" w:rsidTr="0018172B">
        <w:tc>
          <w:tcPr>
            <w:tcW w:w="1418" w:type="dxa"/>
          </w:tcPr>
          <w:p w14:paraId="42736E83" w14:textId="77777777" w:rsidR="00182709" w:rsidRDefault="00182709">
            <w:pPr>
              <w:jc w:val="left"/>
            </w:pPr>
          </w:p>
        </w:tc>
        <w:tc>
          <w:tcPr>
            <w:tcW w:w="6489" w:type="dxa"/>
          </w:tcPr>
          <w:p w14:paraId="61635EFF" w14:textId="77777777" w:rsidR="00182709" w:rsidRDefault="0044097C">
            <w:pPr>
              <w:jc w:val="left"/>
            </w:pPr>
            <w:r>
              <w:t>Advances from government</w:t>
            </w:r>
          </w:p>
        </w:tc>
        <w:tc>
          <w:tcPr>
            <w:tcW w:w="866" w:type="dxa"/>
          </w:tcPr>
          <w:p w14:paraId="3C403A73" w14:textId="77777777" w:rsidR="00182709" w:rsidRDefault="0044097C">
            <w:r>
              <w:t>195</w:t>
            </w:r>
          </w:p>
        </w:tc>
        <w:tc>
          <w:tcPr>
            <w:tcW w:w="866" w:type="dxa"/>
          </w:tcPr>
          <w:p w14:paraId="070F1124" w14:textId="77777777" w:rsidR="00182709" w:rsidRDefault="0044097C">
            <w:r>
              <w:t>2 057</w:t>
            </w:r>
          </w:p>
        </w:tc>
      </w:tr>
      <w:tr w:rsidR="00182709" w14:paraId="6D432F57" w14:textId="77777777" w:rsidTr="0018172B">
        <w:tc>
          <w:tcPr>
            <w:tcW w:w="1418" w:type="dxa"/>
          </w:tcPr>
          <w:p w14:paraId="7B5836BA" w14:textId="77777777" w:rsidR="00182709" w:rsidRDefault="00182709">
            <w:pPr>
              <w:jc w:val="left"/>
            </w:pPr>
          </w:p>
        </w:tc>
        <w:tc>
          <w:tcPr>
            <w:tcW w:w="6489" w:type="dxa"/>
          </w:tcPr>
          <w:p w14:paraId="023874DC" w14:textId="77777777" w:rsidR="00182709" w:rsidRDefault="0044097C">
            <w:pPr>
              <w:jc w:val="left"/>
            </w:pPr>
            <w:r>
              <w:t>Loans from TCV</w:t>
            </w:r>
            <w:r>
              <w:rPr>
                <w:vertAlign w:val="superscript"/>
              </w:rPr>
              <w:t xml:space="preserve"> (d)(e)</w:t>
            </w:r>
          </w:p>
        </w:tc>
        <w:tc>
          <w:tcPr>
            <w:tcW w:w="866" w:type="dxa"/>
          </w:tcPr>
          <w:p w14:paraId="4AE7D5FE" w14:textId="77777777" w:rsidR="00182709" w:rsidRDefault="0044097C">
            <w:r>
              <w:t>48 696</w:t>
            </w:r>
          </w:p>
        </w:tc>
        <w:tc>
          <w:tcPr>
            <w:tcW w:w="866" w:type="dxa"/>
          </w:tcPr>
          <w:p w14:paraId="3B094259" w14:textId="77777777" w:rsidR="00182709" w:rsidRDefault="0044097C">
            <w:r>
              <w:t>27 705</w:t>
            </w:r>
          </w:p>
        </w:tc>
      </w:tr>
      <w:tr w:rsidR="00182709" w14:paraId="3446A87D" w14:textId="77777777" w:rsidTr="0018172B">
        <w:tc>
          <w:tcPr>
            <w:tcW w:w="1418" w:type="dxa"/>
          </w:tcPr>
          <w:p w14:paraId="457C02BC" w14:textId="77777777" w:rsidR="00182709" w:rsidRDefault="00182709">
            <w:pPr>
              <w:jc w:val="left"/>
            </w:pPr>
          </w:p>
        </w:tc>
        <w:tc>
          <w:tcPr>
            <w:tcW w:w="6489" w:type="dxa"/>
            <w:tcBorders>
              <w:bottom w:val="single" w:sz="12" w:space="0" w:color="auto"/>
            </w:tcBorders>
          </w:tcPr>
          <w:p w14:paraId="4181AFF4" w14:textId="77777777" w:rsidR="00182709" w:rsidRDefault="0044097C">
            <w:pPr>
              <w:jc w:val="left"/>
            </w:pPr>
            <w:r>
              <w:t>Financial liability designated at fair value through profit or loss</w:t>
            </w:r>
          </w:p>
        </w:tc>
        <w:tc>
          <w:tcPr>
            <w:tcW w:w="866" w:type="dxa"/>
            <w:tcBorders>
              <w:bottom w:val="single" w:sz="12" w:space="0" w:color="auto"/>
            </w:tcBorders>
          </w:tcPr>
          <w:p w14:paraId="2747EC53" w14:textId="77777777" w:rsidR="00182709" w:rsidRDefault="0044097C">
            <w:r>
              <w:t>150</w:t>
            </w:r>
          </w:p>
        </w:tc>
        <w:tc>
          <w:tcPr>
            <w:tcW w:w="866" w:type="dxa"/>
            <w:tcBorders>
              <w:bottom w:val="single" w:sz="12" w:space="0" w:color="auto"/>
            </w:tcBorders>
          </w:tcPr>
          <w:p w14:paraId="0D41E6F9" w14:textId="77777777" w:rsidR="00182709" w:rsidRDefault="0044097C">
            <w:r>
              <w:t>200</w:t>
            </w:r>
          </w:p>
        </w:tc>
      </w:tr>
      <w:tr w:rsidR="00671D55" w14:paraId="190C924F" w14:textId="77777777" w:rsidTr="0018172B">
        <w:tc>
          <w:tcPr>
            <w:tcW w:w="1418" w:type="dxa"/>
          </w:tcPr>
          <w:p w14:paraId="15BA8892" w14:textId="77777777" w:rsidR="00182709" w:rsidRDefault="00182709">
            <w:pPr>
              <w:jc w:val="left"/>
            </w:pPr>
          </w:p>
        </w:tc>
        <w:tc>
          <w:tcPr>
            <w:tcW w:w="6489" w:type="dxa"/>
          </w:tcPr>
          <w:p w14:paraId="3016159E" w14:textId="77777777" w:rsidR="00182709" w:rsidRDefault="0044097C">
            <w:pPr>
              <w:jc w:val="left"/>
            </w:pPr>
            <w:r>
              <w:rPr>
                <w:b/>
              </w:rPr>
              <w:t>Total non‑current borrowings</w:t>
            </w:r>
          </w:p>
        </w:tc>
        <w:tc>
          <w:tcPr>
            <w:tcW w:w="866" w:type="dxa"/>
          </w:tcPr>
          <w:p w14:paraId="5A481A4D" w14:textId="77777777" w:rsidR="00182709" w:rsidRDefault="0044097C">
            <w:r>
              <w:rPr>
                <w:b/>
              </w:rPr>
              <w:t>114 301</w:t>
            </w:r>
          </w:p>
        </w:tc>
        <w:tc>
          <w:tcPr>
            <w:tcW w:w="866" w:type="dxa"/>
          </w:tcPr>
          <w:p w14:paraId="1B25D5E4" w14:textId="77777777" w:rsidR="00182709" w:rsidRDefault="0044097C">
            <w:r>
              <w:rPr>
                <w:b/>
              </w:rPr>
              <w:t>98 278</w:t>
            </w:r>
          </w:p>
        </w:tc>
      </w:tr>
      <w:tr w:rsidR="00671D55" w14:paraId="775EDCD0" w14:textId="77777777" w:rsidTr="0018172B">
        <w:tc>
          <w:tcPr>
            <w:tcW w:w="1418" w:type="dxa"/>
            <w:tcBorders>
              <w:bottom w:val="nil"/>
            </w:tcBorders>
          </w:tcPr>
          <w:p w14:paraId="19DA6714" w14:textId="77777777" w:rsidR="00182709" w:rsidRDefault="00182709">
            <w:pPr>
              <w:jc w:val="left"/>
            </w:pPr>
          </w:p>
        </w:tc>
        <w:tc>
          <w:tcPr>
            <w:tcW w:w="6489" w:type="dxa"/>
          </w:tcPr>
          <w:p w14:paraId="6AB138DD" w14:textId="77777777" w:rsidR="00182709" w:rsidRDefault="0044097C">
            <w:pPr>
              <w:jc w:val="left"/>
            </w:pPr>
            <w:r>
              <w:rPr>
                <w:b/>
              </w:rPr>
              <w:t>Total borrowings</w:t>
            </w:r>
          </w:p>
        </w:tc>
        <w:tc>
          <w:tcPr>
            <w:tcW w:w="866" w:type="dxa"/>
          </w:tcPr>
          <w:p w14:paraId="2BDF64E2" w14:textId="77777777" w:rsidR="00182709" w:rsidRDefault="0044097C">
            <w:r>
              <w:rPr>
                <w:b/>
              </w:rPr>
              <w:t>125 665</w:t>
            </w:r>
          </w:p>
        </w:tc>
        <w:tc>
          <w:tcPr>
            <w:tcW w:w="866" w:type="dxa"/>
          </w:tcPr>
          <w:p w14:paraId="342DE97A" w14:textId="77777777" w:rsidR="00182709" w:rsidRDefault="0044097C">
            <w:r>
              <w:rPr>
                <w:b/>
              </w:rPr>
              <w:t>125 248</w:t>
            </w:r>
          </w:p>
        </w:tc>
      </w:tr>
    </w:tbl>
    <w:p w14:paraId="00C8F05E" w14:textId="77777777" w:rsidR="003719CD" w:rsidRDefault="003719CD" w:rsidP="007D536F">
      <w:pPr>
        <w:pStyle w:val="Note"/>
      </w:pPr>
      <w:r>
        <w:t>Notes:</w:t>
      </w:r>
    </w:p>
    <w:p w14:paraId="37B9F44E" w14:textId="77777777" w:rsidR="003719CD" w:rsidRDefault="003719CD" w:rsidP="007D536F">
      <w:pPr>
        <w:pStyle w:val="Note"/>
      </w:pPr>
      <w:r>
        <w:t>(a)</w:t>
      </w:r>
      <w:r>
        <w:tab/>
        <w:t xml:space="preserve">Secured by the assets leased. Leases liabilities are effectively secured as the rights to the leased assets revert to the lessor in the event of default. </w:t>
      </w:r>
    </w:p>
    <w:p w14:paraId="73DE29FA" w14:textId="77777777" w:rsidR="003719CD" w:rsidRDefault="003719CD" w:rsidP="007D536F">
      <w:pPr>
        <w:pStyle w:val="Note"/>
      </w:pPr>
      <w:r>
        <w:t>(b)</w:t>
      </w:r>
      <w:r>
        <w:tab/>
        <w:t>These are unsecured loans which bear no interest. The term of a loan is generally agreed by the Minister at the time the advance was provided.</w:t>
      </w:r>
    </w:p>
    <w:p w14:paraId="2CFD58BA" w14:textId="1AC90F7C" w:rsidR="003719CD" w:rsidRDefault="003719CD" w:rsidP="007D536F">
      <w:pPr>
        <w:pStyle w:val="Note"/>
      </w:pPr>
      <w:r>
        <w:t>(c)</w:t>
      </w:r>
      <w:r>
        <w:tab/>
        <w:t xml:space="preserve">This relates to the Construction of data centre to store medical records arrangement recognised applying AASB 1059. Interest is charged on the liability and recognised in the Interest expense section below. The liability is reduced over the term of the arrangement through quarterly cash payments to the operator. Further information is included in 7.5.3 </w:t>
      </w:r>
      <w:r w:rsidRPr="004D4E01">
        <w:rPr>
          <w:i w:val="0"/>
          <w:iCs/>
        </w:rPr>
        <w:t>Service Concession Arrangements: Grantors</w:t>
      </w:r>
      <w:r>
        <w:t>.</w:t>
      </w:r>
    </w:p>
    <w:p w14:paraId="0E41A99F" w14:textId="31E16277" w:rsidR="003719CD" w:rsidRDefault="003719CD" w:rsidP="007D536F">
      <w:pPr>
        <w:pStyle w:val="Note"/>
      </w:pPr>
      <w:r>
        <w:t>(d)</w:t>
      </w:r>
      <w:r>
        <w:tab/>
        <w:t>These are unsecured loans with a weighted average interest rate of 3.55 per cent (</w:t>
      </w:r>
      <w:fldSimple w:instr="DOCPROPERTY  YearPrevious  \* MERGEFORMAT">
        <w:r w:rsidR="002C1B71">
          <w:t>20X1</w:t>
        </w:r>
      </w:fldSimple>
      <w:r>
        <w:t>: 5 per cent).</w:t>
      </w:r>
    </w:p>
    <w:p w14:paraId="0814E845" w14:textId="77777777" w:rsidR="003719CD" w:rsidRDefault="003719CD" w:rsidP="007D536F">
      <w:pPr>
        <w:pStyle w:val="Note"/>
      </w:pPr>
      <w:r>
        <w:t>(e)</w:t>
      </w:r>
      <w:r>
        <w:tab/>
        <w:t>Note that the TCV loans are for illustration only. Preparers must review the terms of the loan to determine whether they shall be classified as current or non-current loans.</w:t>
      </w:r>
    </w:p>
    <w:p w14:paraId="251F58B0" w14:textId="77777777" w:rsidR="003719CD" w:rsidRDefault="003719CD" w:rsidP="00DC39DE"/>
    <w:p w14:paraId="3E9A2590" w14:textId="77777777" w:rsidR="003719CD" w:rsidRDefault="003719CD" w:rsidP="00DC39DE">
      <w:r>
        <w:t>‘Borrowings’ refer to interest bearing liabilities mainly raised from public borrowings raised through the Treasury Corporation of Victoria, lease liabilities, service concession arrangement liabilities and other interest-bearing arrangements.</w:t>
      </w:r>
    </w:p>
    <w:p w14:paraId="3A9FE60C" w14:textId="2E8B3A9C" w:rsidR="003719CD" w:rsidRDefault="003719CD" w:rsidP="00DC39DE">
      <w:r>
        <w:t xml:space="preserve">Borrowings are classified as financial instruments. Interest bearing liabilities are classified at amortised cost unless the Department elects to irrevocably designate them at fair value through profit or loss at initial recognition. The election depends on the nature and purpose of the interest-bearing liabilities. </w:t>
      </w:r>
      <w:r w:rsidRPr="00353069">
        <w:rPr>
          <w:rStyle w:val="Reference"/>
        </w:rPr>
        <w:t>[AASB 7.21, 9.4.2.1; FRD 114]</w:t>
      </w:r>
    </w:p>
    <w:p w14:paraId="234920F2" w14:textId="2E54422C" w:rsidR="003719CD" w:rsidRDefault="003719CD" w:rsidP="00DC39DE">
      <w:r>
        <w:lastRenderedPageBreak/>
        <w:t xml:space="preserve">The Department has designated certain financial liabilities at fair value through net result to eliminate or significantly reduce the accounting mismatch that would otherwise arise. All other interest-bearing borrowings are initially recognised at the fair value of the consideration received less directly attributable transaction costs and subsequently measured at amortised cost using the effective interest method. For financial liabilities designated at fair value through net result, all transaction costs are expensed as incurred. And they are subsequently measured at fair value with changes in fair value relating to the Department’s own credit risk recognised in other comprehensive income and the remaining amount of changes in fair value recognised in net result. Amounts in other comprehensive income related to credit risk are not subject to recycling in profit loss but are transferred to retained earnings when realised. </w:t>
      </w:r>
      <w:r w:rsidRPr="00353069">
        <w:rPr>
          <w:rStyle w:val="Reference"/>
        </w:rPr>
        <w:t>[AASB 7.21, FRD 114, AASB</w:t>
      </w:r>
      <w:r>
        <w:rPr>
          <w:rStyle w:val="Reference"/>
        </w:rPr>
        <w:t> </w:t>
      </w:r>
      <w:r w:rsidRPr="00353069">
        <w:rPr>
          <w:rStyle w:val="Reference"/>
        </w:rPr>
        <w:t>9.4.2.1(a), 4.2.2]</w:t>
      </w:r>
    </w:p>
    <w:p w14:paraId="47819B70" w14:textId="77777777" w:rsidR="003719CD" w:rsidRDefault="003719CD" w:rsidP="00DC39DE">
      <w:r w:rsidRPr="00353069">
        <w:rPr>
          <w:b/>
          <w:bCs/>
        </w:rPr>
        <w:t>Defaults and breaches</w:t>
      </w:r>
      <w:r>
        <w:t xml:space="preserve">: During the current and prior year, there were no defaults and breaches of any of the loans. </w:t>
      </w:r>
      <w:r w:rsidRPr="00353069">
        <w:rPr>
          <w:rStyle w:val="Reference"/>
        </w:rPr>
        <w:t>[AASB</w:t>
      </w:r>
      <w:r>
        <w:rPr>
          <w:rStyle w:val="Reference"/>
        </w:rPr>
        <w:t> </w:t>
      </w:r>
      <w:r w:rsidRPr="00353069">
        <w:rPr>
          <w:rStyle w:val="Reference"/>
        </w:rPr>
        <w:t>7.18]</w:t>
      </w:r>
    </w:p>
    <w:p w14:paraId="5234E204" w14:textId="77777777" w:rsidR="003719CD" w:rsidRDefault="003719CD" w:rsidP="007D536F">
      <w:pPr>
        <w:pStyle w:val="Caption"/>
      </w:pPr>
      <w:r>
        <w:t xml:space="preserve">Maturity analysis of borrowings </w:t>
      </w:r>
      <w:r w:rsidRPr="00964BF3">
        <w:rPr>
          <w:rStyle w:val="Reference"/>
        </w:rPr>
        <w:t>[AASB 7.39(a)]</w:t>
      </w:r>
      <w:r>
        <w:tab/>
        <w:t>($ thousand)</w:t>
      </w:r>
    </w:p>
    <w:tbl>
      <w:tblPr>
        <w:tblStyle w:val="DTFTable"/>
        <w:tblW w:w="9639" w:type="dxa"/>
        <w:tblLayout w:type="fixed"/>
        <w:tblLook w:val="06A0" w:firstRow="1" w:lastRow="0" w:firstColumn="1" w:lastColumn="0" w:noHBand="1" w:noVBand="1"/>
      </w:tblPr>
      <w:tblGrid>
        <w:gridCol w:w="3290"/>
        <w:gridCol w:w="907"/>
        <w:gridCol w:w="907"/>
        <w:gridCol w:w="907"/>
        <w:gridCol w:w="907"/>
        <w:gridCol w:w="1019"/>
        <w:gridCol w:w="882"/>
        <w:gridCol w:w="820"/>
      </w:tblGrid>
      <w:tr w:rsidR="00E52A40" w14:paraId="3A89C490" w14:textId="77777777" w:rsidTr="00E52A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7B79A90F" w14:textId="5246993C" w:rsidR="00E52A40" w:rsidRDefault="00E52A40">
            <w:pPr>
              <w:keepNext/>
              <w:rPr>
                <w:bCs w:val="0"/>
                <w:i w:val="0"/>
              </w:rPr>
            </w:pPr>
          </w:p>
        </w:tc>
        <w:tc>
          <w:tcPr>
            <w:tcW w:w="907" w:type="dxa"/>
          </w:tcPr>
          <w:p w14:paraId="055794C5" w14:textId="77777777" w:rsidR="00E52A40" w:rsidRDefault="00E52A40">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0BF307D6" w14:textId="77777777" w:rsidR="00E52A40" w:rsidRDefault="00E52A40">
            <w:pPr>
              <w:keepNext/>
              <w:cnfStyle w:val="100000000000" w:firstRow="1" w:lastRow="0" w:firstColumn="0" w:lastColumn="0" w:oddVBand="0" w:evenVBand="0" w:oddHBand="0" w:evenHBand="0" w:firstRowFirstColumn="0" w:firstRowLastColumn="0" w:lastRowFirstColumn="0" w:lastRowLastColumn="0"/>
            </w:pPr>
          </w:p>
        </w:tc>
        <w:tc>
          <w:tcPr>
            <w:tcW w:w="4535" w:type="dxa"/>
            <w:gridSpan w:val="5"/>
            <w:tcBorders>
              <w:bottom w:val="single" w:sz="6" w:space="0" w:color="FFFFFF" w:themeColor="background1"/>
            </w:tcBorders>
          </w:tcPr>
          <w:p w14:paraId="6123EEB7" w14:textId="3D755C53" w:rsidR="00E52A40" w:rsidRDefault="00E52A40" w:rsidP="00E52A40">
            <w:pPr>
              <w:keepNext/>
              <w:jc w:val="center"/>
              <w:cnfStyle w:val="100000000000" w:firstRow="1" w:lastRow="0" w:firstColumn="0" w:lastColumn="0" w:oddVBand="0" w:evenVBand="0" w:oddHBand="0" w:evenHBand="0" w:firstRowFirstColumn="0" w:firstRowLastColumn="0" w:lastRowFirstColumn="0" w:lastRowLastColumn="0"/>
            </w:pPr>
            <w:r>
              <w:t>Maturity dates</w:t>
            </w:r>
          </w:p>
        </w:tc>
      </w:tr>
      <w:tr w:rsidR="00182709" w14:paraId="765E2D8D" w14:textId="77777777" w:rsidTr="00E52A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90" w:type="dxa"/>
          </w:tcPr>
          <w:p w14:paraId="08BBCE8D" w14:textId="45E4461A" w:rsidR="00182709" w:rsidRDefault="0045725F">
            <w:pPr>
              <w:keepNext/>
            </w:pPr>
            <w:fldSimple w:instr="DOCPROPERTY  YearCurrent \* MERGEFORMAT">
              <w:r>
                <w:t>20X2</w:t>
              </w:r>
            </w:fldSimple>
          </w:p>
        </w:tc>
        <w:tc>
          <w:tcPr>
            <w:tcW w:w="907" w:type="dxa"/>
          </w:tcPr>
          <w:p w14:paraId="27EFB3FE" w14:textId="670C7607" w:rsidR="00182709" w:rsidRDefault="00D42903">
            <w:pPr>
              <w:keepNext/>
              <w:cnfStyle w:val="100000000000" w:firstRow="1" w:lastRow="0" w:firstColumn="0" w:lastColumn="0" w:oddVBand="0" w:evenVBand="0" w:oddHBand="0" w:evenHBand="0" w:firstRowFirstColumn="0" w:firstRowLastColumn="0" w:lastRowFirstColumn="0" w:lastRowLastColumn="0"/>
            </w:pPr>
            <w:r>
              <w:t xml:space="preserve">Carrying </w:t>
            </w:r>
            <w:r w:rsidR="0044097C">
              <w:t>amount</w:t>
            </w:r>
          </w:p>
        </w:tc>
        <w:tc>
          <w:tcPr>
            <w:tcW w:w="907" w:type="dxa"/>
          </w:tcPr>
          <w:p w14:paraId="31D8D6AA" w14:textId="6A371596" w:rsidR="00182709" w:rsidRDefault="00D42903">
            <w:pPr>
              <w:keepNext/>
              <w:cnfStyle w:val="100000000000" w:firstRow="1" w:lastRow="0" w:firstColumn="0" w:lastColumn="0" w:oddVBand="0" w:evenVBand="0" w:oddHBand="0" w:evenHBand="0" w:firstRowFirstColumn="0" w:firstRowLastColumn="0" w:lastRowFirstColumn="0" w:lastRowLastColumn="0"/>
            </w:pPr>
            <w:r>
              <w:t xml:space="preserve">Nominal </w:t>
            </w:r>
            <w:r w:rsidR="0044097C">
              <w:t>amount</w:t>
            </w:r>
          </w:p>
        </w:tc>
        <w:tc>
          <w:tcPr>
            <w:tcW w:w="907" w:type="dxa"/>
            <w:tcBorders>
              <w:top w:val="single" w:sz="6" w:space="0" w:color="FFFFFF" w:themeColor="background1"/>
            </w:tcBorders>
          </w:tcPr>
          <w:p w14:paraId="66B004D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Less than 1 month</w:t>
            </w:r>
          </w:p>
        </w:tc>
        <w:tc>
          <w:tcPr>
            <w:tcW w:w="907" w:type="dxa"/>
            <w:tcBorders>
              <w:top w:val="single" w:sz="6" w:space="0" w:color="FFFFFF" w:themeColor="background1"/>
            </w:tcBorders>
          </w:tcPr>
          <w:p w14:paraId="09B7423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1‑3 months</w:t>
            </w:r>
          </w:p>
        </w:tc>
        <w:tc>
          <w:tcPr>
            <w:tcW w:w="1019" w:type="dxa"/>
            <w:tcBorders>
              <w:top w:val="single" w:sz="6" w:space="0" w:color="FFFFFF" w:themeColor="background1"/>
            </w:tcBorders>
          </w:tcPr>
          <w:p w14:paraId="56750197"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3 months – 1 year</w:t>
            </w:r>
          </w:p>
        </w:tc>
        <w:tc>
          <w:tcPr>
            <w:tcW w:w="882" w:type="dxa"/>
            <w:tcBorders>
              <w:top w:val="single" w:sz="6" w:space="0" w:color="FFFFFF" w:themeColor="background1"/>
            </w:tcBorders>
          </w:tcPr>
          <w:p w14:paraId="61CAD91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1–5 years</w:t>
            </w:r>
          </w:p>
        </w:tc>
        <w:tc>
          <w:tcPr>
            <w:tcW w:w="820" w:type="dxa"/>
            <w:tcBorders>
              <w:top w:val="single" w:sz="6" w:space="0" w:color="FFFFFF" w:themeColor="background1"/>
            </w:tcBorders>
          </w:tcPr>
          <w:p w14:paraId="3DF836E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5+ years</w:t>
            </w:r>
          </w:p>
        </w:tc>
      </w:tr>
      <w:tr w:rsidR="00182709" w14:paraId="0B8A725B" w14:textId="77777777">
        <w:tc>
          <w:tcPr>
            <w:cnfStyle w:val="001000000000" w:firstRow="0" w:lastRow="0" w:firstColumn="1" w:lastColumn="0" w:oddVBand="0" w:evenVBand="0" w:oddHBand="0" w:evenHBand="0" w:firstRowFirstColumn="0" w:firstRowLastColumn="0" w:lastRowFirstColumn="0" w:lastRowLastColumn="0"/>
            <w:tcW w:w="3290" w:type="dxa"/>
          </w:tcPr>
          <w:p w14:paraId="280CA7C2" w14:textId="77777777" w:rsidR="00182709" w:rsidRDefault="0044097C">
            <w:r>
              <w:t>Bank overdrafts</w:t>
            </w:r>
          </w:p>
        </w:tc>
        <w:tc>
          <w:tcPr>
            <w:tcW w:w="907" w:type="dxa"/>
          </w:tcPr>
          <w:p w14:paraId="088C79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029430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9FE2F8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77308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2311F77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034E8DD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77A4E24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0CB682E" w14:textId="77777777">
        <w:tc>
          <w:tcPr>
            <w:cnfStyle w:val="001000000000" w:firstRow="0" w:lastRow="0" w:firstColumn="1" w:lastColumn="0" w:oddVBand="0" w:evenVBand="0" w:oddHBand="0" w:evenHBand="0" w:firstRowFirstColumn="0" w:firstRowLastColumn="0" w:lastRowFirstColumn="0" w:lastRowLastColumn="0"/>
            <w:tcW w:w="3290" w:type="dxa"/>
          </w:tcPr>
          <w:p w14:paraId="5951B119" w14:textId="77777777" w:rsidR="00182709" w:rsidRDefault="0044097C">
            <w:r>
              <w:t>Lease liabilities</w:t>
            </w:r>
          </w:p>
        </w:tc>
        <w:tc>
          <w:tcPr>
            <w:tcW w:w="907" w:type="dxa"/>
          </w:tcPr>
          <w:p w14:paraId="2E03F415" w14:textId="77777777" w:rsidR="00182709" w:rsidRDefault="0044097C">
            <w:pPr>
              <w:cnfStyle w:val="000000000000" w:firstRow="0" w:lastRow="0" w:firstColumn="0" w:lastColumn="0" w:oddVBand="0" w:evenVBand="0" w:oddHBand="0" w:evenHBand="0" w:firstRowFirstColumn="0" w:firstRowLastColumn="0" w:lastRowFirstColumn="0" w:lastRowLastColumn="0"/>
            </w:pPr>
            <w:r>
              <w:t>13 006</w:t>
            </w:r>
          </w:p>
        </w:tc>
        <w:tc>
          <w:tcPr>
            <w:tcW w:w="907" w:type="dxa"/>
          </w:tcPr>
          <w:p w14:paraId="68B7A7F6" w14:textId="77777777" w:rsidR="00182709" w:rsidRDefault="0044097C">
            <w:pPr>
              <w:cnfStyle w:val="000000000000" w:firstRow="0" w:lastRow="0" w:firstColumn="0" w:lastColumn="0" w:oddVBand="0" w:evenVBand="0" w:oddHBand="0" w:evenHBand="0" w:firstRowFirstColumn="0" w:firstRowLastColumn="0" w:lastRowFirstColumn="0" w:lastRowLastColumn="0"/>
            </w:pPr>
            <w:r>
              <w:t>14 995</w:t>
            </w:r>
          </w:p>
        </w:tc>
        <w:tc>
          <w:tcPr>
            <w:tcW w:w="907" w:type="dxa"/>
          </w:tcPr>
          <w:p w14:paraId="68B37C81" w14:textId="77777777" w:rsidR="00182709" w:rsidRDefault="0044097C">
            <w:pPr>
              <w:cnfStyle w:val="000000000000" w:firstRow="0" w:lastRow="0" w:firstColumn="0" w:lastColumn="0" w:oddVBand="0" w:evenVBand="0" w:oddHBand="0" w:evenHBand="0" w:firstRowFirstColumn="0" w:firstRowLastColumn="0" w:lastRowFirstColumn="0" w:lastRowLastColumn="0"/>
            </w:pPr>
            <w:r>
              <w:t>504</w:t>
            </w:r>
          </w:p>
        </w:tc>
        <w:tc>
          <w:tcPr>
            <w:tcW w:w="907" w:type="dxa"/>
          </w:tcPr>
          <w:p w14:paraId="48BC4F88" w14:textId="77777777" w:rsidR="00182709" w:rsidRDefault="0044097C">
            <w:pPr>
              <w:cnfStyle w:val="000000000000" w:firstRow="0" w:lastRow="0" w:firstColumn="0" w:lastColumn="0" w:oddVBand="0" w:evenVBand="0" w:oddHBand="0" w:evenHBand="0" w:firstRowFirstColumn="0" w:firstRowLastColumn="0" w:lastRowFirstColumn="0" w:lastRowLastColumn="0"/>
            </w:pPr>
            <w:r>
              <w:t>1 511</w:t>
            </w:r>
          </w:p>
        </w:tc>
        <w:tc>
          <w:tcPr>
            <w:tcW w:w="1019" w:type="dxa"/>
          </w:tcPr>
          <w:p w14:paraId="7B43F91B" w14:textId="77777777" w:rsidR="00182709" w:rsidRDefault="0044097C">
            <w:pPr>
              <w:cnfStyle w:val="000000000000" w:firstRow="0" w:lastRow="0" w:firstColumn="0" w:lastColumn="0" w:oddVBand="0" w:evenVBand="0" w:oddHBand="0" w:evenHBand="0" w:firstRowFirstColumn="0" w:firstRowLastColumn="0" w:lastRowFirstColumn="0" w:lastRowLastColumn="0"/>
            </w:pPr>
            <w:r>
              <w:t>4 536</w:t>
            </w:r>
          </w:p>
        </w:tc>
        <w:tc>
          <w:tcPr>
            <w:tcW w:w="882" w:type="dxa"/>
          </w:tcPr>
          <w:p w14:paraId="79B885CE" w14:textId="77777777" w:rsidR="00182709" w:rsidRDefault="0044097C">
            <w:pPr>
              <w:cnfStyle w:val="000000000000" w:firstRow="0" w:lastRow="0" w:firstColumn="0" w:lastColumn="0" w:oddVBand="0" w:evenVBand="0" w:oddHBand="0" w:evenHBand="0" w:firstRowFirstColumn="0" w:firstRowLastColumn="0" w:lastRowFirstColumn="0" w:lastRowLastColumn="0"/>
            </w:pPr>
            <w:r>
              <w:t>6 313</w:t>
            </w:r>
          </w:p>
        </w:tc>
        <w:tc>
          <w:tcPr>
            <w:tcW w:w="820" w:type="dxa"/>
          </w:tcPr>
          <w:p w14:paraId="36F21990" w14:textId="77777777" w:rsidR="00182709" w:rsidRDefault="0044097C">
            <w:pPr>
              <w:cnfStyle w:val="000000000000" w:firstRow="0" w:lastRow="0" w:firstColumn="0" w:lastColumn="0" w:oddVBand="0" w:evenVBand="0" w:oddHBand="0" w:evenHBand="0" w:firstRowFirstColumn="0" w:firstRowLastColumn="0" w:lastRowFirstColumn="0" w:lastRowLastColumn="0"/>
            </w:pPr>
            <w:r>
              <w:t>2 131</w:t>
            </w:r>
          </w:p>
        </w:tc>
      </w:tr>
      <w:tr w:rsidR="00182709" w14:paraId="553C6207" w14:textId="77777777">
        <w:tc>
          <w:tcPr>
            <w:cnfStyle w:val="001000000000" w:firstRow="0" w:lastRow="0" w:firstColumn="1" w:lastColumn="0" w:oddVBand="0" w:evenVBand="0" w:oddHBand="0" w:evenHBand="0" w:firstRowFirstColumn="0" w:firstRowLastColumn="0" w:lastRowFirstColumn="0" w:lastRowLastColumn="0"/>
            <w:tcW w:w="3290" w:type="dxa"/>
          </w:tcPr>
          <w:p w14:paraId="16686F66" w14:textId="77777777" w:rsidR="00182709" w:rsidRDefault="0044097C">
            <w:r>
              <w:t>Service concession financial liability</w:t>
            </w:r>
          </w:p>
        </w:tc>
        <w:tc>
          <w:tcPr>
            <w:tcW w:w="907" w:type="dxa"/>
          </w:tcPr>
          <w:p w14:paraId="3F8668DC" w14:textId="77777777" w:rsidR="00182709" w:rsidRDefault="0044097C">
            <w:pPr>
              <w:cnfStyle w:val="000000000000" w:firstRow="0" w:lastRow="0" w:firstColumn="0" w:lastColumn="0" w:oddVBand="0" w:evenVBand="0" w:oddHBand="0" w:evenHBand="0" w:firstRowFirstColumn="0" w:firstRowLastColumn="0" w:lastRowFirstColumn="0" w:lastRowLastColumn="0"/>
            </w:pPr>
            <w:r>
              <w:t>58 500</w:t>
            </w:r>
          </w:p>
        </w:tc>
        <w:tc>
          <w:tcPr>
            <w:tcW w:w="907" w:type="dxa"/>
          </w:tcPr>
          <w:p w14:paraId="227185DF" w14:textId="77777777" w:rsidR="00182709" w:rsidRDefault="0044097C">
            <w:pPr>
              <w:cnfStyle w:val="000000000000" w:firstRow="0" w:lastRow="0" w:firstColumn="0" w:lastColumn="0" w:oddVBand="0" w:evenVBand="0" w:oddHBand="0" w:evenHBand="0" w:firstRowFirstColumn="0" w:firstRowLastColumn="0" w:lastRowFirstColumn="0" w:lastRowLastColumn="0"/>
            </w:pPr>
            <w:r>
              <w:t>60 255</w:t>
            </w:r>
          </w:p>
        </w:tc>
        <w:tc>
          <w:tcPr>
            <w:tcW w:w="907" w:type="dxa"/>
          </w:tcPr>
          <w:p w14:paraId="782971CF" w14:textId="77777777" w:rsidR="00182709" w:rsidRDefault="0044097C">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68FFFC12" w14:textId="77777777" w:rsidR="00182709" w:rsidRDefault="0044097C">
            <w:pPr>
              <w:cnfStyle w:val="000000000000" w:firstRow="0" w:lastRow="0" w:firstColumn="0" w:lastColumn="0" w:oddVBand="0" w:evenVBand="0" w:oddHBand="0" w:evenHBand="0" w:firstRowFirstColumn="0" w:firstRowLastColumn="0" w:lastRowFirstColumn="0" w:lastRowLastColumn="0"/>
            </w:pPr>
            <w:r>
              <w:t>285</w:t>
            </w:r>
          </w:p>
        </w:tc>
        <w:tc>
          <w:tcPr>
            <w:tcW w:w="1019" w:type="dxa"/>
          </w:tcPr>
          <w:p w14:paraId="3F7631B4" w14:textId="77777777" w:rsidR="00182709" w:rsidRDefault="0044097C">
            <w:pPr>
              <w:cnfStyle w:val="000000000000" w:firstRow="0" w:lastRow="0" w:firstColumn="0" w:lastColumn="0" w:oddVBand="0" w:evenVBand="0" w:oddHBand="0" w:evenHBand="0" w:firstRowFirstColumn="0" w:firstRowLastColumn="0" w:lastRowFirstColumn="0" w:lastRowLastColumn="0"/>
            </w:pPr>
            <w:r>
              <w:t>734</w:t>
            </w:r>
          </w:p>
        </w:tc>
        <w:tc>
          <w:tcPr>
            <w:tcW w:w="882" w:type="dxa"/>
          </w:tcPr>
          <w:p w14:paraId="345DA733" w14:textId="77777777" w:rsidR="00182709" w:rsidRDefault="0044097C">
            <w:pPr>
              <w:cnfStyle w:val="000000000000" w:firstRow="0" w:lastRow="0" w:firstColumn="0" w:lastColumn="0" w:oddVBand="0" w:evenVBand="0" w:oddHBand="0" w:evenHBand="0" w:firstRowFirstColumn="0" w:firstRowLastColumn="0" w:lastRowFirstColumn="0" w:lastRowLastColumn="0"/>
            </w:pPr>
            <w:r>
              <w:t>5 267</w:t>
            </w:r>
          </w:p>
        </w:tc>
        <w:tc>
          <w:tcPr>
            <w:tcW w:w="820" w:type="dxa"/>
          </w:tcPr>
          <w:p w14:paraId="07E41D15" w14:textId="77777777" w:rsidR="00182709" w:rsidRDefault="0044097C">
            <w:pPr>
              <w:cnfStyle w:val="000000000000" w:firstRow="0" w:lastRow="0" w:firstColumn="0" w:lastColumn="0" w:oddVBand="0" w:evenVBand="0" w:oddHBand="0" w:evenHBand="0" w:firstRowFirstColumn="0" w:firstRowLastColumn="0" w:lastRowFirstColumn="0" w:lastRowLastColumn="0"/>
            </w:pPr>
            <w:r>
              <w:t>53 876</w:t>
            </w:r>
          </w:p>
        </w:tc>
      </w:tr>
      <w:tr w:rsidR="00182709" w14:paraId="51677762" w14:textId="77777777">
        <w:tc>
          <w:tcPr>
            <w:cnfStyle w:val="001000000000" w:firstRow="0" w:lastRow="0" w:firstColumn="1" w:lastColumn="0" w:oddVBand="0" w:evenVBand="0" w:oddHBand="0" w:evenHBand="0" w:firstRowFirstColumn="0" w:firstRowLastColumn="0" w:lastRowFirstColumn="0" w:lastRowLastColumn="0"/>
            <w:tcW w:w="3290" w:type="dxa"/>
          </w:tcPr>
          <w:p w14:paraId="0889979D" w14:textId="77777777" w:rsidR="00182709" w:rsidRDefault="0044097C">
            <w:r>
              <w:t>Advances from government</w:t>
            </w:r>
          </w:p>
        </w:tc>
        <w:tc>
          <w:tcPr>
            <w:tcW w:w="907" w:type="dxa"/>
          </w:tcPr>
          <w:p w14:paraId="218A19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5 313</w:t>
            </w:r>
          </w:p>
        </w:tc>
        <w:tc>
          <w:tcPr>
            <w:tcW w:w="907" w:type="dxa"/>
          </w:tcPr>
          <w:p w14:paraId="49F4EDED"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5 630</w:t>
            </w:r>
          </w:p>
        </w:tc>
        <w:tc>
          <w:tcPr>
            <w:tcW w:w="907" w:type="dxa"/>
          </w:tcPr>
          <w:p w14:paraId="54586C5F" w14:textId="77777777" w:rsidR="00182709" w:rsidRDefault="0044097C">
            <w:pPr>
              <w:cnfStyle w:val="000000000000" w:firstRow="0" w:lastRow="0" w:firstColumn="0" w:lastColumn="0" w:oddVBand="0" w:evenVBand="0" w:oddHBand="0" w:evenHBand="0" w:firstRowFirstColumn="0" w:firstRowLastColumn="0" w:lastRowFirstColumn="0" w:lastRowLastColumn="0"/>
            </w:pPr>
            <w:r>
              <w:t>512</w:t>
            </w:r>
          </w:p>
        </w:tc>
        <w:tc>
          <w:tcPr>
            <w:tcW w:w="907" w:type="dxa"/>
          </w:tcPr>
          <w:p w14:paraId="5F425918" w14:textId="77777777" w:rsidR="00182709" w:rsidRDefault="0044097C">
            <w:pPr>
              <w:cnfStyle w:val="000000000000" w:firstRow="0" w:lastRow="0" w:firstColumn="0" w:lastColumn="0" w:oddVBand="0" w:evenVBand="0" w:oddHBand="0" w:evenHBand="0" w:firstRowFirstColumn="0" w:firstRowLastColumn="0" w:lastRowFirstColumn="0" w:lastRowLastColumn="0"/>
            </w:pPr>
            <w:r>
              <w:t>768</w:t>
            </w:r>
          </w:p>
        </w:tc>
        <w:tc>
          <w:tcPr>
            <w:tcW w:w="1019" w:type="dxa"/>
          </w:tcPr>
          <w:p w14:paraId="0F60CCBB" w14:textId="77777777" w:rsidR="00182709" w:rsidRDefault="0044097C">
            <w:pPr>
              <w:cnfStyle w:val="000000000000" w:firstRow="0" w:lastRow="0" w:firstColumn="0" w:lastColumn="0" w:oddVBand="0" w:evenVBand="0" w:oddHBand="0" w:evenHBand="0" w:firstRowFirstColumn="0" w:firstRowLastColumn="0" w:lastRowFirstColumn="0" w:lastRowLastColumn="0"/>
            </w:pPr>
            <w:r>
              <w:t>4 350</w:t>
            </w:r>
          </w:p>
        </w:tc>
        <w:tc>
          <w:tcPr>
            <w:tcW w:w="882" w:type="dxa"/>
          </w:tcPr>
          <w:p w14:paraId="0F9AE1B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43D1599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84EFE8F" w14:textId="77777777">
        <w:tc>
          <w:tcPr>
            <w:cnfStyle w:val="001000000000" w:firstRow="0" w:lastRow="0" w:firstColumn="1" w:lastColumn="0" w:oddVBand="0" w:evenVBand="0" w:oddHBand="0" w:evenHBand="0" w:firstRowFirstColumn="0" w:firstRowLastColumn="0" w:lastRowFirstColumn="0" w:lastRowLastColumn="0"/>
            <w:tcW w:w="3290" w:type="dxa"/>
          </w:tcPr>
          <w:p w14:paraId="095BCFE9" w14:textId="77777777" w:rsidR="00182709" w:rsidRDefault="0044097C">
            <w:r>
              <w:t>Loans from TCV</w:t>
            </w:r>
          </w:p>
        </w:tc>
        <w:tc>
          <w:tcPr>
            <w:tcW w:w="907" w:type="dxa"/>
          </w:tcPr>
          <w:p w14:paraId="2243C0F0" w14:textId="77777777" w:rsidR="00182709" w:rsidRDefault="0044097C">
            <w:pPr>
              <w:cnfStyle w:val="000000000000" w:firstRow="0" w:lastRow="0" w:firstColumn="0" w:lastColumn="0" w:oddVBand="0" w:evenVBand="0" w:oddHBand="0" w:evenHBand="0" w:firstRowFirstColumn="0" w:firstRowLastColumn="0" w:lastRowFirstColumn="0" w:lastRowLastColumn="0"/>
            </w:pPr>
            <w:r>
              <w:t>48 696</w:t>
            </w:r>
          </w:p>
        </w:tc>
        <w:tc>
          <w:tcPr>
            <w:tcW w:w="907" w:type="dxa"/>
          </w:tcPr>
          <w:p w14:paraId="1C4D7FDF" w14:textId="2E63D9F2" w:rsidR="00182709" w:rsidRDefault="00AD73FC">
            <w:pPr>
              <w:cnfStyle w:val="000000000000" w:firstRow="0" w:lastRow="0" w:firstColumn="0" w:lastColumn="0" w:oddVBand="0" w:evenVBand="0" w:oddHBand="0" w:evenHBand="0" w:firstRowFirstColumn="0" w:firstRowLastColumn="0" w:lastRowFirstColumn="0" w:lastRowLastColumn="0"/>
            </w:pPr>
            <w:r>
              <w:t>6</w:t>
            </w:r>
            <w:r w:rsidR="0044097C">
              <w:t>8 696</w:t>
            </w:r>
          </w:p>
        </w:tc>
        <w:tc>
          <w:tcPr>
            <w:tcW w:w="907" w:type="dxa"/>
          </w:tcPr>
          <w:p w14:paraId="642F48D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509DD6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667FCA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4F80DEE9" w14:textId="47ACE0D8" w:rsidR="00182709" w:rsidRDefault="00AD73FC">
            <w:pPr>
              <w:cnfStyle w:val="000000000000" w:firstRow="0" w:lastRow="0" w:firstColumn="0" w:lastColumn="0" w:oddVBand="0" w:evenVBand="0" w:oddHBand="0" w:evenHBand="0" w:firstRowFirstColumn="0" w:firstRowLastColumn="0" w:lastRowFirstColumn="0" w:lastRowLastColumn="0"/>
            </w:pPr>
            <w:r>
              <w:t>2</w:t>
            </w:r>
            <w:r w:rsidR="0044097C">
              <w:t>9 478</w:t>
            </w:r>
          </w:p>
        </w:tc>
        <w:tc>
          <w:tcPr>
            <w:tcW w:w="820" w:type="dxa"/>
          </w:tcPr>
          <w:p w14:paraId="1DF482EA" w14:textId="4E3AA6B2" w:rsidR="00182709" w:rsidRDefault="00AD73FC">
            <w:pPr>
              <w:cnfStyle w:val="000000000000" w:firstRow="0" w:lastRow="0" w:firstColumn="0" w:lastColumn="0" w:oddVBand="0" w:evenVBand="0" w:oddHBand="0" w:evenHBand="0" w:firstRowFirstColumn="0" w:firstRowLastColumn="0" w:lastRowFirstColumn="0" w:lastRowLastColumn="0"/>
            </w:pPr>
            <w:r>
              <w:t>3</w:t>
            </w:r>
            <w:r w:rsidR="0044097C">
              <w:t>9 218</w:t>
            </w:r>
          </w:p>
        </w:tc>
      </w:tr>
      <w:tr w:rsidR="00182709" w14:paraId="6FFCE391"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19888C98" w14:textId="77777777" w:rsidR="00182709" w:rsidRDefault="0044097C">
            <w:r>
              <w:t>Financial liability designated at fair value through profit or loss</w:t>
            </w:r>
          </w:p>
        </w:tc>
        <w:tc>
          <w:tcPr>
            <w:tcW w:w="907" w:type="dxa"/>
            <w:tcBorders>
              <w:bottom w:val="single" w:sz="12" w:space="0" w:color="auto"/>
            </w:tcBorders>
          </w:tcPr>
          <w:p w14:paraId="26865220"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907" w:type="dxa"/>
            <w:tcBorders>
              <w:bottom w:val="single" w:sz="12" w:space="0" w:color="auto"/>
            </w:tcBorders>
          </w:tcPr>
          <w:p w14:paraId="0A09643A"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2556CD4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E0EE0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12" w:space="0" w:color="auto"/>
            </w:tcBorders>
          </w:tcPr>
          <w:p w14:paraId="6BCF628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bottom w:val="single" w:sz="12" w:space="0" w:color="auto"/>
            </w:tcBorders>
          </w:tcPr>
          <w:p w14:paraId="0E02FE81"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820" w:type="dxa"/>
            <w:tcBorders>
              <w:bottom w:val="single" w:sz="12" w:space="0" w:color="auto"/>
            </w:tcBorders>
          </w:tcPr>
          <w:p w14:paraId="23EA564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6A6DFAC3" w14:textId="77777777" w:rsidTr="00182709">
        <w:tc>
          <w:tcPr>
            <w:cnfStyle w:val="001000000000" w:firstRow="0" w:lastRow="0" w:firstColumn="1" w:lastColumn="0" w:oddVBand="0" w:evenVBand="0" w:oddHBand="0" w:evenHBand="0" w:firstRowFirstColumn="0" w:firstRowLastColumn="0" w:lastRowFirstColumn="0" w:lastRowLastColumn="0"/>
            <w:tcW w:w="3290" w:type="dxa"/>
          </w:tcPr>
          <w:p w14:paraId="53B32298" w14:textId="77777777" w:rsidR="00182709" w:rsidRDefault="0044097C">
            <w:r>
              <w:rPr>
                <w:b/>
              </w:rPr>
              <w:t>Total</w:t>
            </w:r>
          </w:p>
        </w:tc>
        <w:tc>
          <w:tcPr>
            <w:tcW w:w="907" w:type="dxa"/>
          </w:tcPr>
          <w:p w14:paraId="1A42F0D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125 665</w:t>
            </w:r>
          </w:p>
        </w:tc>
        <w:tc>
          <w:tcPr>
            <w:tcW w:w="907" w:type="dxa"/>
          </w:tcPr>
          <w:p w14:paraId="151F51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129 776</w:t>
            </w:r>
          </w:p>
        </w:tc>
        <w:tc>
          <w:tcPr>
            <w:tcW w:w="907" w:type="dxa"/>
          </w:tcPr>
          <w:p w14:paraId="6D8E7D8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1 109</w:t>
            </w:r>
          </w:p>
        </w:tc>
        <w:tc>
          <w:tcPr>
            <w:tcW w:w="907" w:type="dxa"/>
          </w:tcPr>
          <w:p w14:paraId="0E723F5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2 564</w:t>
            </w:r>
          </w:p>
        </w:tc>
        <w:tc>
          <w:tcPr>
            <w:tcW w:w="1019" w:type="dxa"/>
          </w:tcPr>
          <w:p w14:paraId="4FF3E4C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9 620</w:t>
            </w:r>
          </w:p>
        </w:tc>
        <w:tc>
          <w:tcPr>
            <w:tcW w:w="882" w:type="dxa"/>
          </w:tcPr>
          <w:p w14:paraId="5A9BDA9D" w14:textId="3B19C78B" w:rsidR="00182709" w:rsidRDefault="00AD73FC">
            <w:pPr>
              <w:cnfStyle w:val="000000000000" w:firstRow="0" w:lastRow="0" w:firstColumn="0" w:lastColumn="0" w:oddVBand="0" w:evenVBand="0" w:oddHBand="0" w:evenHBand="0" w:firstRowFirstColumn="0" w:firstRowLastColumn="0" w:lastRowFirstColumn="0" w:lastRowLastColumn="0"/>
            </w:pPr>
            <w:r>
              <w:rPr>
                <w:b/>
              </w:rPr>
              <w:t>4</w:t>
            </w:r>
            <w:r w:rsidR="0044097C">
              <w:rPr>
                <w:b/>
              </w:rPr>
              <w:t>1 258</w:t>
            </w:r>
          </w:p>
        </w:tc>
        <w:tc>
          <w:tcPr>
            <w:tcW w:w="820" w:type="dxa"/>
          </w:tcPr>
          <w:p w14:paraId="281EA7B5" w14:textId="6708E0E8" w:rsidR="00182709" w:rsidRDefault="00AD73FC">
            <w:pPr>
              <w:cnfStyle w:val="000000000000" w:firstRow="0" w:lastRow="0" w:firstColumn="0" w:lastColumn="0" w:oddVBand="0" w:evenVBand="0" w:oddHBand="0" w:evenHBand="0" w:firstRowFirstColumn="0" w:firstRowLastColumn="0" w:lastRowFirstColumn="0" w:lastRowLastColumn="0"/>
            </w:pPr>
            <w:r>
              <w:rPr>
                <w:b/>
              </w:rPr>
              <w:t>9</w:t>
            </w:r>
            <w:r w:rsidR="0044097C">
              <w:rPr>
                <w:b/>
              </w:rPr>
              <w:t>5 225</w:t>
            </w:r>
          </w:p>
        </w:tc>
      </w:tr>
      <w:tr w:rsidR="00671D55" w14:paraId="0619D2EC" w14:textId="77777777" w:rsidTr="00E52A40">
        <w:tc>
          <w:tcPr>
            <w:cnfStyle w:val="001000000000" w:firstRow="0" w:lastRow="0" w:firstColumn="1" w:lastColumn="0" w:oddVBand="0" w:evenVBand="0" w:oddHBand="0" w:evenHBand="0" w:firstRowFirstColumn="0" w:firstRowLastColumn="0" w:lastRowFirstColumn="0" w:lastRowLastColumn="0"/>
            <w:tcW w:w="3290" w:type="dxa"/>
          </w:tcPr>
          <w:p w14:paraId="47FB780F" w14:textId="77777777" w:rsidR="00E52A40" w:rsidRDefault="00E52A40">
            <w:pPr>
              <w:rPr>
                <w:b/>
              </w:rPr>
            </w:pPr>
          </w:p>
        </w:tc>
        <w:tc>
          <w:tcPr>
            <w:tcW w:w="907" w:type="dxa"/>
          </w:tcPr>
          <w:p w14:paraId="1539BD34"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Pr>
          <w:p w14:paraId="631C40FD"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Pr>
          <w:p w14:paraId="4DF62697"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907" w:type="dxa"/>
          </w:tcPr>
          <w:p w14:paraId="77335248"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1019" w:type="dxa"/>
          </w:tcPr>
          <w:p w14:paraId="06E895C9"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882" w:type="dxa"/>
          </w:tcPr>
          <w:p w14:paraId="23C6FCCA"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c>
          <w:tcPr>
            <w:tcW w:w="820" w:type="dxa"/>
          </w:tcPr>
          <w:p w14:paraId="23DC90C6" w14:textId="77777777" w:rsidR="00E52A40" w:rsidRDefault="00E52A40">
            <w:pPr>
              <w:cnfStyle w:val="000000000000" w:firstRow="0" w:lastRow="0" w:firstColumn="0" w:lastColumn="0" w:oddVBand="0" w:evenVBand="0" w:oddHBand="0" w:evenHBand="0" w:firstRowFirstColumn="0" w:firstRowLastColumn="0" w:lastRowFirstColumn="0" w:lastRowLastColumn="0"/>
            </w:pPr>
          </w:p>
        </w:tc>
      </w:tr>
      <w:tr w:rsidR="00182709" w14:paraId="3D5AD06B" w14:textId="77777777" w:rsidTr="00E52A40">
        <w:tc>
          <w:tcPr>
            <w:cnfStyle w:val="001000000000" w:firstRow="0" w:lastRow="0" w:firstColumn="1" w:lastColumn="0" w:oddVBand="0" w:evenVBand="0" w:oddHBand="0" w:evenHBand="0" w:firstRowFirstColumn="0" w:firstRowLastColumn="0" w:lastRowFirstColumn="0" w:lastRowLastColumn="0"/>
            <w:tcW w:w="3290" w:type="dxa"/>
            <w:tcBorders>
              <w:top w:val="nil"/>
              <w:bottom w:val="nil"/>
            </w:tcBorders>
            <w:shd w:val="clear" w:color="auto" w:fill="000000" w:themeFill="text1"/>
          </w:tcPr>
          <w:p w14:paraId="1DDC3C5B" w14:textId="3617B1C5" w:rsidR="00182709" w:rsidRPr="0045725F" w:rsidRDefault="0045725F">
            <w:pPr>
              <w:rPr>
                <w:bCs w:val="0"/>
                <w:i/>
                <w:iCs/>
              </w:rPr>
            </w:pPr>
            <w:r w:rsidRPr="0045725F">
              <w:rPr>
                <w:i/>
                <w:iCs/>
              </w:rPr>
              <w:fldChar w:fldCharType="begin"/>
            </w:r>
            <w:r w:rsidRPr="0045725F">
              <w:rPr>
                <w:bCs w:val="0"/>
                <w:i/>
                <w:iCs/>
              </w:rPr>
              <w:instrText>DOCPROPERTY  YearPrevious  \* MERGEFORMAT</w:instrText>
            </w:r>
            <w:r w:rsidRPr="0045725F">
              <w:rPr>
                <w:i/>
                <w:iCs/>
              </w:rPr>
              <w:fldChar w:fldCharType="separate"/>
            </w:r>
            <w:r w:rsidRPr="0045725F">
              <w:rPr>
                <w:bCs w:val="0"/>
                <w:i/>
                <w:iCs/>
              </w:rPr>
              <w:t>20X1</w:t>
            </w:r>
            <w:r w:rsidRPr="0045725F">
              <w:rPr>
                <w:i/>
                <w:iCs/>
              </w:rPr>
              <w:fldChar w:fldCharType="end"/>
            </w:r>
          </w:p>
        </w:tc>
        <w:tc>
          <w:tcPr>
            <w:tcW w:w="907" w:type="dxa"/>
            <w:tcBorders>
              <w:top w:val="nil"/>
              <w:bottom w:val="nil"/>
            </w:tcBorders>
            <w:shd w:val="clear" w:color="auto" w:fill="000000" w:themeFill="text1"/>
          </w:tcPr>
          <w:p w14:paraId="25043259"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2D0C3828"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48D3165F"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nil"/>
              <w:bottom w:val="nil"/>
            </w:tcBorders>
            <w:shd w:val="clear" w:color="auto" w:fill="000000" w:themeFill="text1"/>
          </w:tcPr>
          <w:p w14:paraId="650E0B0F"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019" w:type="dxa"/>
            <w:tcBorders>
              <w:top w:val="nil"/>
              <w:bottom w:val="nil"/>
            </w:tcBorders>
            <w:shd w:val="clear" w:color="auto" w:fill="000000" w:themeFill="text1"/>
          </w:tcPr>
          <w:p w14:paraId="66CB2267"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82" w:type="dxa"/>
            <w:tcBorders>
              <w:top w:val="nil"/>
              <w:bottom w:val="nil"/>
            </w:tcBorders>
            <w:shd w:val="clear" w:color="auto" w:fill="000000" w:themeFill="text1"/>
          </w:tcPr>
          <w:p w14:paraId="19F3AF19"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820" w:type="dxa"/>
            <w:tcBorders>
              <w:top w:val="nil"/>
              <w:bottom w:val="nil"/>
            </w:tcBorders>
            <w:shd w:val="clear" w:color="auto" w:fill="000000" w:themeFill="text1"/>
          </w:tcPr>
          <w:p w14:paraId="34911837" w14:textId="77777777" w:rsidR="00182709" w:rsidRPr="00E52A40"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3B3EE205" w14:textId="77777777" w:rsidTr="00E52A40">
        <w:tc>
          <w:tcPr>
            <w:cnfStyle w:val="001000000000" w:firstRow="0" w:lastRow="0" w:firstColumn="1" w:lastColumn="0" w:oddVBand="0" w:evenVBand="0" w:oddHBand="0" w:evenHBand="0" w:firstRowFirstColumn="0" w:firstRowLastColumn="0" w:lastRowFirstColumn="0" w:lastRowLastColumn="0"/>
            <w:tcW w:w="3290" w:type="dxa"/>
            <w:tcBorders>
              <w:top w:val="nil"/>
            </w:tcBorders>
          </w:tcPr>
          <w:p w14:paraId="5FFA7BED" w14:textId="77777777" w:rsidR="00182709" w:rsidRDefault="0044097C">
            <w:r>
              <w:t>Bank overdrafts</w:t>
            </w:r>
          </w:p>
        </w:tc>
        <w:tc>
          <w:tcPr>
            <w:tcW w:w="907" w:type="dxa"/>
            <w:tcBorders>
              <w:top w:val="nil"/>
            </w:tcBorders>
          </w:tcPr>
          <w:p w14:paraId="277111E2"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37C7DC53"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095C3219"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07" w:type="dxa"/>
            <w:tcBorders>
              <w:top w:val="nil"/>
            </w:tcBorders>
          </w:tcPr>
          <w:p w14:paraId="30FAA9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top w:val="nil"/>
            </w:tcBorders>
          </w:tcPr>
          <w:p w14:paraId="1B4BF4F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top w:val="nil"/>
            </w:tcBorders>
          </w:tcPr>
          <w:p w14:paraId="4C026F0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Borders>
              <w:top w:val="nil"/>
            </w:tcBorders>
          </w:tcPr>
          <w:p w14:paraId="1469D5E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18CD1026" w14:textId="77777777">
        <w:tc>
          <w:tcPr>
            <w:cnfStyle w:val="001000000000" w:firstRow="0" w:lastRow="0" w:firstColumn="1" w:lastColumn="0" w:oddVBand="0" w:evenVBand="0" w:oddHBand="0" w:evenHBand="0" w:firstRowFirstColumn="0" w:firstRowLastColumn="0" w:lastRowFirstColumn="0" w:lastRowLastColumn="0"/>
            <w:tcW w:w="3290" w:type="dxa"/>
          </w:tcPr>
          <w:p w14:paraId="7671A604" w14:textId="77777777" w:rsidR="00182709" w:rsidRDefault="0044097C">
            <w:r>
              <w:t>Lease liabilities</w:t>
            </w:r>
          </w:p>
        </w:tc>
        <w:tc>
          <w:tcPr>
            <w:tcW w:w="907" w:type="dxa"/>
          </w:tcPr>
          <w:p w14:paraId="00FADD3F"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07" w:type="dxa"/>
          </w:tcPr>
          <w:p w14:paraId="33065BAE" w14:textId="77777777" w:rsidR="00182709" w:rsidRDefault="0044097C">
            <w:pPr>
              <w:cnfStyle w:val="000000000000" w:firstRow="0" w:lastRow="0" w:firstColumn="0" w:lastColumn="0" w:oddVBand="0" w:evenVBand="0" w:oddHBand="0" w:evenHBand="0" w:firstRowFirstColumn="0" w:firstRowLastColumn="0" w:lastRowFirstColumn="0" w:lastRowLastColumn="0"/>
            </w:pPr>
            <w:r>
              <w:t>24 074</w:t>
            </w:r>
          </w:p>
        </w:tc>
        <w:tc>
          <w:tcPr>
            <w:tcW w:w="907" w:type="dxa"/>
          </w:tcPr>
          <w:p w14:paraId="15F7F8FB" w14:textId="77777777" w:rsidR="00182709" w:rsidRDefault="0044097C">
            <w:pPr>
              <w:cnfStyle w:val="000000000000" w:firstRow="0" w:lastRow="0" w:firstColumn="0" w:lastColumn="0" w:oddVBand="0" w:evenVBand="0" w:oddHBand="0" w:evenHBand="0" w:firstRowFirstColumn="0" w:firstRowLastColumn="0" w:lastRowFirstColumn="0" w:lastRowLastColumn="0"/>
            </w:pPr>
            <w:r>
              <w:t>8 195</w:t>
            </w:r>
          </w:p>
        </w:tc>
        <w:tc>
          <w:tcPr>
            <w:tcW w:w="907" w:type="dxa"/>
          </w:tcPr>
          <w:p w14:paraId="65178132" w14:textId="77777777" w:rsidR="00182709" w:rsidRDefault="0044097C">
            <w:pPr>
              <w:cnfStyle w:val="000000000000" w:firstRow="0" w:lastRow="0" w:firstColumn="0" w:lastColumn="0" w:oddVBand="0" w:evenVBand="0" w:oddHBand="0" w:evenHBand="0" w:firstRowFirstColumn="0" w:firstRowLastColumn="0" w:lastRowFirstColumn="0" w:lastRowLastColumn="0"/>
            </w:pPr>
            <w:r>
              <w:t>3 074</w:t>
            </w:r>
          </w:p>
        </w:tc>
        <w:tc>
          <w:tcPr>
            <w:tcW w:w="1019" w:type="dxa"/>
          </w:tcPr>
          <w:p w14:paraId="51C452B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1 025</w:t>
            </w:r>
          </w:p>
        </w:tc>
        <w:tc>
          <w:tcPr>
            <w:tcW w:w="882" w:type="dxa"/>
          </w:tcPr>
          <w:p w14:paraId="73A5F5B8"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5 890</w:t>
            </w:r>
          </w:p>
        </w:tc>
        <w:tc>
          <w:tcPr>
            <w:tcW w:w="820" w:type="dxa"/>
          </w:tcPr>
          <w:p w14:paraId="40D0795F" w14:textId="77777777" w:rsidR="00182709" w:rsidRDefault="0044097C">
            <w:pPr>
              <w:cnfStyle w:val="000000000000" w:firstRow="0" w:lastRow="0" w:firstColumn="0" w:lastColumn="0" w:oddVBand="0" w:evenVBand="0" w:oddHBand="0" w:evenHBand="0" w:firstRowFirstColumn="0" w:firstRowLastColumn="0" w:lastRowFirstColumn="0" w:lastRowLastColumn="0"/>
            </w:pPr>
            <w:r>
              <w:t>5 890</w:t>
            </w:r>
          </w:p>
        </w:tc>
      </w:tr>
      <w:tr w:rsidR="00182709" w14:paraId="0A4B6E0D" w14:textId="77777777">
        <w:tc>
          <w:tcPr>
            <w:cnfStyle w:val="001000000000" w:firstRow="0" w:lastRow="0" w:firstColumn="1" w:lastColumn="0" w:oddVBand="0" w:evenVBand="0" w:oddHBand="0" w:evenHBand="0" w:firstRowFirstColumn="0" w:firstRowLastColumn="0" w:lastRowFirstColumn="0" w:lastRowLastColumn="0"/>
            <w:tcW w:w="3290" w:type="dxa"/>
          </w:tcPr>
          <w:p w14:paraId="0DF14518" w14:textId="77777777" w:rsidR="00182709" w:rsidRDefault="0044097C">
            <w:r>
              <w:t>Service concession financial liability</w:t>
            </w:r>
          </w:p>
        </w:tc>
        <w:tc>
          <w:tcPr>
            <w:tcW w:w="907" w:type="dxa"/>
          </w:tcPr>
          <w:p w14:paraId="7BF46189"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07" w:type="dxa"/>
          </w:tcPr>
          <w:p w14:paraId="694ED155" w14:textId="77777777" w:rsidR="00182709" w:rsidRDefault="0044097C">
            <w:pPr>
              <w:cnfStyle w:val="000000000000" w:firstRow="0" w:lastRow="0" w:firstColumn="0" w:lastColumn="0" w:oddVBand="0" w:evenVBand="0" w:oddHBand="0" w:evenHBand="0" w:firstRowFirstColumn="0" w:firstRowLastColumn="0" w:lastRowFirstColumn="0" w:lastRowLastColumn="0"/>
            </w:pPr>
            <w:r>
              <w:t>61 285</w:t>
            </w:r>
          </w:p>
        </w:tc>
        <w:tc>
          <w:tcPr>
            <w:tcW w:w="907" w:type="dxa"/>
          </w:tcPr>
          <w:p w14:paraId="0FC1A0CB" w14:textId="77777777" w:rsidR="00182709" w:rsidRDefault="0044097C">
            <w:pPr>
              <w:cnfStyle w:val="000000000000" w:firstRow="0" w:lastRow="0" w:firstColumn="0" w:lastColumn="0" w:oddVBand="0" w:evenVBand="0" w:oddHBand="0" w:evenHBand="0" w:firstRowFirstColumn="0" w:firstRowLastColumn="0" w:lastRowFirstColumn="0" w:lastRowLastColumn="0"/>
            </w:pPr>
            <w:r>
              <w:t>97</w:t>
            </w:r>
          </w:p>
        </w:tc>
        <w:tc>
          <w:tcPr>
            <w:tcW w:w="907" w:type="dxa"/>
          </w:tcPr>
          <w:p w14:paraId="12424957" w14:textId="77777777" w:rsidR="00182709" w:rsidRDefault="0044097C">
            <w:pPr>
              <w:cnfStyle w:val="000000000000" w:firstRow="0" w:lastRow="0" w:firstColumn="0" w:lastColumn="0" w:oddVBand="0" w:evenVBand="0" w:oddHBand="0" w:evenHBand="0" w:firstRowFirstColumn="0" w:firstRowLastColumn="0" w:lastRowFirstColumn="0" w:lastRowLastColumn="0"/>
            </w:pPr>
            <w:r>
              <w:t>398</w:t>
            </w:r>
          </w:p>
        </w:tc>
        <w:tc>
          <w:tcPr>
            <w:tcW w:w="1019" w:type="dxa"/>
          </w:tcPr>
          <w:p w14:paraId="14044DEC" w14:textId="77777777" w:rsidR="00182709" w:rsidRDefault="0044097C">
            <w:pPr>
              <w:cnfStyle w:val="000000000000" w:firstRow="0" w:lastRow="0" w:firstColumn="0" w:lastColumn="0" w:oddVBand="0" w:evenVBand="0" w:oddHBand="0" w:evenHBand="0" w:firstRowFirstColumn="0" w:firstRowLastColumn="0" w:lastRowFirstColumn="0" w:lastRowLastColumn="0"/>
            </w:pPr>
            <w:r>
              <w:t>668</w:t>
            </w:r>
          </w:p>
        </w:tc>
        <w:tc>
          <w:tcPr>
            <w:tcW w:w="882" w:type="dxa"/>
          </w:tcPr>
          <w:p w14:paraId="042E1CDF" w14:textId="77777777" w:rsidR="00182709" w:rsidRDefault="0044097C">
            <w:pPr>
              <w:cnfStyle w:val="000000000000" w:firstRow="0" w:lastRow="0" w:firstColumn="0" w:lastColumn="0" w:oddVBand="0" w:evenVBand="0" w:oddHBand="0" w:evenHBand="0" w:firstRowFirstColumn="0" w:firstRowLastColumn="0" w:lastRowFirstColumn="0" w:lastRowLastColumn="0"/>
            </w:pPr>
            <w:r>
              <w:t>4 952</w:t>
            </w:r>
          </w:p>
        </w:tc>
        <w:tc>
          <w:tcPr>
            <w:tcW w:w="820" w:type="dxa"/>
          </w:tcPr>
          <w:p w14:paraId="78164B15" w14:textId="77777777" w:rsidR="00182709" w:rsidRDefault="0044097C">
            <w:pPr>
              <w:cnfStyle w:val="000000000000" w:firstRow="0" w:lastRow="0" w:firstColumn="0" w:lastColumn="0" w:oddVBand="0" w:evenVBand="0" w:oddHBand="0" w:evenHBand="0" w:firstRowFirstColumn="0" w:firstRowLastColumn="0" w:lastRowFirstColumn="0" w:lastRowLastColumn="0"/>
            </w:pPr>
            <w:r>
              <w:t>55 170</w:t>
            </w:r>
          </w:p>
        </w:tc>
      </w:tr>
      <w:tr w:rsidR="00182709" w14:paraId="15102D2E" w14:textId="77777777">
        <w:tc>
          <w:tcPr>
            <w:cnfStyle w:val="001000000000" w:firstRow="0" w:lastRow="0" w:firstColumn="1" w:lastColumn="0" w:oddVBand="0" w:evenVBand="0" w:oddHBand="0" w:evenHBand="0" w:firstRowFirstColumn="0" w:firstRowLastColumn="0" w:lastRowFirstColumn="0" w:lastRowLastColumn="0"/>
            <w:tcW w:w="3290" w:type="dxa"/>
          </w:tcPr>
          <w:p w14:paraId="0AC9A14C" w14:textId="77777777" w:rsidR="00182709" w:rsidRDefault="0044097C">
            <w:r>
              <w:t>Advances from government</w:t>
            </w:r>
          </w:p>
        </w:tc>
        <w:tc>
          <w:tcPr>
            <w:tcW w:w="907" w:type="dxa"/>
          </w:tcPr>
          <w:p w14:paraId="743D9967"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07" w:type="dxa"/>
          </w:tcPr>
          <w:p w14:paraId="7A32F87B" w14:textId="5AA91413" w:rsidR="00182709" w:rsidRDefault="0044097C">
            <w:pPr>
              <w:cnfStyle w:val="000000000000" w:firstRow="0" w:lastRow="0" w:firstColumn="0" w:lastColumn="0" w:oddVBand="0" w:evenVBand="0" w:oddHBand="0" w:evenHBand="0" w:firstRowFirstColumn="0" w:firstRowLastColumn="0" w:lastRowFirstColumn="0" w:lastRowLastColumn="0"/>
            </w:pPr>
            <w:r>
              <w:t>1</w:t>
            </w:r>
            <w:r w:rsidR="003F681B">
              <w:t>3</w:t>
            </w:r>
            <w:r>
              <w:t xml:space="preserve"> 315</w:t>
            </w:r>
          </w:p>
        </w:tc>
        <w:tc>
          <w:tcPr>
            <w:tcW w:w="907" w:type="dxa"/>
          </w:tcPr>
          <w:p w14:paraId="10736E7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1 029</w:t>
            </w:r>
          </w:p>
        </w:tc>
        <w:tc>
          <w:tcPr>
            <w:tcW w:w="907" w:type="dxa"/>
          </w:tcPr>
          <w:p w14:paraId="37616E5F" w14:textId="77777777" w:rsidR="00182709" w:rsidRDefault="0044097C">
            <w:pPr>
              <w:cnfStyle w:val="000000000000" w:firstRow="0" w:lastRow="0" w:firstColumn="0" w:lastColumn="0" w:oddVBand="0" w:evenVBand="0" w:oddHBand="0" w:evenHBand="0" w:firstRowFirstColumn="0" w:firstRowLastColumn="0" w:lastRowFirstColumn="0" w:lastRowLastColumn="0"/>
            </w:pPr>
            <w:r>
              <w:t>1 543</w:t>
            </w:r>
          </w:p>
        </w:tc>
        <w:tc>
          <w:tcPr>
            <w:tcW w:w="1019" w:type="dxa"/>
          </w:tcPr>
          <w:p w14:paraId="2FD4139F" w14:textId="2373F70B" w:rsidR="00182709" w:rsidRDefault="003F681B">
            <w:pPr>
              <w:cnfStyle w:val="000000000000" w:firstRow="0" w:lastRow="0" w:firstColumn="0" w:lastColumn="0" w:oddVBand="0" w:evenVBand="0" w:oddHBand="0" w:evenHBand="0" w:firstRowFirstColumn="0" w:firstRowLastColumn="0" w:lastRowFirstColumn="0" w:lastRowLastColumn="0"/>
            </w:pPr>
            <w:r>
              <w:t>10</w:t>
            </w:r>
            <w:r w:rsidR="0044097C">
              <w:t xml:space="preserve"> 743</w:t>
            </w:r>
          </w:p>
        </w:tc>
        <w:tc>
          <w:tcPr>
            <w:tcW w:w="882" w:type="dxa"/>
          </w:tcPr>
          <w:p w14:paraId="76017DD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20" w:type="dxa"/>
          </w:tcPr>
          <w:p w14:paraId="3244D0E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48C2FB7B" w14:textId="77777777">
        <w:tc>
          <w:tcPr>
            <w:cnfStyle w:val="001000000000" w:firstRow="0" w:lastRow="0" w:firstColumn="1" w:lastColumn="0" w:oddVBand="0" w:evenVBand="0" w:oddHBand="0" w:evenHBand="0" w:firstRowFirstColumn="0" w:firstRowLastColumn="0" w:lastRowFirstColumn="0" w:lastRowLastColumn="0"/>
            <w:tcW w:w="3290" w:type="dxa"/>
          </w:tcPr>
          <w:p w14:paraId="28A1F4B6" w14:textId="77777777" w:rsidR="00182709" w:rsidRDefault="0044097C">
            <w:r>
              <w:t>Loans from TCV</w:t>
            </w:r>
          </w:p>
        </w:tc>
        <w:tc>
          <w:tcPr>
            <w:tcW w:w="907" w:type="dxa"/>
          </w:tcPr>
          <w:p w14:paraId="6835AA07"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07" w:type="dxa"/>
          </w:tcPr>
          <w:p w14:paraId="6DC8CC6C" w14:textId="32D9282E" w:rsidR="00182709" w:rsidRDefault="00ED5124">
            <w:pPr>
              <w:cnfStyle w:val="000000000000" w:firstRow="0" w:lastRow="0" w:firstColumn="0" w:lastColumn="0" w:oddVBand="0" w:evenVBand="0" w:oddHBand="0" w:evenHBand="0" w:firstRowFirstColumn="0" w:firstRowLastColumn="0" w:lastRowFirstColumn="0" w:lastRowLastColumn="0"/>
            </w:pPr>
            <w:r>
              <w:t>37 655</w:t>
            </w:r>
          </w:p>
        </w:tc>
        <w:tc>
          <w:tcPr>
            <w:tcW w:w="907" w:type="dxa"/>
          </w:tcPr>
          <w:p w14:paraId="4B572B1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A1C11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Pr>
          <w:p w14:paraId="51D0A6E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Pr>
          <w:p w14:paraId="4CA04715" w14:textId="4FE7359E" w:rsidR="00182709" w:rsidRDefault="00ED5124">
            <w:pPr>
              <w:cnfStyle w:val="000000000000" w:firstRow="0" w:lastRow="0" w:firstColumn="0" w:lastColumn="0" w:oddVBand="0" w:evenVBand="0" w:oddHBand="0" w:evenHBand="0" w:firstRowFirstColumn="0" w:firstRowLastColumn="0" w:lastRowFirstColumn="0" w:lastRowLastColumn="0"/>
            </w:pPr>
            <w:r>
              <w:t>21 032</w:t>
            </w:r>
          </w:p>
        </w:tc>
        <w:tc>
          <w:tcPr>
            <w:tcW w:w="820" w:type="dxa"/>
          </w:tcPr>
          <w:p w14:paraId="3BD3D5EF" w14:textId="56E0DBD9" w:rsidR="00182709" w:rsidRDefault="0044097C">
            <w:pPr>
              <w:cnfStyle w:val="000000000000" w:firstRow="0" w:lastRow="0" w:firstColumn="0" w:lastColumn="0" w:oddVBand="0" w:evenVBand="0" w:oddHBand="0" w:evenHBand="0" w:firstRowFirstColumn="0" w:firstRowLastColumn="0" w:lastRowFirstColumn="0" w:lastRowLastColumn="0"/>
            </w:pPr>
            <w:r>
              <w:t>16 623</w:t>
            </w:r>
          </w:p>
        </w:tc>
      </w:tr>
      <w:tr w:rsidR="00182709" w14:paraId="26BD4A6D" w14:textId="77777777" w:rsidTr="00182709">
        <w:tc>
          <w:tcPr>
            <w:cnfStyle w:val="001000000000" w:firstRow="0" w:lastRow="0" w:firstColumn="1" w:lastColumn="0" w:oddVBand="0" w:evenVBand="0" w:oddHBand="0" w:evenHBand="0" w:firstRowFirstColumn="0" w:firstRowLastColumn="0" w:lastRowFirstColumn="0" w:lastRowLastColumn="0"/>
            <w:tcW w:w="3290" w:type="dxa"/>
            <w:tcBorders>
              <w:bottom w:val="single" w:sz="12" w:space="0" w:color="auto"/>
            </w:tcBorders>
          </w:tcPr>
          <w:p w14:paraId="7B36665C" w14:textId="77777777" w:rsidR="00182709" w:rsidRDefault="0044097C">
            <w:r>
              <w:t>Financial liability designated at fair value through profit or loss</w:t>
            </w:r>
          </w:p>
        </w:tc>
        <w:tc>
          <w:tcPr>
            <w:tcW w:w="907" w:type="dxa"/>
            <w:tcBorders>
              <w:bottom w:val="single" w:sz="12" w:space="0" w:color="auto"/>
            </w:tcBorders>
          </w:tcPr>
          <w:p w14:paraId="7101DEF7"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6FD39A32" w14:textId="7400BE1F" w:rsidR="00182709" w:rsidRDefault="00613091">
            <w:pPr>
              <w:cnfStyle w:val="000000000000" w:firstRow="0" w:lastRow="0" w:firstColumn="0" w:lastColumn="0" w:oddVBand="0" w:evenVBand="0" w:oddHBand="0" w:evenHBand="0" w:firstRowFirstColumn="0" w:firstRowLastColumn="0" w:lastRowFirstColumn="0" w:lastRowLastColumn="0"/>
            </w:pPr>
            <w:r>
              <w:t>3</w:t>
            </w:r>
            <w:r w:rsidR="0044097C">
              <w:t>00</w:t>
            </w:r>
          </w:p>
        </w:tc>
        <w:tc>
          <w:tcPr>
            <w:tcW w:w="907" w:type="dxa"/>
            <w:tcBorders>
              <w:bottom w:val="single" w:sz="12" w:space="0" w:color="auto"/>
            </w:tcBorders>
          </w:tcPr>
          <w:p w14:paraId="23CF62B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660B6F6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019" w:type="dxa"/>
            <w:tcBorders>
              <w:bottom w:val="single" w:sz="12" w:space="0" w:color="auto"/>
            </w:tcBorders>
          </w:tcPr>
          <w:p w14:paraId="5FBEC47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82" w:type="dxa"/>
            <w:tcBorders>
              <w:bottom w:val="single" w:sz="12" w:space="0" w:color="auto"/>
            </w:tcBorders>
          </w:tcPr>
          <w:p w14:paraId="3483426D" w14:textId="5B8A8F4A" w:rsidR="00182709" w:rsidRDefault="00613091">
            <w:pPr>
              <w:cnfStyle w:val="000000000000" w:firstRow="0" w:lastRow="0" w:firstColumn="0" w:lastColumn="0" w:oddVBand="0" w:evenVBand="0" w:oddHBand="0" w:evenHBand="0" w:firstRowFirstColumn="0" w:firstRowLastColumn="0" w:lastRowFirstColumn="0" w:lastRowLastColumn="0"/>
            </w:pPr>
            <w:r>
              <w:t>3</w:t>
            </w:r>
            <w:r w:rsidR="0044097C">
              <w:t>00</w:t>
            </w:r>
          </w:p>
        </w:tc>
        <w:tc>
          <w:tcPr>
            <w:tcW w:w="820" w:type="dxa"/>
            <w:tcBorders>
              <w:bottom w:val="single" w:sz="12" w:space="0" w:color="auto"/>
            </w:tcBorders>
          </w:tcPr>
          <w:p w14:paraId="2A98107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25A620B2" w14:textId="77777777" w:rsidTr="00182709">
        <w:tc>
          <w:tcPr>
            <w:cnfStyle w:val="001000000000" w:firstRow="0" w:lastRow="0" w:firstColumn="1" w:lastColumn="0" w:oddVBand="0" w:evenVBand="0" w:oddHBand="0" w:evenHBand="0" w:firstRowFirstColumn="0" w:firstRowLastColumn="0" w:lastRowFirstColumn="0" w:lastRowLastColumn="0"/>
            <w:tcW w:w="3290" w:type="dxa"/>
          </w:tcPr>
          <w:p w14:paraId="46DD0838" w14:textId="77777777" w:rsidR="00182709" w:rsidRDefault="0044097C">
            <w:r>
              <w:rPr>
                <w:b/>
              </w:rPr>
              <w:t>Total</w:t>
            </w:r>
          </w:p>
        </w:tc>
        <w:tc>
          <w:tcPr>
            <w:tcW w:w="907" w:type="dxa"/>
          </w:tcPr>
          <w:p w14:paraId="2891374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125 248</w:t>
            </w:r>
          </w:p>
        </w:tc>
        <w:tc>
          <w:tcPr>
            <w:tcW w:w="907" w:type="dxa"/>
          </w:tcPr>
          <w:p w14:paraId="66020D42" w14:textId="6DA7F69A" w:rsidR="00182709" w:rsidRDefault="0044097C">
            <w:pPr>
              <w:cnfStyle w:val="000000000000" w:firstRow="0" w:lastRow="0" w:firstColumn="0" w:lastColumn="0" w:oddVBand="0" w:evenVBand="0" w:oddHBand="0" w:evenHBand="0" w:firstRowFirstColumn="0" w:firstRowLastColumn="0" w:lastRowFirstColumn="0" w:lastRowLastColumn="0"/>
            </w:pPr>
            <w:r>
              <w:rPr>
                <w:b/>
              </w:rPr>
              <w:t xml:space="preserve">130 </w:t>
            </w:r>
            <w:r w:rsidR="00613091">
              <w:rPr>
                <w:b/>
              </w:rPr>
              <w:t>1</w:t>
            </w:r>
            <w:r>
              <w:rPr>
                <w:b/>
              </w:rPr>
              <w:t>16</w:t>
            </w:r>
          </w:p>
        </w:tc>
        <w:tc>
          <w:tcPr>
            <w:tcW w:w="907" w:type="dxa"/>
          </w:tcPr>
          <w:p w14:paraId="77C389D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14 758</w:t>
            </w:r>
          </w:p>
        </w:tc>
        <w:tc>
          <w:tcPr>
            <w:tcW w:w="907" w:type="dxa"/>
          </w:tcPr>
          <w:p w14:paraId="238C20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5 015</w:t>
            </w:r>
          </w:p>
        </w:tc>
        <w:tc>
          <w:tcPr>
            <w:tcW w:w="1019" w:type="dxa"/>
          </w:tcPr>
          <w:p w14:paraId="51D13433" w14:textId="5FAC614A" w:rsidR="00182709" w:rsidRDefault="0044097C">
            <w:pPr>
              <w:cnfStyle w:val="000000000000" w:firstRow="0" w:lastRow="0" w:firstColumn="0" w:lastColumn="0" w:oddVBand="0" w:evenVBand="0" w:oddHBand="0" w:evenHBand="0" w:firstRowFirstColumn="0" w:firstRowLastColumn="0" w:lastRowFirstColumn="0" w:lastRowLastColumn="0"/>
            </w:pPr>
            <w:r>
              <w:rPr>
                <w:b/>
              </w:rPr>
              <w:t>1</w:t>
            </w:r>
            <w:r w:rsidR="003F681B">
              <w:rPr>
                <w:b/>
              </w:rPr>
              <w:t>2</w:t>
            </w:r>
            <w:r>
              <w:rPr>
                <w:b/>
              </w:rPr>
              <w:t xml:space="preserve"> 436</w:t>
            </w:r>
          </w:p>
        </w:tc>
        <w:tc>
          <w:tcPr>
            <w:tcW w:w="882" w:type="dxa"/>
          </w:tcPr>
          <w:p w14:paraId="61CC692F" w14:textId="40FCE90D" w:rsidR="00182709" w:rsidRDefault="008F1E79">
            <w:pPr>
              <w:cnfStyle w:val="000000000000" w:firstRow="0" w:lastRow="0" w:firstColumn="0" w:lastColumn="0" w:oddVBand="0" w:evenVBand="0" w:oddHBand="0" w:evenHBand="0" w:firstRowFirstColumn="0" w:firstRowLastColumn="0" w:lastRowFirstColumn="0" w:lastRowLastColumn="0"/>
            </w:pPr>
            <w:r>
              <w:rPr>
                <w:b/>
              </w:rPr>
              <w:t>3</w:t>
            </w:r>
            <w:r w:rsidR="0044097C">
              <w:rPr>
                <w:b/>
              </w:rPr>
              <w:t xml:space="preserve">2 </w:t>
            </w:r>
            <w:r w:rsidR="00613091">
              <w:rPr>
                <w:b/>
              </w:rPr>
              <w:t>1</w:t>
            </w:r>
            <w:r>
              <w:rPr>
                <w:b/>
              </w:rPr>
              <w:t>74</w:t>
            </w:r>
          </w:p>
        </w:tc>
        <w:tc>
          <w:tcPr>
            <w:tcW w:w="820" w:type="dxa"/>
          </w:tcPr>
          <w:p w14:paraId="79EC16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77 683</w:t>
            </w:r>
          </w:p>
        </w:tc>
      </w:tr>
    </w:tbl>
    <w:p w14:paraId="0458318C" w14:textId="77777777" w:rsidR="003719CD" w:rsidRDefault="003719CD" w:rsidP="007D536F"/>
    <w:p w14:paraId="46718BAB" w14:textId="77777777" w:rsidR="003719CD" w:rsidRDefault="003719CD" w:rsidP="007D536F">
      <w:pPr>
        <w:pStyle w:val="GuidanceBlockHeading"/>
      </w:pPr>
      <w:r>
        <w:t>Guidance – Borrowings</w:t>
      </w:r>
    </w:p>
    <w:p w14:paraId="0D0807B9" w14:textId="717B611B" w:rsidR="003719CD" w:rsidRPr="001777C5" w:rsidRDefault="003719CD" w:rsidP="007D536F">
      <w:pPr>
        <w:keepNext/>
        <w:rPr>
          <w:rStyle w:val="Guidance"/>
        </w:rPr>
      </w:pPr>
      <w:r w:rsidRPr="001777C5">
        <w:rPr>
          <w:rStyle w:val="Guidance"/>
          <w:b/>
          <w:bCs/>
        </w:rPr>
        <w:t>Defaults and breaches</w:t>
      </w:r>
      <w:r w:rsidRPr="001777C5">
        <w:rPr>
          <w:rStyle w:val="Guidance"/>
        </w:rPr>
        <w:t xml:space="preserve">: </w:t>
      </w:r>
      <w:r w:rsidR="007667F2">
        <w:rPr>
          <w:rStyle w:val="Guidance"/>
        </w:rPr>
        <w:t>F</w:t>
      </w:r>
      <w:r w:rsidRPr="001777C5">
        <w:rPr>
          <w:rStyle w:val="Guidance"/>
        </w:rPr>
        <w:t xml:space="preserve">or loans payable recognised at the end of the reporting period, an entity shall disclose: </w:t>
      </w:r>
    </w:p>
    <w:p w14:paraId="081D0D91" w14:textId="254941D2" w:rsidR="003719CD" w:rsidRPr="001777C5" w:rsidRDefault="003719CD" w:rsidP="00310F12">
      <w:pPr>
        <w:pStyle w:val="ListBullet"/>
        <w:rPr>
          <w:rStyle w:val="Guidance"/>
        </w:rPr>
      </w:pPr>
      <w:r w:rsidRPr="001777C5">
        <w:rPr>
          <w:rStyle w:val="Guidance"/>
        </w:rPr>
        <w:t>details of any defaults during the period of principal, interest, sinking fund, or redemption terms of those loans payable</w:t>
      </w:r>
    </w:p>
    <w:p w14:paraId="5D9E207B" w14:textId="066ED641" w:rsidR="003719CD" w:rsidRPr="001777C5" w:rsidRDefault="003719CD" w:rsidP="00310F12">
      <w:pPr>
        <w:pStyle w:val="ListBullet"/>
        <w:rPr>
          <w:rStyle w:val="Guidance"/>
        </w:rPr>
      </w:pPr>
      <w:r w:rsidRPr="001777C5">
        <w:rPr>
          <w:rStyle w:val="Guidance"/>
        </w:rPr>
        <w:t>the carrying amount of the loans payable in default at the end of the reporting period</w:t>
      </w:r>
    </w:p>
    <w:p w14:paraId="1651005A" w14:textId="77777777" w:rsidR="003719CD" w:rsidRPr="001777C5" w:rsidRDefault="003719CD" w:rsidP="00310F12">
      <w:pPr>
        <w:pStyle w:val="ListBullet"/>
        <w:rPr>
          <w:rStyle w:val="Guidance"/>
        </w:rPr>
      </w:pPr>
      <w:r w:rsidRPr="001777C5">
        <w:rPr>
          <w:rStyle w:val="Guidance"/>
        </w:rPr>
        <w:t xml:space="preserve">whether the default was remedied, or the terms of the loans payable was renegotiated, before the financial statements was authorised for issue. </w:t>
      </w:r>
      <w:r w:rsidRPr="001777C5">
        <w:rPr>
          <w:rStyle w:val="Reference"/>
        </w:rPr>
        <w:t>[AASB 7.18]</w:t>
      </w:r>
      <w:r w:rsidRPr="001777C5">
        <w:rPr>
          <w:rStyle w:val="Guidance"/>
        </w:rPr>
        <w:t xml:space="preserve"> </w:t>
      </w:r>
    </w:p>
    <w:p w14:paraId="3C87453A" w14:textId="77777777" w:rsidR="003719CD" w:rsidRPr="001777C5" w:rsidRDefault="003719CD" w:rsidP="007D536F">
      <w:pPr>
        <w:rPr>
          <w:rStyle w:val="Guidance"/>
        </w:rPr>
      </w:pPr>
      <w:r w:rsidRPr="001777C5">
        <w:rPr>
          <w:rStyle w:val="Guidance"/>
        </w:rPr>
        <w:t>If, during the period, there were breaches of loan agreement terms other than those described in paragraph 18 of AASB</w:t>
      </w:r>
      <w:r>
        <w:rPr>
          <w:rStyle w:val="Guidance"/>
        </w:rPr>
        <w:t> </w:t>
      </w:r>
      <w:r w:rsidRPr="001777C5">
        <w:rPr>
          <w:rStyle w:val="Guidance"/>
        </w:rPr>
        <w:t xml:space="preserve">7, an entity shall disclose the same information as required by paragraph 18 if those breaches permitted the lender to demand accelerated repayment (unless the breaches were remedied, or the terms of the loan were renegotiated, on or before the end of the reporting period). </w:t>
      </w:r>
      <w:r w:rsidRPr="001777C5">
        <w:rPr>
          <w:rStyle w:val="Reference"/>
        </w:rPr>
        <w:t>[AASB 7.19]</w:t>
      </w:r>
    </w:p>
    <w:p w14:paraId="2C779551" w14:textId="651E4198" w:rsidR="003719CD" w:rsidRPr="001777C5" w:rsidRDefault="003719CD" w:rsidP="007D536F">
      <w:pPr>
        <w:rPr>
          <w:rStyle w:val="Guidance"/>
        </w:rPr>
      </w:pPr>
      <w:r w:rsidRPr="001777C5">
        <w:rPr>
          <w:rStyle w:val="Guidance"/>
          <w:b/>
          <w:bCs/>
        </w:rPr>
        <w:t>Statutory borrowings</w:t>
      </w:r>
      <w:r w:rsidRPr="001777C5">
        <w:rPr>
          <w:rStyle w:val="Guidance"/>
        </w:rPr>
        <w:t xml:space="preserve">: </w:t>
      </w:r>
      <w:r w:rsidR="007667F2">
        <w:rPr>
          <w:rStyle w:val="Guidance"/>
        </w:rPr>
        <w:t>L</w:t>
      </w:r>
      <w:r w:rsidRPr="001777C5">
        <w:rPr>
          <w:rStyle w:val="Guidance"/>
        </w:rPr>
        <w:t xml:space="preserve">iabilities that are not contractual (such as liabilities that arise as a result of statutory requirements), are not financial instruments. Therefore, although these liabilities are similar to financial instruments, they are in fact not in the scope of AASB 7. However, entities who wish to apply disclosure requirements similar to those from AASB 7 to such liabilities may do so at their own discretion. </w:t>
      </w:r>
      <w:r w:rsidRPr="001777C5">
        <w:rPr>
          <w:rStyle w:val="Reference"/>
        </w:rPr>
        <w:t>[AASB 132.AG12]</w:t>
      </w:r>
    </w:p>
    <w:p w14:paraId="02A816B3" w14:textId="54C75715" w:rsidR="003719CD" w:rsidRDefault="003719CD" w:rsidP="007D536F">
      <w:pPr>
        <w:rPr>
          <w:rStyle w:val="Guidance"/>
        </w:rPr>
      </w:pPr>
      <w:r w:rsidRPr="001777C5">
        <w:rPr>
          <w:rStyle w:val="Guidance"/>
          <w:b/>
          <w:bCs/>
        </w:rPr>
        <w:t>Classification of financial instruments</w:t>
      </w:r>
      <w:r w:rsidRPr="001777C5">
        <w:rPr>
          <w:rStyle w:val="Guidance"/>
        </w:rPr>
        <w:t xml:space="preserve">: </w:t>
      </w:r>
      <w:r w:rsidR="007667F2">
        <w:rPr>
          <w:rStyle w:val="Guidance"/>
        </w:rPr>
        <w:t>W</w:t>
      </w:r>
      <w:r w:rsidRPr="001777C5">
        <w:rPr>
          <w:rStyle w:val="Guidance"/>
        </w:rPr>
        <w:t>hen the balance sheet presentation of a financial instrument differs from the instrument’s legal form, it is desirable for an entity to explain in the notes the nature of the financial instrument.</w:t>
      </w:r>
    </w:p>
    <w:p w14:paraId="057B9571" w14:textId="77777777" w:rsidR="003719CD" w:rsidRPr="001777C5" w:rsidRDefault="003719CD" w:rsidP="007D536F">
      <w:pPr>
        <w:pStyle w:val="GuidanceEnd"/>
        <w:rPr>
          <w:rStyle w:val="Guidance"/>
        </w:rPr>
      </w:pPr>
    </w:p>
    <w:p w14:paraId="15EDDD55" w14:textId="77777777" w:rsidR="00D42903" w:rsidRDefault="00D42903">
      <w:pPr>
        <w:keepLines w:val="0"/>
        <w:rPr>
          <w:b/>
          <w:iCs/>
          <w:color w:val="404040" w:themeColor="text1" w:themeTint="BF"/>
        </w:rPr>
      </w:pPr>
      <w:r>
        <w:br w:type="page"/>
      </w:r>
    </w:p>
    <w:p w14:paraId="7120BD4F" w14:textId="02085D3F" w:rsidR="003719CD" w:rsidRDefault="003719CD" w:rsidP="007D536F">
      <w:pPr>
        <w:pStyle w:val="Caption"/>
      </w:pPr>
      <w:r>
        <w:lastRenderedPageBreak/>
        <w:t>Interest expense</w:t>
      </w:r>
      <w:r>
        <w:tab/>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45725F" w14:paraId="60EE0965" w14:textId="77777777" w:rsidTr="0045725F">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139F19E4" w14:textId="77777777" w:rsidR="0045725F" w:rsidRDefault="0045725F" w:rsidP="0045725F">
            <w:pPr>
              <w:keepNext/>
              <w:jc w:val="left"/>
            </w:pPr>
            <w:r>
              <w:rPr>
                <w:color w:val="4472C4"/>
                <w:sz w:val="13"/>
              </w:rPr>
              <w:t>Source reference</w:t>
            </w:r>
          </w:p>
        </w:tc>
        <w:tc>
          <w:tcPr>
            <w:tcW w:w="6558" w:type="dxa"/>
          </w:tcPr>
          <w:p w14:paraId="59B0FE18" w14:textId="77777777" w:rsidR="0045725F" w:rsidRDefault="0045725F" w:rsidP="0045725F">
            <w:pPr>
              <w:keepNext/>
              <w:jc w:val="left"/>
            </w:pPr>
          </w:p>
        </w:tc>
        <w:tc>
          <w:tcPr>
            <w:tcW w:w="866" w:type="dxa"/>
          </w:tcPr>
          <w:p w14:paraId="7610B662" w14:textId="3C396949" w:rsidR="0045725F" w:rsidRPr="00356B9C" w:rsidRDefault="0045725F" w:rsidP="0045725F">
            <w:pPr>
              <w:keepNext/>
              <w:rPr>
                <w:iCs/>
              </w:rPr>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866" w:type="dxa"/>
          </w:tcPr>
          <w:p w14:paraId="7A31BB5E" w14:textId="7B1A47B2" w:rsidR="0045725F" w:rsidRPr="00356B9C" w:rsidRDefault="0045725F" w:rsidP="0045725F">
            <w:pPr>
              <w:keepNext/>
              <w:rPr>
                <w:iCs/>
              </w:rPr>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182709" w14:paraId="2F03F5CB" w14:textId="77777777" w:rsidTr="0045725F">
        <w:tc>
          <w:tcPr>
            <w:tcW w:w="1349" w:type="dxa"/>
          </w:tcPr>
          <w:p w14:paraId="26EB5876" w14:textId="77777777" w:rsidR="00182709" w:rsidRDefault="00182709">
            <w:pPr>
              <w:jc w:val="left"/>
            </w:pPr>
          </w:p>
        </w:tc>
        <w:tc>
          <w:tcPr>
            <w:tcW w:w="6558" w:type="dxa"/>
          </w:tcPr>
          <w:p w14:paraId="2DAD6881" w14:textId="77777777" w:rsidR="00182709" w:rsidRDefault="0044097C">
            <w:pPr>
              <w:jc w:val="left"/>
            </w:pPr>
            <w:r>
              <w:t>Interest on government loans</w:t>
            </w:r>
          </w:p>
        </w:tc>
        <w:tc>
          <w:tcPr>
            <w:tcW w:w="866" w:type="dxa"/>
          </w:tcPr>
          <w:p w14:paraId="708EFB32" w14:textId="77777777" w:rsidR="00182709" w:rsidRDefault="0044097C">
            <w:r>
              <w:t>172</w:t>
            </w:r>
          </w:p>
        </w:tc>
        <w:tc>
          <w:tcPr>
            <w:tcW w:w="866" w:type="dxa"/>
          </w:tcPr>
          <w:p w14:paraId="3847A14E" w14:textId="77777777" w:rsidR="00182709" w:rsidRDefault="0044097C">
            <w:r>
              <w:t>390</w:t>
            </w:r>
          </w:p>
        </w:tc>
      </w:tr>
      <w:tr w:rsidR="00182709" w14:paraId="0A450373" w14:textId="77777777" w:rsidTr="0045725F">
        <w:tc>
          <w:tcPr>
            <w:tcW w:w="1349" w:type="dxa"/>
          </w:tcPr>
          <w:p w14:paraId="45F93906" w14:textId="77777777" w:rsidR="00182709" w:rsidRDefault="00182709">
            <w:pPr>
              <w:jc w:val="left"/>
            </w:pPr>
          </w:p>
        </w:tc>
        <w:tc>
          <w:tcPr>
            <w:tcW w:w="6558" w:type="dxa"/>
          </w:tcPr>
          <w:p w14:paraId="050D7193" w14:textId="77777777" w:rsidR="00182709" w:rsidRDefault="0044097C">
            <w:pPr>
              <w:jc w:val="left"/>
            </w:pPr>
            <w:r>
              <w:t xml:space="preserve">Interest on leases liabilities </w:t>
            </w:r>
            <w:r>
              <w:rPr>
                <w:vertAlign w:val="superscript"/>
              </w:rPr>
              <w:t>(a)</w:t>
            </w:r>
          </w:p>
        </w:tc>
        <w:tc>
          <w:tcPr>
            <w:tcW w:w="866" w:type="dxa"/>
          </w:tcPr>
          <w:p w14:paraId="6FCAD86F" w14:textId="77777777" w:rsidR="00182709" w:rsidRDefault="0044097C">
            <w:r>
              <w:t>1 321</w:t>
            </w:r>
          </w:p>
        </w:tc>
        <w:tc>
          <w:tcPr>
            <w:tcW w:w="866" w:type="dxa"/>
          </w:tcPr>
          <w:p w14:paraId="53DE17D4" w14:textId="77777777" w:rsidR="00182709" w:rsidRDefault="0044097C">
            <w:r>
              <w:t>1 195</w:t>
            </w:r>
          </w:p>
        </w:tc>
      </w:tr>
      <w:tr w:rsidR="00182709" w14:paraId="27AF8CC7" w14:textId="77777777" w:rsidTr="0045725F">
        <w:tc>
          <w:tcPr>
            <w:tcW w:w="1349" w:type="dxa"/>
          </w:tcPr>
          <w:p w14:paraId="14A207AE" w14:textId="77777777" w:rsidR="00182709" w:rsidRDefault="00182709">
            <w:pPr>
              <w:jc w:val="left"/>
            </w:pPr>
          </w:p>
        </w:tc>
        <w:tc>
          <w:tcPr>
            <w:tcW w:w="6558" w:type="dxa"/>
          </w:tcPr>
          <w:p w14:paraId="270D5AD4" w14:textId="77777777" w:rsidR="00182709" w:rsidRDefault="0044097C">
            <w:pPr>
              <w:jc w:val="left"/>
            </w:pPr>
            <w:r>
              <w:t>Interest on service concession arrangements</w:t>
            </w:r>
          </w:p>
        </w:tc>
        <w:tc>
          <w:tcPr>
            <w:tcW w:w="866" w:type="dxa"/>
          </w:tcPr>
          <w:p w14:paraId="46624ED5" w14:textId="77777777" w:rsidR="00182709" w:rsidRDefault="0044097C">
            <w:r>
              <w:t>4 000</w:t>
            </w:r>
          </w:p>
        </w:tc>
        <w:tc>
          <w:tcPr>
            <w:tcW w:w="866" w:type="dxa"/>
          </w:tcPr>
          <w:p w14:paraId="447716B9" w14:textId="77777777" w:rsidR="00182709" w:rsidRDefault="0044097C">
            <w:r>
              <w:t>2 000</w:t>
            </w:r>
          </w:p>
        </w:tc>
      </w:tr>
      <w:tr w:rsidR="00182709" w14:paraId="0CCD3E74" w14:textId="77777777" w:rsidTr="0045725F">
        <w:tc>
          <w:tcPr>
            <w:tcW w:w="1349" w:type="dxa"/>
          </w:tcPr>
          <w:p w14:paraId="14B87268" w14:textId="77777777" w:rsidR="00182709" w:rsidRDefault="00182709">
            <w:pPr>
              <w:jc w:val="left"/>
            </w:pPr>
          </w:p>
        </w:tc>
        <w:tc>
          <w:tcPr>
            <w:tcW w:w="6558" w:type="dxa"/>
            <w:tcBorders>
              <w:bottom w:val="single" w:sz="12" w:space="0" w:color="auto"/>
            </w:tcBorders>
          </w:tcPr>
          <w:p w14:paraId="0309B788" w14:textId="77777777" w:rsidR="00182709" w:rsidRDefault="0044097C">
            <w:pPr>
              <w:jc w:val="left"/>
            </w:pPr>
            <w:r>
              <w:t>Other interest expense</w:t>
            </w:r>
          </w:p>
        </w:tc>
        <w:tc>
          <w:tcPr>
            <w:tcW w:w="866" w:type="dxa"/>
            <w:tcBorders>
              <w:bottom w:val="single" w:sz="12" w:space="0" w:color="auto"/>
            </w:tcBorders>
          </w:tcPr>
          <w:p w14:paraId="26D29547" w14:textId="77777777" w:rsidR="00182709" w:rsidRDefault="0044097C">
            <w:r>
              <w:t>1 055</w:t>
            </w:r>
          </w:p>
        </w:tc>
        <w:tc>
          <w:tcPr>
            <w:tcW w:w="866" w:type="dxa"/>
            <w:tcBorders>
              <w:bottom w:val="single" w:sz="12" w:space="0" w:color="auto"/>
            </w:tcBorders>
          </w:tcPr>
          <w:p w14:paraId="77B59976" w14:textId="77777777" w:rsidR="00182709" w:rsidRDefault="0044097C">
            <w:r>
              <w:t>750</w:t>
            </w:r>
          </w:p>
        </w:tc>
      </w:tr>
      <w:tr w:rsidR="00671D55" w14:paraId="6B43D679" w14:textId="77777777" w:rsidTr="0045725F">
        <w:tc>
          <w:tcPr>
            <w:tcW w:w="1349" w:type="dxa"/>
            <w:tcBorders>
              <w:bottom w:val="nil"/>
            </w:tcBorders>
          </w:tcPr>
          <w:p w14:paraId="38E1A1E9" w14:textId="77777777" w:rsidR="00182709" w:rsidRDefault="0044097C">
            <w:pPr>
              <w:jc w:val="left"/>
            </w:pPr>
            <w:r>
              <w:rPr>
                <w:color w:val="4472C4"/>
                <w:sz w:val="13"/>
              </w:rPr>
              <w:t>AASB 7.20 (b)</w:t>
            </w:r>
          </w:p>
        </w:tc>
        <w:tc>
          <w:tcPr>
            <w:tcW w:w="6558" w:type="dxa"/>
          </w:tcPr>
          <w:p w14:paraId="430D4335" w14:textId="77777777" w:rsidR="00182709" w:rsidRDefault="0044097C">
            <w:pPr>
              <w:jc w:val="left"/>
            </w:pPr>
            <w:r>
              <w:rPr>
                <w:b/>
              </w:rPr>
              <w:t>Total interest expense</w:t>
            </w:r>
          </w:p>
        </w:tc>
        <w:tc>
          <w:tcPr>
            <w:tcW w:w="866" w:type="dxa"/>
          </w:tcPr>
          <w:p w14:paraId="6ED820BE" w14:textId="77777777" w:rsidR="00182709" w:rsidRDefault="0044097C">
            <w:r>
              <w:rPr>
                <w:b/>
              </w:rPr>
              <w:t>6 548</w:t>
            </w:r>
          </w:p>
        </w:tc>
        <w:tc>
          <w:tcPr>
            <w:tcW w:w="866" w:type="dxa"/>
          </w:tcPr>
          <w:p w14:paraId="746D06B7" w14:textId="77777777" w:rsidR="00182709" w:rsidRDefault="0044097C">
            <w:r>
              <w:rPr>
                <w:b/>
              </w:rPr>
              <w:t>4 335</w:t>
            </w:r>
          </w:p>
        </w:tc>
      </w:tr>
    </w:tbl>
    <w:p w14:paraId="349EB61F" w14:textId="77777777" w:rsidR="003719CD" w:rsidRDefault="003719CD" w:rsidP="007D536F">
      <w:pPr>
        <w:pStyle w:val="Note"/>
      </w:pPr>
      <w:r>
        <w:t xml:space="preserve">Note: </w:t>
      </w:r>
    </w:p>
    <w:p w14:paraId="47BD8DF7" w14:textId="19E93DBD" w:rsidR="003719CD" w:rsidRDefault="003719CD" w:rsidP="007D536F">
      <w:pPr>
        <w:pStyle w:val="Note"/>
      </w:pPr>
      <w:r>
        <w:t>(a)</w:t>
      </w:r>
      <w:r>
        <w:tab/>
        <w:t xml:space="preserve">Of the balance in ‘interest on finance leases’, $XXX [$xxx in </w:t>
      </w:r>
      <w:fldSimple w:instr="DOCPROPERTY  YearPrevious  \* MERGEFORMAT">
        <w:r w:rsidR="002C1B71">
          <w:t>20X1</w:t>
        </w:r>
      </w:fldSimple>
      <w:r>
        <w:t>] related to assets contracted under the PPP arrangements.</w:t>
      </w:r>
    </w:p>
    <w:p w14:paraId="4DFC1A3E" w14:textId="77777777" w:rsidR="003719CD" w:rsidRDefault="003719CD" w:rsidP="00DC39DE"/>
    <w:p w14:paraId="5B878A5F" w14:textId="77777777" w:rsidR="003719CD" w:rsidRDefault="003719CD" w:rsidP="00DC39DE">
      <w:r>
        <w:t>‘Interest expense’ includes costs incurred in connection with the borrowing of funds and includes interest on bank overdrafts and short-term and long-term borrowings, amortisation of discounts or premiums relating to borrowings, interest component of lease repayments, service concession financial liabilities and the increase in financial liabilities and non-employee provisions due to the unwinding of discounts to reflect the passage of time.</w:t>
      </w:r>
    </w:p>
    <w:p w14:paraId="79D45425" w14:textId="77248121" w:rsidR="003719CD" w:rsidRDefault="003719CD" w:rsidP="00DC39DE">
      <w:r>
        <w:t xml:space="preserve">Interest expense is recognised in the period in which it is incurred. </w:t>
      </w:r>
      <w:r w:rsidRPr="001777C5">
        <w:rPr>
          <w:rStyle w:val="Reference"/>
        </w:rPr>
        <w:t>[AASB 123.8 and 123.9; FRD 105]</w:t>
      </w:r>
    </w:p>
    <w:p w14:paraId="61AD1663" w14:textId="4E7ACDB1" w:rsidR="003719CD" w:rsidRDefault="003719CD" w:rsidP="00DC39DE">
      <w:pPr>
        <w:rPr>
          <w:rStyle w:val="Reference"/>
        </w:rPr>
      </w:pPr>
      <w:r>
        <w:t xml:space="preserve">The Department recognises borrowing costs immediately as an expense, even where they are directly attributable to the acquisition, construction or production of a qualifying asset. </w:t>
      </w:r>
      <w:r w:rsidRPr="001777C5">
        <w:rPr>
          <w:rStyle w:val="Reference"/>
        </w:rPr>
        <w:t>[AASB 123.Aus1.0, Aus8.1, FRD 105]</w:t>
      </w:r>
    </w:p>
    <w:p w14:paraId="4840B30C" w14:textId="77777777" w:rsidR="003719CD" w:rsidRDefault="003719CD" w:rsidP="007D536F">
      <w:pPr>
        <w:pStyle w:val="GuidanceBlockHeading"/>
      </w:pPr>
      <w:r>
        <w:t>Guidance – Borrowing costs</w:t>
      </w:r>
    </w:p>
    <w:p w14:paraId="7521C074" w14:textId="77777777" w:rsidR="003719CD" w:rsidRPr="00823120" w:rsidRDefault="003719CD" w:rsidP="007D536F">
      <w:pPr>
        <w:rPr>
          <w:rStyle w:val="Guidance"/>
        </w:rPr>
      </w:pPr>
      <w:r w:rsidRPr="00823120">
        <w:rPr>
          <w:rStyle w:val="Guidance"/>
        </w:rPr>
        <w:t>Borrowing costs are interest and other costs incurred by an entity in connection with the borrowing of funds and may include:</w:t>
      </w:r>
    </w:p>
    <w:p w14:paraId="2AE10DF7" w14:textId="5831DF22" w:rsidR="003719CD" w:rsidRPr="00823120" w:rsidRDefault="003719CD" w:rsidP="00310F12">
      <w:pPr>
        <w:pStyle w:val="ListBullet"/>
        <w:rPr>
          <w:rStyle w:val="Guidance"/>
        </w:rPr>
      </w:pPr>
      <w:r w:rsidRPr="00823120">
        <w:rPr>
          <w:rStyle w:val="Guidance"/>
        </w:rPr>
        <w:t xml:space="preserve">interest expense calculated using the effective interest method as described in AASB 9 </w:t>
      </w:r>
      <w:r w:rsidRPr="00823120">
        <w:rPr>
          <w:rStyle w:val="Guidance"/>
          <w:i/>
          <w:iCs/>
        </w:rPr>
        <w:t>Financial Instruments</w:t>
      </w:r>
    </w:p>
    <w:p w14:paraId="16E17EE5" w14:textId="0C4A0168" w:rsidR="003719CD" w:rsidRPr="00823120" w:rsidRDefault="003719CD" w:rsidP="00310F12">
      <w:pPr>
        <w:pStyle w:val="ListBullet"/>
        <w:rPr>
          <w:rStyle w:val="Guidance"/>
        </w:rPr>
      </w:pPr>
      <w:r w:rsidRPr="00823120">
        <w:rPr>
          <w:rStyle w:val="Guidance"/>
        </w:rPr>
        <w:t xml:space="preserve">finance charges in respect of leases liabilities recognised in accordance with AASB 16 and finance charges in respect of finance leases recognised in accordance with AASB 117 </w:t>
      </w:r>
      <w:r w:rsidRPr="00823120">
        <w:rPr>
          <w:rStyle w:val="Guidance"/>
          <w:i/>
          <w:iCs/>
        </w:rPr>
        <w:t>Leases</w:t>
      </w:r>
      <w:r w:rsidRPr="00823120">
        <w:rPr>
          <w:rStyle w:val="Guidance"/>
        </w:rPr>
        <w:t xml:space="preserve"> before the initial application of AASB 16</w:t>
      </w:r>
    </w:p>
    <w:p w14:paraId="63CDD993" w14:textId="0E24B565" w:rsidR="003719CD" w:rsidRPr="00823120" w:rsidRDefault="003719CD" w:rsidP="00310F12">
      <w:pPr>
        <w:pStyle w:val="ListBullet"/>
        <w:rPr>
          <w:rStyle w:val="Guidance"/>
        </w:rPr>
      </w:pPr>
      <w:r w:rsidRPr="00823120">
        <w:rPr>
          <w:rStyle w:val="Guidance"/>
        </w:rPr>
        <w:t>finance charges in respect of service concession financial liabilities recognised applying the financial liability model in AASB 1059</w:t>
      </w:r>
    </w:p>
    <w:p w14:paraId="6B20DA0E" w14:textId="77777777" w:rsidR="003719CD" w:rsidRDefault="003719CD" w:rsidP="00310F12">
      <w:pPr>
        <w:pStyle w:val="ListBullet"/>
        <w:rPr>
          <w:rStyle w:val="Guidance"/>
        </w:rPr>
      </w:pPr>
      <w:r w:rsidRPr="00823120">
        <w:rPr>
          <w:rStyle w:val="Guidance"/>
        </w:rPr>
        <w:t xml:space="preserve">exchange differences arising from foreign currency borrowings to the extent that they are regarded as an adjustment to interest costs. </w:t>
      </w:r>
      <w:r w:rsidRPr="00823120">
        <w:rPr>
          <w:rStyle w:val="Reference"/>
        </w:rPr>
        <w:t>[AASB 123.5 and 123.6]</w:t>
      </w:r>
    </w:p>
    <w:p w14:paraId="665A3C60" w14:textId="77777777" w:rsidR="003719CD" w:rsidRPr="00823120" w:rsidRDefault="003719CD" w:rsidP="007D536F">
      <w:pPr>
        <w:pStyle w:val="GuidanceEnd"/>
        <w:rPr>
          <w:rStyle w:val="Guidance"/>
        </w:rPr>
      </w:pPr>
    </w:p>
    <w:p w14:paraId="2ECB214B" w14:textId="77777777" w:rsidR="003719CD" w:rsidRDefault="003719CD" w:rsidP="00A80494">
      <w:pPr>
        <w:pStyle w:val="Heading2numbered"/>
      </w:pPr>
      <w:bookmarkStart w:id="97" w:name="_Toc96704975"/>
      <w:bookmarkStart w:id="98" w:name="_Toc130225984"/>
      <w:bookmarkStart w:id="99" w:name="_Toc64983168"/>
      <w:r>
        <w:t>Leases</w:t>
      </w:r>
      <w:bookmarkEnd w:id="97"/>
      <w:bookmarkEnd w:id="98"/>
      <w:bookmarkEnd w:id="99"/>
    </w:p>
    <w:p w14:paraId="41C8FBBC" w14:textId="77777777" w:rsidR="003719CD" w:rsidRDefault="003719CD" w:rsidP="00DC39DE">
      <w:r>
        <w:t>Information about leases for which the Department is a lessee is presented below.</w:t>
      </w:r>
    </w:p>
    <w:p w14:paraId="566E2BB2" w14:textId="77777777" w:rsidR="003719CD" w:rsidRDefault="003719CD" w:rsidP="007D536F">
      <w:pPr>
        <w:pStyle w:val="Heading4"/>
      </w:pPr>
      <w:r>
        <w:t>The Departments leasing activities</w:t>
      </w:r>
    </w:p>
    <w:p w14:paraId="5B8F21AE" w14:textId="77777777" w:rsidR="003719CD" w:rsidRDefault="003719CD" w:rsidP="00DC39DE">
      <w:r>
        <w:t xml:space="preserve">The Department leases various properties, IT equipment and motor vehicles. The lease contracts are typically made for fixed periods of 1-10 years with an option to renew the lease after that date. Lease payments for properties are renegotiated every five years to reflect market rentals. </w:t>
      </w:r>
      <w:r w:rsidRPr="00823120">
        <w:rPr>
          <w:rStyle w:val="Reference"/>
        </w:rPr>
        <w:t>[AASB 16.51 – 59]</w:t>
      </w:r>
    </w:p>
    <w:p w14:paraId="1D0BFE22" w14:textId="77777777" w:rsidR="003719CD" w:rsidRDefault="003719CD" w:rsidP="00DC39DE">
      <w:r>
        <w:t xml:space="preserve">Leases of IT equipment with contract terms of 1-3 years are either short-term and or/leases of low-value items. The Department has elected not to recognise right-of-use assets and lease liabilities for these leases. </w:t>
      </w:r>
      <w:r w:rsidRPr="00823120">
        <w:rPr>
          <w:rStyle w:val="Reference"/>
        </w:rPr>
        <w:t>[AASB 16.60]</w:t>
      </w:r>
    </w:p>
    <w:p w14:paraId="702123BC" w14:textId="3379A723" w:rsidR="003719CD" w:rsidRDefault="003719CD" w:rsidP="00DC39DE">
      <w:r>
        <w:t xml:space="preserve">At 30 June </w:t>
      </w:r>
      <w:fldSimple w:instr="DOCPROPERTY  YearCurrent  \* MERGEFORMAT">
        <w:r w:rsidR="00A545BA">
          <w:t>20X2</w:t>
        </w:r>
      </w:fldSimple>
      <w:r>
        <w:t xml:space="preserve">, the Department was committed to short term leases and the total commitment at that date was $3 500. </w:t>
      </w:r>
      <w:r w:rsidRPr="00823120">
        <w:rPr>
          <w:rStyle w:val="Reference"/>
        </w:rPr>
        <w:t>[AASB 16.55]</w:t>
      </w:r>
    </w:p>
    <w:p w14:paraId="4264C4C7" w14:textId="77777777" w:rsidR="003719CD" w:rsidRDefault="003719CD" w:rsidP="007D536F">
      <w:pPr>
        <w:pStyle w:val="Heading4"/>
      </w:pPr>
      <w:r>
        <w:t xml:space="preserve">Leases at significantly below-market terms and conditions </w:t>
      </w:r>
    </w:p>
    <w:p w14:paraId="2EDDEC46" w14:textId="2DA755A6" w:rsidR="003719CD" w:rsidRDefault="003719CD" w:rsidP="00DC39DE">
      <w:pPr>
        <w:rPr>
          <w:rStyle w:val="Reference"/>
        </w:rPr>
      </w:pPr>
      <w:r>
        <w:t xml:space="preserve">The Department entered into a 30-year lease for the use of a facility to provide community services. The lease contract specifies lease payments of $100 per annum. The leased premises must be used by the Department to provide teaching of IT classes to the community. This building accounts for a small portion of similar assets used by the Department is using for the purpose of providing services to the community and therefore it does not have a significant impact on the </w:t>
      </w:r>
      <w:r w:rsidR="00E20214">
        <w:t xml:space="preserve">Department’s </w:t>
      </w:r>
      <w:r>
        <w:t xml:space="preserve">operations. </w:t>
      </w:r>
      <w:r w:rsidRPr="00823120">
        <w:rPr>
          <w:rStyle w:val="Reference"/>
        </w:rPr>
        <w:t>[AASB 16.</w:t>
      </w:r>
      <w:r w:rsidR="00EE78AC">
        <w:rPr>
          <w:rStyle w:val="Reference"/>
        </w:rPr>
        <w:t xml:space="preserve"> </w:t>
      </w:r>
      <w:r w:rsidRPr="00823120">
        <w:rPr>
          <w:rStyle w:val="Reference"/>
        </w:rPr>
        <w:t>Aus59.1 and 16.Aus59.2]</w:t>
      </w:r>
    </w:p>
    <w:p w14:paraId="12BDF513" w14:textId="16CC3FFE" w:rsidR="003719CD" w:rsidRDefault="003719CD" w:rsidP="00A80494">
      <w:pPr>
        <w:pStyle w:val="Heading3numbered"/>
      </w:pPr>
      <w:r>
        <w:t>Right-of-use Assets</w:t>
      </w:r>
    </w:p>
    <w:p w14:paraId="1C6FA3DC" w14:textId="77777777" w:rsidR="003719CD" w:rsidRDefault="003719CD" w:rsidP="00DC39DE">
      <w:r>
        <w:t xml:space="preserve">Right-of-use assets are presented in note 5.1.1. </w:t>
      </w:r>
    </w:p>
    <w:p w14:paraId="01EDED1E" w14:textId="4BFCA8BB" w:rsidR="003719CD" w:rsidRDefault="003719CD" w:rsidP="00A80494">
      <w:pPr>
        <w:pStyle w:val="Heading3numbered"/>
      </w:pPr>
      <w:r>
        <w:lastRenderedPageBreak/>
        <w:t>Amounts recognised in the Comprehensive Operating Statement</w:t>
      </w:r>
    </w:p>
    <w:p w14:paraId="1FAE423C" w14:textId="32CA7B38" w:rsidR="003719CD" w:rsidRDefault="003719CD" w:rsidP="00DC39DE">
      <w:r>
        <w:t>The following amounts are recognised in the Comprehensive Operating Statement relating to leases:</w:t>
      </w:r>
    </w:p>
    <w:p w14:paraId="7B2FC353"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56B9C" w14:paraId="03C9BFD5" w14:textId="77777777" w:rsidTr="003C49F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788D99FD" w14:textId="4F36D827" w:rsidR="00356B9C" w:rsidRDefault="00356B9C" w:rsidP="00356B9C">
            <w:pPr>
              <w:keepNext/>
              <w:jc w:val="left"/>
            </w:pPr>
            <w:r>
              <w:rPr>
                <w:color w:val="4472C4"/>
                <w:sz w:val="13"/>
              </w:rPr>
              <w:t>Source reference</w:t>
            </w:r>
          </w:p>
        </w:tc>
        <w:tc>
          <w:tcPr>
            <w:tcW w:w="6558" w:type="dxa"/>
          </w:tcPr>
          <w:p w14:paraId="6B59797E" w14:textId="77777777" w:rsidR="00356B9C" w:rsidRDefault="00356B9C" w:rsidP="00356B9C">
            <w:pPr>
              <w:keepNext/>
              <w:jc w:val="left"/>
            </w:pPr>
          </w:p>
        </w:tc>
        <w:tc>
          <w:tcPr>
            <w:tcW w:w="866" w:type="dxa"/>
          </w:tcPr>
          <w:p w14:paraId="6296B6E8" w14:textId="7C1723A7" w:rsidR="00356B9C" w:rsidRPr="00356B9C" w:rsidRDefault="00356B9C" w:rsidP="00356B9C">
            <w:pPr>
              <w:keepNext/>
              <w:rPr>
                <w:iCs/>
              </w:rPr>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866" w:type="dxa"/>
          </w:tcPr>
          <w:p w14:paraId="4AF3BDEB" w14:textId="3C628BA7" w:rsidR="00356B9C" w:rsidRPr="00356B9C" w:rsidRDefault="00356B9C" w:rsidP="00356B9C">
            <w:pPr>
              <w:keepNext/>
              <w:rPr>
                <w:iCs/>
              </w:rPr>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3C49FA" w14:paraId="00869B22" w14:textId="77777777" w:rsidTr="003C49FA">
        <w:tc>
          <w:tcPr>
            <w:tcW w:w="1349" w:type="dxa"/>
          </w:tcPr>
          <w:p w14:paraId="6DD11196" w14:textId="77777777" w:rsidR="003C49FA" w:rsidRDefault="003C49FA" w:rsidP="003C49FA">
            <w:pPr>
              <w:jc w:val="left"/>
            </w:pPr>
            <w:r>
              <w:rPr>
                <w:color w:val="4472C4"/>
                <w:sz w:val="13"/>
              </w:rPr>
              <w:t>AASB 16.53 (b)</w:t>
            </w:r>
          </w:p>
        </w:tc>
        <w:tc>
          <w:tcPr>
            <w:tcW w:w="6558" w:type="dxa"/>
          </w:tcPr>
          <w:p w14:paraId="089CA513" w14:textId="77777777" w:rsidR="003C49FA" w:rsidRDefault="003C49FA" w:rsidP="003C49FA">
            <w:pPr>
              <w:jc w:val="left"/>
            </w:pPr>
            <w:r>
              <w:t>Interest expense on lease liabilities</w:t>
            </w:r>
          </w:p>
        </w:tc>
        <w:tc>
          <w:tcPr>
            <w:tcW w:w="866" w:type="dxa"/>
          </w:tcPr>
          <w:p w14:paraId="7C758DDC" w14:textId="77777777" w:rsidR="003C49FA" w:rsidRDefault="003C49FA" w:rsidP="003C49FA">
            <w:r>
              <w:t>1 321</w:t>
            </w:r>
          </w:p>
        </w:tc>
        <w:tc>
          <w:tcPr>
            <w:tcW w:w="866" w:type="dxa"/>
          </w:tcPr>
          <w:p w14:paraId="44D02775" w14:textId="77777777" w:rsidR="003C49FA" w:rsidRDefault="003C49FA" w:rsidP="003C49FA">
            <w:r>
              <w:t>1 195</w:t>
            </w:r>
          </w:p>
        </w:tc>
      </w:tr>
      <w:tr w:rsidR="003C49FA" w14:paraId="051ECF89" w14:textId="77777777" w:rsidTr="003C49FA">
        <w:tc>
          <w:tcPr>
            <w:tcW w:w="1349" w:type="dxa"/>
          </w:tcPr>
          <w:p w14:paraId="46FA22D8" w14:textId="77777777" w:rsidR="003C49FA" w:rsidRDefault="003C49FA" w:rsidP="003C49FA">
            <w:pPr>
              <w:jc w:val="left"/>
            </w:pPr>
            <w:r>
              <w:rPr>
                <w:color w:val="4472C4"/>
                <w:sz w:val="13"/>
              </w:rPr>
              <w:t>AASB 16.53 (c)</w:t>
            </w:r>
          </w:p>
        </w:tc>
        <w:tc>
          <w:tcPr>
            <w:tcW w:w="6558" w:type="dxa"/>
          </w:tcPr>
          <w:p w14:paraId="05179ADB" w14:textId="77777777" w:rsidR="003C49FA" w:rsidRDefault="003C49FA" w:rsidP="003C49FA">
            <w:pPr>
              <w:jc w:val="left"/>
            </w:pPr>
            <w:r>
              <w:t>Expenses relating to short term leases</w:t>
            </w:r>
          </w:p>
        </w:tc>
        <w:tc>
          <w:tcPr>
            <w:tcW w:w="866" w:type="dxa"/>
          </w:tcPr>
          <w:p w14:paraId="759C6F17" w14:textId="77777777" w:rsidR="003C49FA" w:rsidRDefault="003C49FA" w:rsidP="003C49FA">
            <w:r>
              <w:t>2 036</w:t>
            </w:r>
          </w:p>
        </w:tc>
        <w:tc>
          <w:tcPr>
            <w:tcW w:w="866" w:type="dxa"/>
          </w:tcPr>
          <w:p w14:paraId="0D5EB3A7" w14:textId="77777777" w:rsidR="003C49FA" w:rsidRDefault="003C49FA" w:rsidP="003C49FA">
            <w:r>
              <w:t>1 000</w:t>
            </w:r>
          </w:p>
        </w:tc>
      </w:tr>
      <w:tr w:rsidR="003C49FA" w14:paraId="29841E4C" w14:textId="77777777" w:rsidTr="003C49FA">
        <w:tc>
          <w:tcPr>
            <w:tcW w:w="1349" w:type="dxa"/>
          </w:tcPr>
          <w:p w14:paraId="0A0C6149" w14:textId="77777777" w:rsidR="003C49FA" w:rsidRDefault="003C49FA" w:rsidP="003C49FA">
            <w:pPr>
              <w:jc w:val="left"/>
            </w:pPr>
            <w:r>
              <w:rPr>
                <w:color w:val="4472C4"/>
                <w:sz w:val="13"/>
              </w:rPr>
              <w:t>AASB 16.53 (d)</w:t>
            </w:r>
          </w:p>
        </w:tc>
        <w:tc>
          <w:tcPr>
            <w:tcW w:w="6558" w:type="dxa"/>
          </w:tcPr>
          <w:p w14:paraId="17FCEEEF" w14:textId="329B11F7" w:rsidR="003C49FA" w:rsidRDefault="003C49FA" w:rsidP="003C49FA">
            <w:pPr>
              <w:jc w:val="left"/>
            </w:pPr>
            <w:r>
              <w:t xml:space="preserve">Expenses relating to leases of </w:t>
            </w:r>
            <w:r w:rsidRPr="2856114A">
              <w:t>low</w:t>
            </w:r>
            <w:r w:rsidR="00F0191D">
              <w:t>-</w:t>
            </w:r>
            <w:r w:rsidRPr="2856114A">
              <w:t>value</w:t>
            </w:r>
            <w:r>
              <w:t xml:space="preserve"> assets</w:t>
            </w:r>
          </w:p>
        </w:tc>
        <w:tc>
          <w:tcPr>
            <w:tcW w:w="866" w:type="dxa"/>
          </w:tcPr>
          <w:p w14:paraId="5D671041" w14:textId="77777777" w:rsidR="003C49FA" w:rsidRDefault="003C49FA" w:rsidP="003C49FA">
            <w:r>
              <w:t>1 681</w:t>
            </w:r>
          </w:p>
        </w:tc>
        <w:tc>
          <w:tcPr>
            <w:tcW w:w="866" w:type="dxa"/>
          </w:tcPr>
          <w:p w14:paraId="55E767C0" w14:textId="77777777" w:rsidR="003C49FA" w:rsidRDefault="003C49FA" w:rsidP="003C49FA">
            <w:r>
              <w:t>98</w:t>
            </w:r>
          </w:p>
        </w:tc>
      </w:tr>
      <w:tr w:rsidR="003C49FA" w14:paraId="2F116358" w14:textId="77777777" w:rsidTr="003C49FA">
        <w:tc>
          <w:tcPr>
            <w:tcW w:w="1349" w:type="dxa"/>
          </w:tcPr>
          <w:p w14:paraId="4C8B1284" w14:textId="77777777" w:rsidR="003C49FA" w:rsidRDefault="003C49FA" w:rsidP="003C49FA">
            <w:pPr>
              <w:jc w:val="left"/>
            </w:pPr>
            <w:r>
              <w:rPr>
                <w:color w:val="4472C4"/>
                <w:sz w:val="13"/>
              </w:rPr>
              <w:t>AASB 16.53 (e)</w:t>
            </w:r>
          </w:p>
        </w:tc>
        <w:tc>
          <w:tcPr>
            <w:tcW w:w="6558" w:type="dxa"/>
          </w:tcPr>
          <w:p w14:paraId="0E5221AE" w14:textId="77777777" w:rsidR="003C49FA" w:rsidRDefault="003C49FA" w:rsidP="003C49FA">
            <w:pPr>
              <w:jc w:val="left"/>
            </w:pPr>
            <w:r>
              <w:t>Variable lease payments, not included in the measurement of lease liabilities</w:t>
            </w:r>
          </w:p>
        </w:tc>
        <w:tc>
          <w:tcPr>
            <w:tcW w:w="866" w:type="dxa"/>
          </w:tcPr>
          <w:p w14:paraId="7FE2CDE0" w14:textId="77777777" w:rsidR="003C49FA" w:rsidRDefault="003C49FA" w:rsidP="003C49FA">
            <w:r>
              <w:t>..</w:t>
            </w:r>
          </w:p>
        </w:tc>
        <w:tc>
          <w:tcPr>
            <w:tcW w:w="866" w:type="dxa"/>
          </w:tcPr>
          <w:p w14:paraId="3B00F706" w14:textId="77777777" w:rsidR="003C49FA" w:rsidRDefault="003C49FA" w:rsidP="003C49FA">
            <w:r>
              <w:t>..</w:t>
            </w:r>
          </w:p>
        </w:tc>
      </w:tr>
      <w:tr w:rsidR="003C49FA" w14:paraId="4B0DEE46" w14:textId="77777777" w:rsidTr="003C49FA">
        <w:tc>
          <w:tcPr>
            <w:tcW w:w="1349" w:type="dxa"/>
          </w:tcPr>
          <w:p w14:paraId="491CE95B" w14:textId="77777777" w:rsidR="003C49FA" w:rsidRDefault="003C49FA" w:rsidP="003C49FA">
            <w:pPr>
              <w:jc w:val="left"/>
            </w:pPr>
            <w:r>
              <w:rPr>
                <w:color w:val="4472C4"/>
                <w:sz w:val="13"/>
              </w:rPr>
              <w:t>AASB 16.53 (f)</w:t>
            </w:r>
          </w:p>
        </w:tc>
        <w:tc>
          <w:tcPr>
            <w:tcW w:w="6558" w:type="dxa"/>
          </w:tcPr>
          <w:p w14:paraId="75311F59" w14:textId="4D435241" w:rsidR="003C49FA" w:rsidRDefault="003C49FA" w:rsidP="003C49FA">
            <w:pPr>
              <w:jc w:val="left"/>
            </w:pPr>
            <w:r>
              <w:t xml:space="preserve">Income from subleasing </w:t>
            </w:r>
            <w:r w:rsidRPr="2856114A">
              <w:t>right</w:t>
            </w:r>
            <w:r w:rsidR="00F0191D">
              <w:t>-</w:t>
            </w:r>
            <w:r w:rsidRPr="2856114A">
              <w:t>of</w:t>
            </w:r>
            <w:r w:rsidR="00F0191D">
              <w:t>-</w:t>
            </w:r>
            <w:r w:rsidRPr="2856114A">
              <w:t>use</w:t>
            </w:r>
            <w:r>
              <w:t xml:space="preserve"> assets</w:t>
            </w:r>
          </w:p>
        </w:tc>
        <w:tc>
          <w:tcPr>
            <w:tcW w:w="866" w:type="dxa"/>
          </w:tcPr>
          <w:p w14:paraId="788C8A9F" w14:textId="77777777" w:rsidR="003C49FA" w:rsidRDefault="003C49FA" w:rsidP="003C49FA">
            <w:r>
              <w:t>..</w:t>
            </w:r>
          </w:p>
        </w:tc>
        <w:tc>
          <w:tcPr>
            <w:tcW w:w="866" w:type="dxa"/>
          </w:tcPr>
          <w:p w14:paraId="42AEE82D" w14:textId="77777777" w:rsidR="003C49FA" w:rsidRDefault="003C49FA" w:rsidP="003C49FA">
            <w:r>
              <w:t>..</w:t>
            </w:r>
          </w:p>
        </w:tc>
      </w:tr>
      <w:tr w:rsidR="003C49FA" w14:paraId="33D74DBF" w14:textId="77777777" w:rsidTr="003C49FA">
        <w:tc>
          <w:tcPr>
            <w:tcW w:w="1349" w:type="dxa"/>
          </w:tcPr>
          <w:p w14:paraId="707ACACB" w14:textId="77777777" w:rsidR="003C49FA" w:rsidRDefault="003C49FA" w:rsidP="003C49FA">
            <w:pPr>
              <w:jc w:val="left"/>
            </w:pPr>
            <w:r w:rsidRPr="2856114A">
              <w:rPr>
                <w:color w:val="4472C4" w:themeColor="accent1"/>
                <w:sz w:val="13"/>
                <w:szCs w:val="13"/>
              </w:rPr>
              <w:t>AASB 16.53 (i)</w:t>
            </w:r>
          </w:p>
        </w:tc>
        <w:tc>
          <w:tcPr>
            <w:tcW w:w="6558" w:type="dxa"/>
            <w:tcBorders>
              <w:bottom w:val="single" w:sz="12" w:space="0" w:color="auto"/>
            </w:tcBorders>
          </w:tcPr>
          <w:p w14:paraId="31C2C602" w14:textId="77777777" w:rsidR="003C49FA" w:rsidRDefault="003C49FA" w:rsidP="003C49FA">
            <w:pPr>
              <w:jc w:val="left"/>
            </w:pPr>
            <w:r>
              <w:t>Gains or losses arising from sale and leaseback transactions</w:t>
            </w:r>
          </w:p>
        </w:tc>
        <w:tc>
          <w:tcPr>
            <w:tcW w:w="866" w:type="dxa"/>
            <w:tcBorders>
              <w:bottom w:val="single" w:sz="12" w:space="0" w:color="auto"/>
            </w:tcBorders>
          </w:tcPr>
          <w:p w14:paraId="183302BC" w14:textId="77777777" w:rsidR="003C49FA" w:rsidRDefault="003C49FA" w:rsidP="003C49FA">
            <w:r>
              <w:t>..</w:t>
            </w:r>
          </w:p>
        </w:tc>
        <w:tc>
          <w:tcPr>
            <w:tcW w:w="866" w:type="dxa"/>
            <w:tcBorders>
              <w:bottom w:val="single" w:sz="12" w:space="0" w:color="auto"/>
            </w:tcBorders>
          </w:tcPr>
          <w:p w14:paraId="77FCAF20" w14:textId="77777777" w:rsidR="003C49FA" w:rsidRDefault="003C49FA" w:rsidP="003C49FA">
            <w:r>
              <w:t>..</w:t>
            </w:r>
          </w:p>
        </w:tc>
      </w:tr>
      <w:tr w:rsidR="00671D55" w14:paraId="0964F107" w14:textId="77777777" w:rsidTr="003C49FA">
        <w:tc>
          <w:tcPr>
            <w:tcW w:w="1349" w:type="dxa"/>
            <w:tcBorders>
              <w:bottom w:val="nil"/>
            </w:tcBorders>
          </w:tcPr>
          <w:p w14:paraId="65CE5A3F" w14:textId="77777777" w:rsidR="003C49FA" w:rsidRDefault="003C49FA" w:rsidP="003C49FA">
            <w:pPr>
              <w:jc w:val="left"/>
            </w:pPr>
          </w:p>
        </w:tc>
        <w:tc>
          <w:tcPr>
            <w:tcW w:w="6558" w:type="dxa"/>
          </w:tcPr>
          <w:p w14:paraId="38691621" w14:textId="77777777" w:rsidR="003C49FA" w:rsidRDefault="003C49FA" w:rsidP="003C49FA">
            <w:pPr>
              <w:jc w:val="left"/>
            </w:pPr>
            <w:r>
              <w:rPr>
                <w:b/>
              </w:rPr>
              <w:t>Total amount recognised in the comprehensive operating statement</w:t>
            </w:r>
          </w:p>
        </w:tc>
        <w:tc>
          <w:tcPr>
            <w:tcW w:w="866" w:type="dxa"/>
          </w:tcPr>
          <w:p w14:paraId="3282B167" w14:textId="77777777" w:rsidR="003C49FA" w:rsidRDefault="003C49FA" w:rsidP="003C49FA">
            <w:r>
              <w:rPr>
                <w:b/>
              </w:rPr>
              <w:t>5 038</w:t>
            </w:r>
          </w:p>
        </w:tc>
        <w:tc>
          <w:tcPr>
            <w:tcW w:w="866" w:type="dxa"/>
          </w:tcPr>
          <w:p w14:paraId="5ADC85D9" w14:textId="2270D081" w:rsidR="003C49FA" w:rsidRDefault="003C49FA" w:rsidP="003C49FA">
            <w:r>
              <w:rPr>
                <w:b/>
              </w:rPr>
              <w:t>2 293</w:t>
            </w:r>
          </w:p>
        </w:tc>
      </w:tr>
    </w:tbl>
    <w:p w14:paraId="51FEB0AC" w14:textId="77777777" w:rsidR="003719CD" w:rsidRDefault="003719CD" w:rsidP="00DC39DE"/>
    <w:p w14:paraId="32CC8C0E" w14:textId="5D37FA78" w:rsidR="003719CD" w:rsidRDefault="003719CD" w:rsidP="00A80494">
      <w:pPr>
        <w:pStyle w:val="Heading3numbered"/>
      </w:pPr>
      <w:r>
        <w:t>Amounts recognised in the Statement of Cashflows</w:t>
      </w:r>
    </w:p>
    <w:p w14:paraId="6C25B932" w14:textId="72D1FEBD" w:rsidR="003719CD" w:rsidRDefault="003719CD" w:rsidP="00DC39DE">
      <w:r>
        <w:t xml:space="preserve">The following amounts are recognised in the Statement of Cashflows for the year ending 30 June </w:t>
      </w:r>
      <w:fldSimple w:instr="DOCPROPERTY  YearCurrent  \* MERGEFORMAT">
        <w:r w:rsidR="00A545BA">
          <w:t>20X2</w:t>
        </w:r>
      </w:fldSimple>
      <w:r>
        <w:t xml:space="preserve"> relating to leases.</w:t>
      </w:r>
    </w:p>
    <w:p w14:paraId="7E3E9145"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4D4B29" w14:paraId="5A7F31AF" w14:textId="77777777" w:rsidTr="003C49FA">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5D00D09B" w14:textId="655CFF96" w:rsidR="004D4B29" w:rsidRDefault="004D4B29" w:rsidP="004D4B29">
            <w:pPr>
              <w:keepNext/>
              <w:jc w:val="left"/>
            </w:pPr>
            <w:r>
              <w:rPr>
                <w:color w:val="4472C4"/>
                <w:sz w:val="13"/>
              </w:rPr>
              <w:t>Source reference</w:t>
            </w:r>
          </w:p>
        </w:tc>
        <w:tc>
          <w:tcPr>
            <w:tcW w:w="6558" w:type="dxa"/>
          </w:tcPr>
          <w:p w14:paraId="034FA7F9" w14:textId="77777777" w:rsidR="004D4B29" w:rsidRDefault="004D4B29" w:rsidP="004D4B29">
            <w:pPr>
              <w:keepNext/>
              <w:jc w:val="left"/>
            </w:pPr>
          </w:p>
        </w:tc>
        <w:tc>
          <w:tcPr>
            <w:tcW w:w="866" w:type="dxa"/>
          </w:tcPr>
          <w:p w14:paraId="21EBB0E2" w14:textId="0FE0C748" w:rsidR="004D4B29" w:rsidRDefault="004D4B29" w:rsidP="004D4B29">
            <w:pPr>
              <w:keepNext/>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866" w:type="dxa"/>
          </w:tcPr>
          <w:p w14:paraId="69ED9522" w14:textId="51D0E9F7" w:rsidR="004D4B29" w:rsidRDefault="004D4B29" w:rsidP="004D4B29">
            <w:pPr>
              <w:keepNext/>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182709" w14:paraId="0DFB144B" w14:textId="77777777" w:rsidTr="003C49FA">
        <w:tc>
          <w:tcPr>
            <w:tcW w:w="1349" w:type="dxa"/>
          </w:tcPr>
          <w:p w14:paraId="5CA1FBD6" w14:textId="77777777" w:rsidR="00182709" w:rsidRDefault="0044097C">
            <w:pPr>
              <w:jc w:val="left"/>
            </w:pPr>
            <w:r>
              <w:rPr>
                <w:color w:val="4472C4"/>
                <w:sz w:val="13"/>
              </w:rPr>
              <w:t>AASB 16.53 (b)</w:t>
            </w:r>
          </w:p>
        </w:tc>
        <w:tc>
          <w:tcPr>
            <w:tcW w:w="6558" w:type="dxa"/>
          </w:tcPr>
          <w:p w14:paraId="4D4724D9" w14:textId="77777777" w:rsidR="00182709" w:rsidRDefault="0044097C">
            <w:pPr>
              <w:jc w:val="left"/>
            </w:pPr>
            <w:r>
              <w:t>Interest expense on lease liabilities</w:t>
            </w:r>
          </w:p>
        </w:tc>
        <w:tc>
          <w:tcPr>
            <w:tcW w:w="866" w:type="dxa"/>
          </w:tcPr>
          <w:p w14:paraId="3D5D6615" w14:textId="77777777" w:rsidR="00182709" w:rsidRDefault="0044097C">
            <w:r>
              <w:t>1 321</w:t>
            </w:r>
          </w:p>
        </w:tc>
        <w:tc>
          <w:tcPr>
            <w:tcW w:w="866" w:type="dxa"/>
          </w:tcPr>
          <w:p w14:paraId="432217E2" w14:textId="77777777" w:rsidR="00182709" w:rsidRDefault="0044097C">
            <w:r>
              <w:t>1 195</w:t>
            </w:r>
          </w:p>
        </w:tc>
      </w:tr>
      <w:tr w:rsidR="00182709" w14:paraId="46FA9853" w14:textId="77777777" w:rsidTr="003C49FA">
        <w:tc>
          <w:tcPr>
            <w:tcW w:w="1349" w:type="dxa"/>
          </w:tcPr>
          <w:p w14:paraId="744636E4" w14:textId="77777777" w:rsidR="00182709" w:rsidRDefault="0044097C">
            <w:pPr>
              <w:jc w:val="left"/>
            </w:pPr>
            <w:r>
              <w:rPr>
                <w:color w:val="4472C4"/>
                <w:sz w:val="13"/>
              </w:rPr>
              <w:t>AASB 16.53 (c)</w:t>
            </w:r>
          </w:p>
        </w:tc>
        <w:tc>
          <w:tcPr>
            <w:tcW w:w="6558" w:type="dxa"/>
          </w:tcPr>
          <w:p w14:paraId="44B4CB21" w14:textId="77777777" w:rsidR="00182709" w:rsidRDefault="0044097C">
            <w:pPr>
              <w:jc w:val="left"/>
            </w:pPr>
            <w:r>
              <w:t>Expenses relating to short term leases</w:t>
            </w:r>
          </w:p>
        </w:tc>
        <w:tc>
          <w:tcPr>
            <w:tcW w:w="866" w:type="dxa"/>
          </w:tcPr>
          <w:p w14:paraId="66E18608" w14:textId="77777777" w:rsidR="00182709" w:rsidRDefault="0044097C">
            <w:r>
              <w:t>2 036</w:t>
            </w:r>
          </w:p>
        </w:tc>
        <w:tc>
          <w:tcPr>
            <w:tcW w:w="866" w:type="dxa"/>
          </w:tcPr>
          <w:p w14:paraId="74DFC0F6" w14:textId="77777777" w:rsidR="00182709" w:rsidRDefault="0044097C">
            <w:r>
              <w:t>1 000</w:t>
            </w:r>
          </w:p>
        </w:tc>
      </w:tr>
      <w:tr w:rsidR="00182709" w14:paraId="04FD9917" w14:textId="77777777" w:rsidTr="003C49FA">
        <w:tc>
          <w:tcPr>
            <w:tcW w:w="1349" w:type="dxa"/>
          </w:tcPr>
          <w:p w14:paraId="16B284D7" w14:textId="77777777" w:rsidR="00182709" w:rsidRDefault="0044097C">
            <w:pPr>
              <w:jc w:val="left"/>
            </w:pPr>
            <w:r>
              <w:rPr>
                <w:color w:val="4472C4"/>
                <w:sz w:val="13"/>
              </w:rPr>
              <w:t>AASB 16.53 (d)</w:t>
            </w:r>
          </w:p>
        </w:tc>
        <w:tc>
          <w:tcPr>
            <w:tcW w:w="6558" w:type="dxa"/>
          </w:tcPr>
          <w:p w14:paraId="599EFA08" w14:textId="34F793CB" w:rsidR="00182709" w:rsidRDefault="0044097C">
            <w:pPr>
              <w:jc w:val="left"/>
            </w:pPr>
            <w:r>
              <w:t xml:space="preserve">Expenses relating to leases of </w:t>
            </w:r>
            <w:r w:rsidRPr="2856114A">
              <w:t>low</w:t>
            </w:r>
            <w:r w:rsidR="00131F40">
              <w:t>-</w:t>
            </w:r>
            <w:r w:rsidRPr="2856114A">
              <w:t>value</w:t>
            </w:r>
            <w:r>
              <w:t xml:space="preserve"> assets</w:t>
            </w:r>
          </w:p>
        </w:tc>
        <w:tc>
          <w:tcPr>
            <w:tcW w:w="866" w:type="dxa"/>
          </w:tcPr>
          <w:p w14:paraId="42EADB26" w14:textId="77777777" w:rsidR="00182709" w:rsidRDefault="0044097C">
            <w:r>
              <w:t>1 681</w:t>
            </w:r>
          </w:p>
        </w:tc>
        <w:tc>
          <w:tcPr>
            <w:tcW w:w="866" w:type="dxa"/>
          </w:tcPr>
          <w:p w14:paraId="46E61D44" w14:textId="77777777" w:rsidR="00182709" w:rsidRDefault="0044097C">
            <w:r>
              <w:t>98</w:t>
            </w:r>
          </w:p>
        </w:tc>
      </w:tr>
      <w:tr w:rsidR="00182709" w14:paraId="3580F7C4" w14:textId="77777777" w:rsidTr="003C49FA">
        <w:tc>
          <w:tcPr>
            <w:tcW w:w="1349" w:type="dxa"/>
          </w:tcPr>
          <w:p w14:paraId="0FE6C39A" w14:textId="77777777" w:rsidR="00182709" w:rsidRDefault="0044097C">
            <w:pPr>
              <w:jc w:val="left"/>
            </w:pPr>
            <w:r>
              <w:rPr>
                <w:color w:val="4472C4"/>
                <w:sz w:val="13"/>
              </w:rPr>
              <w:t>AASB 16.53 (e)</w:t>
            </w:r>
          </w:p>
        </w:tc>
        <w:tc>
          <w:tcPr>
            <w:tcW w:w="6558" w:type="dxa"/>
          </w:tcPr>
          <w:p w14:paraId="22EA9FEC" w14:textId="77777777" w:rsidR="00182709" w:rsidRDefault="0044097C">
            <w:pPr>
              <w:jc w:val="left"/>
            </w:pPr>
            <w:r>
              <w:t>Variable lease payments, not included in the measurement of lease liabilities</w:t>
            </w:r>
          </w:p>
        </w:tc>
        <w:tc>
          <w:tcPr>
            <w:tcW w:w="866" w:type="dxa"/>
          </w:tcPr>
          <w:p w14:paraId="1E05E452" w14:textId="77777777" w:rsidR="00182709" w:rsidRDefault="0044097C">
            <w:r>
              <w:t>..</w:t>
            </w:r>
          </w:p>
        </w:tc>
        <w:tc>
          <w:tcPr>
            <w:tcW w:w="866" w:type="dxa"/>
          </w:tcPr>
          <w:p w14:paraId="6314F17B" w14:textId="77777777" w:rsidR="00182709" w:rsidRDefault="0044097C">
            <w:r>
              <w:t>..</w:t>
            </w:r>
          </w:p>
        </w:tc>
      </w:tr>
      <w:tr w:rsidR="00182709" w14:paraId="68117A4D" w14:textId="77777777" w:rsidTr="003C49FA">
        <w:tc>
          <w:tcPr>
            <w:tcW w:w="1349" w:type="dxa"/>
          </w:tcPr>
          <w:p w14:paraId="2FADEC40" w14:textId="77777777" w:rsidR="00182709" w:rsidRDefault="0044097C">
            <w:pPr>
              <w:jc w:val="left"/>
            </w:pPr>
            <w:r>
              <w:rPr>
                <w:color w:val="4472C4"/>
                <w:sz w:val="13"/>
              </w:rPr>
              <w:t>AASB 16.53 (f)</w:t>
            </w:r>
          </w:p>
        </w:tc>
        <w:tc>
          <w:tcPr>
            <w:tcW w:w="6558" w:type="dxa"/>
          </w:tcPr>
          <w:p w14:paraId="3E4D291E" w14:textId="59367831" w:rsidR="00182709" w:rsidRDefault="0044097C">
            <w:pPr>
              <w:jc w:val="left"/>
            </w:pPr>
            <w:r>
              <w:t xml:space="preserve">Income from subleasing </w:t>
            </w:r>
            <w:r w:rsidRPr="2856114A">
              <w:t>right</w:t>
            </w:r>
            <w:r w:rsidR="00131F40">
              <w:t>-</w:t>
            </w:r>
            <w:r w:rsidRPr="2856114A">
              <w:t>of</w:t>
            </w:r>
            <w:r w:rsidR="00131F40">
              <w:t>-</w:t>
            </w:r>
            <w:r w:rsidRPr="2856114A">
              <w:t>use</w:t>
            </w:r>
            <w:r>
              <w:t xml:space="preserve"> assets</w:t>
            </w:r>
          </w:p>
        </w:tc>
        <w:tc>
          <w:tcPr>
            <w:tcW w:w="866" w:type="dxa"/>
          </w:tcPr>
          <w:p w14:paraId="312F43E2" w14:textId="77777777" w:rsidR="00182709" w:rsidRDefault="0044097C">
            <w:r>
              <w:t>..</w:t>
            </w:r>
          </w:p>
        </w:tc>
        <w:tc>
          <w:tcPr>
            <w:tcW w:w="866" w:type="dxa"/>
          </w:tcPr>
          <w:p w14:paraId="7D4C02B9" w14:textId="77777777" w:rsidR="00182709" w:rsidRDefault="0044097C">
            <w:r>
              <w:t>..</w:t>
            </w:r>
          </w:p>
        </w:tc>
      </w:tr>
      <w:tr w:rsidR="00182709" w14:paraId="2DBB9830" w14:textId="77777777" w:rsidTr="003C49FA">
        <w:tc>
          <w:tcPr>
            <w:tcW w:w="1349" w:type="dxa"/>
          </w:tcPr>
          <w:p w14:paraId="018DC8FF" w14:textId="77777777" w:rsidR="00182709" w:rsidRDefault="0044097C">
            <w:pPr>
              <w:jc w:val="left"/>
            </w:pPr>
            <w:r w:rsidRPr="2856114A">
              <w:rPr>
                <w:color w:val="4472C4" w:themeColor="accent1"/>
                <w:sz w:val="13"/>
                <w:szCs w:val="13"/>
              </w:rPr>
              <w:t>AASB 16.53 (i)</w:t>
            </w:r>
          </w:p>
        </w:tc>
        <w:tc>
          <w:tcPr>
            <w:tcW w:w="6558" w:type="dxa"/>
            <w:tcBorders>
              <w:bottom w:val="single" w:sz="12" w:space="0" w:color="auto"/>
            </w:tcBorders>
          </w:tcPr>
          <w:p w14:paraId="37649D21" w14:textId="77777777" w:rsidR="00182709" w:rsidRDefault="0044097C">
            <w:pPr>
              <w:jc w:val="left"/>
            </w:pPr>
            <w:r>
              <w:t>Gains or losses arising from sale and leaseback transactions</w:t>
            </w:r>
          </w:p>
        </w:tc>
        <w:tc>
          <w:tcPr>
            <w:tcW w:w="866" w:type="dxa"/>
            <w:tcBorders>
              <w:bottom w:val="single" w:sz="12" w:space="0" w:color="auto"/>
            </w:tcBorders>
          </w:tcPr>
          <w:p w14:paraId="29ECC133" w14:textId="77777777" w:rsidR="00182709" w:rsidRDefault="0044097C">
            <w:r>
              <w:t>..</w:t>
            </w:r>
          </w:p>
        </w:tc>
        <w:tc>
          <w:tcPr>
            <w:tcW w:w="866" w:type="dxa"/>
            <w:tcBorders>
              <w:bottom w:val="single" w:sz="12" w:space="0" w:color="auto"/>
            </w:tcBorders>
          </w:tcPr>
          <w:p w14:paraId="7ABC8808" w14:textId="77777777" w:rsidR="00182709" w:rsidRDefault="0044097C">
            <w:r>
              <w:t>..</w:t>
            </w:r>
          </w:p>
        </w:tc>
      </w:tr>
      <w:tr w:rsidR="00671D55" w14:paraId="2F3624EE" w14:textId="77777777" w:rsidTr="003C49FA">
        <w:tc>
          <w:tcPr>
            <w:tcW w:w="1349" w:type="dxa"/>
            <w:tcBorders>
              <w:bottom w:val="nil"/>
            </w:tcBorders>
          </w:tcPr>
          <w:p w14:paraId="10CA37E4" w14:textId="77777777" w:rsidR="00182709" w:rsidRDefault="00182709">
            <w:pPr>
              <w:jc w:val="left"/>
            </w:pPr>
          </w:p>
        </w:tc>
        <w:tc>
          <w:tcPr>
            <w:tcW w:w="6558" w:type="dxa"/>
          </w:tcPr>
          <w:p w14:paraId="38CEE020" w14:textId="77777777" w:rsidR="00182709" w:rsidRDefault="0044097C">
            <w:pPr>
              <w:jc w:val="left"/>
            </w:pPr>
            <w:r>
              <w:rPr>
                <w:b/>
              </w:rPr>
              <w:t>Total amount recognised in the comprehensive operating statement</w:t>
            </w:r>
          </w:p>
        </w:tc>
        <w:tc>
          <w:tcPr>
            <w:tcW w:w="866" w:type="dxa"/>
          </w:tcPr>
          <w:p w14:paraId="7378EB3C" w14:textId="77777777" w:rsidR="00182709" w:rsidRDefault="0044097C">
            <w:r>
              <w:rPr>
                <w:b/>
              </w:rPr>
              <w:t>5 038</w:t>
            </w:r>
          </w:p>
        </w:tc>
        <w:tc>
          <w:tcPr>
            <w:tcW w:w="866" w:type="dxa"/>
          </w:tcPr>
          <w:p w14:paraId="00E5652C" w14:textId="77777777" w:rsidR="00182709" w:rsidRDefault="0044097C">
            <w:r>
              <w:rPr>
                <w:b/>
              </w:rPr>
              <w:t>2 293</w:t>
            </w:r>
          </w:p>
        </w:tc>
      </w:tr>
    </w:tbl>
    <w:p w14:paraId="043E2D43" w14:textId="1A58B733" w:rsidR="003719CD" w:rsidRDefault="003719CD" w:rsidP="00DC39DE">
      <w:r>
        <w:t>For any new contracts entered into,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w:t>
      </w:r>
      <w:r w:rsidR="00131F40">
        <w:t>, including</w:t>
      </w:r>
      <w:r>
        <w:t xml:space="preserve">: </w:t>
      </w:r>
    </w:p>
    <w:p w14:paraId="605B049B" w14:textId="58275E9B" w:rsidR="003719CD" w:rsidRDefault="009D62DC" w:rsidP="00310F12">
      <w:pPr>
        <w:pStyle w:val="ListBullet"/>
      </w:pPr>
      <w:r>
        <w:t>w</w:t>
      </w:r>
      <w:r w:rsidR="003719CD">
        <w:t>hether the contract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1ECCA107" w14:textId="3F4E891E" w:rsidR="003719CD" w:rsidRDefault="009D62DC" w:rsidP="00310F12">
      <w:pPr>
        <w:pStyle w:val="ListBullet"/>
      </w:pPr>
      <w:r>
        <w:t>w</w:t>
      </w:r>
      <w:r w:rsidR="003719CD">
        <w:t>hether 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w:t>
      </w:r>
    </w:p>
    <w:p w14:paraId="2B4A408B" w14:textId="41857CA7" w:rsidR="003719CD" w:rsidRDefault="009D62DC" w:rsidP="00310F12">
      <w:pPr>
        <w:pStyle w:val="ListBullet"/>
      </w:pPr>
      <w:r>
        <w:t>w</w:t>
      </w:r>
      <w:r w:rsidR="003719CD">
        <w:t xml:space="preserve">hether the </w:t>
      </w:r>
      <w:r w:rsidR="00131F40">
        <w:t>D</w:t>
      </w:r>
      <w:r w:rsidR="003719CD">
        <w:t>epartment has the right to take decisions in respect of ‘how and for what purpose’ the asset is used throughout the period of use.</w:t>
      </w:r>
    </w:p>
    <w:p w14:paraId="5A9AD469" w14:textId="77777777" w:rsidR="003719CD" w:rsidRDefault="003719CD" w:rsidP="007D536F">
      <w:r>
        <w:t>This policy is applied to contracts entered into, or changed, on or after 1 July 2019.</w:t>
      </w:r>
    </w:p>
    <w:p w14:paraId="00D397AA" w14:textId="0188B974" w:rsidR="003719CD" w:rsidRPr="001C28FE" w:rsidRDefault="003719CD" w:rsidP="00DC39DE">
      <w:pPr>
        <w:rPr>
          <w:rStyle w:val="Reference"/>
        </w:rPr>
      </w:pPr>
      <w:r w:rsidRPr="001C28FE">
        <w:rPr>
          <w:rStyle w:val="Reference"/>
        </w:rPr>
        <w:t>[AASB 16.9, AASB 16.B9-B31, FRD</w:t>
      </w:r>
      <w:r w:rsidR="00EE78AC">
        <w:rPr>
          <w:rStyle w:val="Reference"/>
        </w:rPr>
        <w:t xml:space="preserve"> 104</w:t>
      </w:r>
      <w:r w:rsidRPr="001C28FE">
        <w:rPr>
          <w:rStyle w:val="Reference"/>
        </w:rPr>
        <w:t>]</w:t>
      </w:r>
    </w:p>
    <w:p w14:paraId="506E0E3A" w14:textId="77777777" w:rsidR="003719CD" w:rsidRDefault="003719CD" w:rsidP="007D536F">
      <w:pPr>
        <w:pStyle w:val="Heading4"/>
      </w:pPr>
      <w:r>
        <w:t>Separation of lease and non-lease components</w:t>
      </w:r>
    </w:p>
    <w:p w14:paraId="2924AD20" w14:textId="753F4299" w:rsidR="003719CD" w:rsidRDefault="003719CD" w:rsidP="00DC39DE">
      <w:r>
        <w:t xml:space="preserve">At inception or on reassessment of a contract that contains a lease component, the lessee is required to separate out and account separately for non-lease components within a lease contract and exclude these amounts when determining the lease liability and right-of-use asset amount. </w:t>
      </w:r>
      <w:r w:rsidRPr="00527968">
        <w:rPr>
          <w:rStyle w:val="Reference"/>
        </w:rPr>
        <w:t xml:space="preserve">[AASB 16.12, FRD </w:t>
      </w:r>
      <w:r w:rsidR="00EE78AC">
        <w:rPr>
          <w:rStyle w:val="Reference"/>
        </w:rPr>
        <w:t>104</w:t>
      </w:r>
      <w:r w:rsidRPr="00527968">
        <w:rPr>
          <w:rStyle w:val="Reference"/>
        </w:rPr>
        <w:t>]</w:t>
      </w:r>
      <w:r>
        <w:t xml:space="preserve"> </w:t>
      </w:r>
    </w:p>
    <w:p w14:paraId="71C62C18" w14:textId="77777777" w:rsidR="003C49FA" w:rsidRDefault="003C49FA">
      <w:pPr>
        <w:keepLines w:val="0"/>
        <w:rPr>
          <w:rFonts w:asciiTheme="majorHAnsi" w:eastAsiaTheme="majorEastAsia" w:hAnsiTheme="majorHAnsi" w:cstheme="majorBidi"/>
          <w:b/>
          <w:iCs/>
          <w:szCs w:val="24"/>
        </w:rPr>
      </w:pPr>
      <w:r>
        <w:br w:type="page"/>
      </w:r>
    </w:p>
    <w:p w14:paraId="7F1272B2" w14:textId="429F3BCE" w:rsidR="003719CD" w:rsidRDefault="003719CD" w:rsidP="007D536F">
      <w:pPr>
        <w:pStyle w:val="Heading4"/>
      </w:pPr>
      <w:r>
        <w:lastRenderedPageBreak/>
        <w:t xml:space="preserve">Recognition and measurement of leases as a lessee </w:t>
      </w:r>
    </w:p>
    <w:p w14:paraId="01C72136" w14:textId="77777777" w:rsidR="003719CD" w:rsidRDefault="003719CD" w:rsidP="007D536F">
      <w:pPr>
        <w:pStyle w:val="Heading5"/>
      </w:pPr>
      <w:r>
        <w:t>Lease Liability – initial measurement</w:t>
      </w:r>
    </w:p>
    <w:p w14:paraId="4F51C28C" w14:textId="0B186A63" w:rsidR="003719CD" w:rsidRDefault="003719CD" w:rsidP="00DC39DE">
      <w:r>
        <w:t>The lease liability is initially measured at the present value of the lease payments unpaid at the commencement date, discounted using the interest rate implicit in the lease if that rate is readily determinable or the Department</w:t>
      </w:r>
      <w:r w:rsidR="00A03170">
        <w:t>’</w:t>
      </w:r>
      <w:r>
        <w:t xml:space="preserve">s incremental borrowing rate. </w:t>
      </w:r>
      <w:r w:rsidRPr="00587743">
        <w:rPr>
          <w:rStyle w:val="Reference"/>
        </w:rPr>
        <w:t>[AASB 16.26]</w:t>
      </w:r>
    </w:p>
    <w:p w14:paraId="0EA15BF7" w14:textId="7DA30E20" w:rsidR="003719CD" w:rsidRDefault="003719CD" w:rsidP="00DC39DE">
      <w:r>
        <w:t>Lease payments included in the measurement of the lease liability comprise the following:</w:t>
      </w:r>
    </w:p>
    <w:p w14:paraId="5F51DACF" w14:textId="390BDFD8" w:rsidR="003719CD" w:rsidRDefault="00A03170" w:rsidP="00310F12">
      <w:pPr>
        <w:pStyle w:val="ListBullet"/>
      </w:pPr>
      <w:r>
        <w:t>F</w:t>
      </w:r>
      <w:r w:rsidR="003719CD">
        <w:t>ixed payments (including in-substance fixed payments) less any lease incentive receivable</w:t>
      </w:r>
    </w:p>
    <w:p w14:paraId="62442D5C" w14:textId="17973EC2" w:rsidR="003719CD" w:rsidRDefault="00A03170" w:rsidP="00310F12">
      <w:pPr>
        <w:pStyle w:val="ListBullet"/>
      </w:pPr>
      <w:r>
        <w:t>V</w:t>
      </w:r>
      <w:r w:rsidR="003719CD">
        <w:t>ariable payments based on an index or rate, initially measured using the index or rate as at the commencement date</w:t>
      </w:r>
    </w:p>
    <w:p w14:paraId="6C8D0D6B" w14:textId="204F516D" w:rsidR="003719CD" w:rsidRDefault="00A03170" w:rsidP="00310F12">
      <w:pPr>
        <w:pStyle w:val="ListBullet"/>
      </w:pPr>
      <w:r>
        <w:t>A</w:t>
      </w:r>
      <w:r w:rsidR="003719CD">
        <w:t>mounts expected to be payable under a residual value guarantee</w:t>
      </w:r>
    </w:p>
    <w:p w14:paraId="7A48AA65" w14:textId="1DF377E0" w:rsidR="003719CD" w:rsidRDefault="00A03170" w:rsidP="00310F12">
      <w:pPr>
        <w:pStyle w:val="ListBullet"/>
      </w:pPr>
      <w:r>
        <w:t>P</w:t>
      </w:r>
      <w:r w:rsidR="003719CD">
        <w:t>ayments arising from purchase and termination options reasonably certain to be exercised.</w:t>
      </w:r>
    </w:p>
    <w:p w14:paraId="50BDCD84" w14:textId="77777777" w:rsidR="003719CD" w:rsidRPr="00587743" w:rsidRDefault="003719CD" w:rsidP="00DC39DE">
      <w:pPr>
        <w:rPr>
          <w:rStyle w:val="Reference"/>
        </w:rPr>
      </w:pPr>
      <w:r w:rsidRPr="00587743">
        <w:rPr>
          <w:rStyle w:val="Reference"/>
        </w:rPr>
        <w:t>[AASB 16.27]</w:t>
      </w:r>
    </w:p>
    <w:p w14:paraId="1C821F4A" w14:textId="77777777" w:rsidR="003719CD" w:rsidRDefault="003719CD" w:rsidP="007D536F">
      <w:pPr>
        <w:pStyle w:val="Heading5"/>
      </w:pPr>
      <w:r>
        <w:t>Lease Liability – subsequent measurement</w:t>
      </w:r>
    </w:p>
    <w:p w14:paraId="46F727A9" w14:textId="77777777" w:rsidR="003719CD" w:rsidRDefault="003719CD" w:rsidP="00DC39DE">
      <w:r>
        <w:t xml:space="preserve">Subsequent to initial measurement, the liability will be reduced for payments made and increased for interest. It is remeasured to reflect any reassessment or modification, or if there are changes in-substance fixed payments. </w:t>
      </w:r>
      <w:r w:rsidRPr="00587743">
        <w:rPr>
          <w:rStyle w:val="Reference"/>
        </w:rPr>
        <w:t>[AASB 16.36]</w:t>
      </w:r>
    </w:p>
    <w:p w14:paraId="12B946B4" w14:textId="77777777" w:rsidR="003719CD" w:rsidRDefault="003719CD" w:rsidP="00DC39DE">
      <w:r>
        <w:t xml:space="preserve">When the lease liability is remeasured, the corresponding adjustment is reflected in the right-of-use asset, or profit and loss if the right-of-use asset is already reduced to zero. </w:t>
      </w:r>
      <w:r w:rsidRPr="00587743">
        <w:rPr>
          <w:rStyle w:val="Reference"/>
        </w:rPr>
        <w:t>[AASB 16.39]</w:t>
      </w:r>
    </w:p>
    <w:p w14:paraId="68DA25BB" w14:textId="77777777" w:rsidR="003719CD" w:rsidRDefault="003719CD" w:rsidP="007D536F">
      <w:pPr>
        <w:pStyle w:val="Heading5"/>
      </w:pPr>
      <w:r>
        <w:t>Short-term leases and leases of low-value assets</w:t>
      </w:r>
    </w:p>
    <w:p w14:paraId="13E65592" w14:textId="4910923E" w:rsidR="003719CD" w:rsidRDefault="003719CD" w:rsidP="00DC39DE">
      <w:r>
        <w:t xml:space="preserve">The Department has elected to account for short-term leases and leases of low-value assets using the practical expedients. Instead of recognising a right-of-use asset and lease liability, the payments in relation to these are recognised as an expense in profit or loss on a straight-line basis over the lease term. </w:t>
      </w:r>
      <w:r w:rsidRPr="00587743">
        <w:rPr>
          <w:rStyle w:val="Reference"/>
        </w:rPr>
        <w:t>[AASB 16.60, FRD</w:t>
      </w:r>
      <w:r w:rsidR="00EE78AC">
        <w:rPr>
          <w:rStyle w:val="Reference"/>
        </w:rPr>
        <w:t>104</w:t>
      </w:r>
      <w:r w:rsidRPr="00587743">
        <w:rPr>
          <w:rStyle w:val="Reference"/>
        </w:rPr>
        <w:t>]</w:t>
      </w:r>
    </w:p>
    <w:p w14:paraId="066D8554" w14:textId="77777777" w:rsidR="003719CD" w:rsidRDefault="003719CD" w:rsidP="007D536F">
      <w:pPr>
        <w:pStyle w:val="Heading5"/>
      </w:pPr>
      <w:r>
        <w:t>Below market/Peppercorn lease</w:t>
      </w:r>
    </w:p>
    <w:p w14:paraId="32A09F57" w14:textId="422DE443" w:rsidR="003719CD" w:rsidRDefault="003719CD" w:rsidP="00DC39DE">
      <w:r>
        <w:t xml:space="preserve">Right-of-use assets under leases at significantly below-market terms and conditions that are entered into principally to enable the Department to further its objectives, are initially and subsequently measured at cost. </w:t>
      </w:r>
      <w:r w:rsidRPr="00542015">
        <w:rPr>
          <w:rStyle w:val="Reference"/>
        </w:rPr>
        <w:t>[AASB 16.Aus25.1, AASB</w:t>
      </w:r>
      <w:r>
        <w:rPr>
          <w:rStyle w:val="Reference"/>
        </w:rPr>
        <w:t> </w:t>
      </w:r>
      <w:r w:rsidRPr="00542015">
        <w:rPr>
          <w:rStyle w:val="Reference"/>
        </w:rPr>
        <w:t>16.Aus35.1, FRD</w:t>
      </w:r>
      <w:r w:rsidR="00EE78AC">
        <w:rPr>
          <w:rStyle w:val="Reference"/>
        </w:rPr>
        <w:t>104</w:t>
      </w:r>
      <w:r w:rsidRPr="00542015">
        <w:rPr>
          <w:rStyle w:val="Reference"/>
        </w:rPr>
        <w:t>]</w:t>
      </w:r>
    </w:p>
    <w:p w14:paraId="570D8C71" w14:textId="77777777" w:rsidR="003719CD" w:rsidRDefault="003719CD" w:rsidP="00DC39DE">
      <w:r>
        <w:t xml:space="preserve">These right-of-use assets are depreciated on a straight-line basis over the shorter of the lease term and the estimated useful lives of the assets. </w:t>
      </w:r>
    </w:p>
    <w:p w14:paraId="3DD1C1F6" w14:textId="77777777" w:rsidR="003719CD" w:rsidRDefault="003719CD" w:rsidP="007D536F">
      <w:pPr>
        <w:pStyle w:val="Heading5"/>
      </w:pPr>
      <w:r>
        <w:t>Presentation of right-of-use assets and lease liabilities</w:t>
      </w:r>
    </w:p>
    <w:p w14:paraId="330ADE53" w14:textId="77777777" w:rsidR="003719CD" w:rsidRDefault="003719CD" w:rsidP="00DC39DE">
      <w:r>
        <w:t xml:space="preserve">The Department presents right-of-use assets as ‘property plant equipment’ unless they meet the definition of investment property, in which case they are disclosed as ‘investment property’ in the balance sheet. Lease liabilities are presented as ‘borrowings’ in the balance sheet. </w:t>
      </w:r>
      <w:r w:rsidRPr="00542015">
        <w:rPr>
          <w:rStyle w:val="Reference"/>
        </w:rPr>
        <w:t>[AASB 16.47 and AASB 16.48]</w:t>
      </w:r>
    </w:p>
    <w:p w14:paraId="42FFD578" w14:textId="13854A2C" w:rsidR="003719CD" w:rsidRDefault="003719CD" w:rsidP="00DC39DE">
      <w:r w:rsidRPr="0046158E">
        <w:rPr>
          <w:b/>
          <w:bCs/>
        </w:rPr>
        <w:t>Commissioned public private partnerships (PPP)</w:t>
      </w:r>
      <w:r>
        <w:t xml:space="preserve">: </w:t>
      </w:r>
      <w:r w:rsidR="007667F2">
        <w:t>T</w:t>
      </w:r>
      <w:r>
        <w:t xml:space="preserve">he Department entered into a 20-year PPP arrangement with Project Co Pty Ltd on 21 December 2007. The project was initiated to develop a new information technology and telecommunication system that increases the speed of internet connections in the State of Victoria. Upon completion of construction, the system commenced operation on 1 July 2010. Under the arrangement, the portion of total payments to Project Co Pty Ltd that relates to the Department’s right to use the assets is accounted for as a lease liability, as disclosed in the table below. In addition, until the end of this PPP arrangement, the Department pays Project Co Pty Ltd for ongoing operation and maintenance of the system </w:t>
      </w:r>
    </w:p>
    <w:p w14:paraId="6BAD22B9" w14:textId="6A7C19B5" w:rsidR="003719CD" w:rsidRDefault="003719CD" w:rsidP="00DC39DE">
      <w:r>
        <w:t>The business unit of the Department, Gene Sciences Victoria</w:t>
      </w:r>
      <w:r w:rsidR="00BE2B91">
        <w:t>,</w:t>
      </w:r>
      <w:r>
        <w:t xml:space="preserve"> also entered into a 30-year PPP with Rapid Processing Ltd on 15 May 2007 to develop a Biotech Research Centre. Upon completion of the construction, the research centre commenced operation on 15 July 2011. Under the arrangement, the portion of the payments to Rapid Processing Ltd that relates to the Department’s right to use the assets are accounted for as leases liabilities, which are disclosed in the following table. In addition, until the end of this PPP arrangement, the Department pays Rapid Processing Ltd for a standard level of service as part of the ongoing operation and maintenance of the centre. </w:t>
      </w:r>
      <w:r w:rsidRPr="0046158E">
        <w:rPr>
          <w:rStyle w:val="Reference"/>
        </w:rPr>
        <w:t>[AASB Interpretation 129.6 and 129.7]</w:t>
      </w:r>
      <w:r>
        <w:t xml:space="preserve"> </w:t>
      </w:r>
    </w:p>
    <w:p w14:paraId="5544CE31" w14:textId="77777777" w:rsidR="007B1CAB" w:rsidRDefault="007B1CAB">
      <w:pPr>
        <w:keepLines w:val="0"/>
        <w:rPr>
          <w:b/>
          <w:iCs/>
          <w:color w:val="404040" w:themeColor="text1" w:themeTint="BF"/>
        </w:rPr>
      </w:pPr>
      <w:r>
        <w:br w:type="page"/>
      </w:r>
    </w:p>
    <w:p w14:paraId="6C1A1402" w14:textId="239CE689" w:rsidR="003719CD" w:rsidRDefault="003719CD" w:rsidP="007D536F">
      <w:pPr>
        <w:pStyle w:val="TableUnits"/>
      </w:pPr>
      <w:r>
        <w:lastRenderedPageBreak/>
        <w:t>($ thousand)</w:t>
      </w:r>
    </w:p>
    <w:tbl>
      <w:tblPr>
        <w:tblStyle w:val="DTFTable"/>
        <w:tblW w:w="9639" w:type="dxa"/>
        <w:tblLayout w:type="fixed"/>
        <w:tblLook w:val="06A0" w:firstRow="1" w:lastRow="0" w:firstColumn="1" w:lastColumn="0" w:noHBand="1" w:noVBand="1"/>
      </w:tblPr>
      <w:tblGrid>
        <w:gridCol w:w="4962"/>
        <w:gridCol w:w="1169"/>
        <w:gridCol w:w="1169"/>
        <w:gridCol w:w="1169"/>
        <w:gridCol w:w="1170"/>
      </w:tblGrid>
      <w:tr w:rsidR="008E5233" w14:paraId="01E53DF9" w14:textId="77777777" w:rsidTr="006A08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368EA7F5" w14:textId="77777777" w:rsidR="008E5233" w:rsidRDefault="008E5233">
            <w:pPr>
              <w:keepNext/>
            </w:pPr>
          </w:p>
        </w:tc>
        <w:tc>
          <w:tcPr>
            <w:tcW w:w="2338" w:type="dxa"/>
            <w:gridSpan w:val="2"/>
          </w:tcPr>
          <w:p w14:paraId="19CE3E3E" w14:textId="77777777" w:rsidR="008E5233" w:rsidRDefault="005648A9" w:rsidP="007B1CAB">
            <w:pPr>
              <w:keepNext/>
              <w:jc w:val="center"/>
              <w:cnfStyle w:val="100000000000" w:firstRow="1" w:lastRow="0" w:firstColumn="0" w:lastColumn="0" w:oddVBand="0" w:evenVBand="0" w:oddHBand="0" w:evenHBand="0" w:firstRowFirstColumn="0" w:firstRowLastColumn="0" w:lastRowFirstColumn="0" w:lastRowLastColumn="0"/>
            </w:pPr>
            <w:r>
              <w:t>Minimum future lease payments</w:t>
            </w:r>
            <w:r>
              <w:rPr>
                <w:vertAlign w:val="superscript"/>
              </w:rPr>
              <w:t xml:space="preserve"> (a)</w:t>
            </w:r>
          </w:p>
        </w:tc>
        <w:tc>
          <w:tcPr>
            <w:tcW w:w="2339" w:type="dxa"/>
            <w:gridSpan w:val="2"/>
          </w:tcPr>
          <w:p w14:paraId="18369B01" w14:textId="77777777" w:rsidR="008E5233" w:rsidRDefault="005648A9" w:rsidP="007B1CAB">
            <w:pPr>
              <w:keepNext/>
              <w:jc w:val="center"/>
              <w:cnfStyle w:val="100000000000" w:firstRow="1" w:lastRow="0" w:firstColumn="0" w:lastColumn="0" w:oddVBand="0" w:evenVBand="0" w:oddHBand="0" w:evenHBand="0" w:firstRowFirstColumn="0" w:firstRowLastColumn="0" w:lastRowFirstColumn="0" w:lastRowLastColumn="0"/>
            </w:pPr>
            <w:r>
              <w:t>Present value of minimum future lease payments</w:t>
            </w:r>
          </w:p>
        </w:tc>
      </w:tr>
      <w:tr w:rsidR="00CF43E9" w14:paraId="21758F0D" w14:textId="77777777" w:rsidTr="006A08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52872D4E" w14:textId="77777777" w:rsidR="00CF43E9" w:rsidRDefault="00CF43E9" w:rsidP="00CF43E9">
            <w:pPr>
              <w:keepNext/>
            </w:pPr>
          </w:p>
        </w:tc>
        <w:tc>
          <w:tcPr>
            <w:tcW w:w="1169" w:type="dxa"/>
          </w:tcPr>
          <w:p w14:paraId="26E1FDDB" w14:textId="1CFE0F61"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1169" w:type="dxa"/>
          </w:tcPr>
          <w:p w14:paraId="46D46FFB" w14:textId="06E6159C"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c>
          <w:tcPr>
            <w:tcW w:w="1169" w:type="dxa"/>
          </w:tcPr>
          <w:p w14:paraId="5ED8DD94" w14:textId="45EB5D5D"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1170" w:type="dxa"/>
          </w:tcPr>
          <w:p w14:paraId="40B95819" w14:textId="7AA0B07E"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8E5233" w14:paraId="4BA32B6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35FDA2A4" w14:textId="32709261" w:rsidR="008E5233" w:rsidRDefault="005648A9">
            <w:r>
              <w:rPr>
                <w:b/>
              </w:rPr>
              <w:t>Commissioned PPP related finance lease liabilities payable</w:t>
            </w:r>
          </w:p>
        </w:tc>
        <w:tc>
          <w:tcPr>
            <w:tcW w:w="1169" w:type="dxa"/>
          </w:tcPr>
          <w:p w14:paraId="5E553AE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06C19B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4C698B2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080BE6D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27116B2"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4DC601B0" w14:textId="77777777" w:rsidR="008E5233" w:rsidRDefault="005648A9">
            <w:r>
              <w:t>Not longer than 1 year</w:t>
            </w:r>
          </w:p>
        </w:tc>
        <w:tc>
          <w:tcPr>
            <w:tcW w:w="1169" w:type="dxa"/>
          </w:tcPr>
          <w:p w14:paraId="403B97E7" w14:textId="77777777" w:rsidR="008E5233" w:rsidRDefault="005648A9">
            <w:pPr>
              <w:cnfStyle w:val="000000000000" w:firstRow="0" w:lastRow="0" w:firstColumn="0" w:lastColumn="0" w:oddVBand="0" w:evenVBand="0" w:oddHBand="0" w:evenHBand="0" w:firstRowFirstColumn="0" w:firstRowLastColumn="0" w:lastRowFirstColumn="0" w:lastRowLastColumn="0"/>
            </w:pPr>
            <w:r>
              <w:t>3 415</w:t>
            </w:r>
          </w:p>
        </w:tc>
        <w:tc>
          <w:tcPr>
            <w:tcW w:w="1169" w:type="dxa"/>
          </w:tcPr>
          <w:p w14:paraId="493F4006" w14:textId="77777777" w:rsidR="008E5233" w:rsidRDefault="005648A9">
            <w:pPr>
              <w:cnfStyle w:val="000000000000" w:firstRow="0" w:lastRow="0" w:firstColumn="0" w:lastColumn="0" w:oddVBand="0" w:evenVBand="0" w:oddHBand="0" w:evenHBand="0" w:firstRowFirstColumn="0" w:firstRowLastColumn="0" w:lastRowFirstColumn="0" w:lastRowLastColumn="0"/>
            </w:pPr>
            <w:r>
              <w:t>8 606</w:t>
            </w:r>
          </w:p>
        </w:tc>
        <w:tc>
          <w:tcPr>
            <w:tcW w:w="1169" w:type="dxa"/>
          </w:tcPr>
          <w:p w14:paraId="1A880E7C" w14:textId="77777777" w:rsidR="008E5233" w:rsidRDefault="005648A9">
            <w:pPr>
              <w:cnfStyle w:val="000000000000" w:firstRow="0" w:lastRow="0" w:firstColumn="0" w:lastColumn="0" w:oddVBand="0" w:evenVBand="0" w:oddHBand="0" w:evenHBand="0" w:firstRowFirstColumn="0" w:firstRowLastColumn="0" w:lastRowFirstColumn="0" w:lastRowLastColumn="0"/>
            </w:pPr>
            <w:r>
              <w:t>2 845</w:t>
            </w:r>
          </w:p>
        </w:tc>
        <w:tc>
          <w:tcPr>
            <w:tcW w:w="1170" w:type="dxa"/>
          </w:tcPr>
          <w:p w14:paraId="70A05887" w14:textId="77777777" w:rsidR="008E5233" w:rsidRDefault="005648A9">
            <w:pPr>
              <w:cnfStyle w:val="000000000000" w:firstRow="0" w:lastRow="0" w:firstColumn="0" w:lastColumn="0" w:oddVBand="0" w:evenVBand="0" w:oddHBand="0" w:evenHBand="0" w:firstRowFirstColumn="0" w:firstRowLastColumn="0" w:lastRowFirstColumn="0" w:lastRowLastColumn="0"/>
            </w:pPr>
            <w:r>
              <w:t>7 172</w:t>
            </w:r>
          </w:p>
        </w:tc>
      </w:tr>
      <w:tr w:rsidR="008E5233" w14:paraId="57702E4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7809AFB" w14:textId="77777777" w:rsidR="008E5233" w:rsidRDefault="005648A9">
            <w:r>
              <w:t>Longer than 1 year but not longer than 5 years</w:t>
            </w:r>
          </w:p>
        </w:tc>
        <w:tc>
          <w:tcPr>
            <w:tcW w:w="1169" w:type="dxa"/>
          </w:tcPr>
          <w:p w14:paraId="7BC673BC" w14:textId="77777777" w:rsidR="008E5233" w:rsidRDefault="005648A9">
            <w:pPr>
              <w:cnfStyle w:val="000000000000" w:firstRow="0" w:lastRow="0" w:firstColumn="0" w:lastColumn="0" w:oddVBand="0" w:evenVBand="0" w:oddHBand="0" w:evenHBand="0" w:firstRowFirstColumn="0" w:firstRowLastColumn="0" w:lastRowFirstColumn="0" w:lastRowLastColumn="0"/>
            </w:pPr>
            <w:r>
              <w:t>960</w:t>
            </w:r>
          </w:p>
        </w:tc>
        <w:tc>
          <w:tcPr>
            <w:tcW w:w="1169" w:type="dxa"/>
          </w:tcPr>
          <w:p w14:paraId="0752EA5D" w14:textId="77777777" w:rsidR="008E5233" w:rsidRDefault="005648A9">
            <w:pPr>
              <w:cnfStyle w:val="000000000000" w:firstRow="0" w:lastRow="0" w:firstColumn="0" w:lastColumn="0" w:oddVBand="0" w:evenVBand="0" w:oddHBand="0" w:evenHBand="0" w:firstRowFirstColumn="0" w:firstRowLastColumn="0" w:lastRowFirstColumn="0" w:lastRowLastColumn="0"/>
            </w:pPr>
            <w:r>
              <w:t>2 356</w:t>
            </w:r>
          </w:p>
        </w:tc>
        <w:tc>
          <w:tcPr>
            <w:tcW w:w="1169" w:type="dxa"/>
          </w:tcPr>
          <w:p w14:paraId="12F59707" w14:textId="77777777" w:rsidR="008E5233" w:rsidRDefault="005648A9">
            <w:pPr>
              <w:cnfStyle w:val="000000000000" w:firstRow="0" w:lastRow="0" w:firstColumn="0" w:lastColumn="0" w:oddVBand="0" w:evenVBand="0" w:oddHBand="0" w:evenHBand="0" w:firstRowFirstColumn="0" w:firstRowLastColumn="0" w:lastRowFirstColumn="0" w:lastRowLastColumn="0"/>
            </w:pPr>
            <w:r>
              <w:t>800</w:t>
            </w:r>
          </w:p>
        </w:tc>
        <w:tc>
          <w:tcPr>
            <w:tcW w:w="1170" w:type="dxa"/>
          </w:tcPr>
          <w:p w14:paraId="72AFA595" w14:textId="77777777" w:rsidR="008E5233" w:rsidRDefault="005648A9">
            <w:pPr>
              <w:cnfStyle w:val="000000000000" w:firstRow="0" w:lastRow="0" w:firstColumn="0" w:lastColumn="0" w:oddVBand="0" w:evenVBand="0" w:oddHBand="0" w:evenHBand="0" w:firstRowFirstColumn="0" w:firstRowLastColumn="0" w:lastRowFirstColumn="0" w:lastRowLastColumn="0"/>
            </w:pPr>
            <w:r>
              <w:t>1 963</w:t>
            </w:r>
          </w:p>
        </w:tc>
      </w:tr>
      <w:tr w:rsidR="008E5233" w14:paraId="62B6F0E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05AB4776" w14:textId="77777777" w:rsidR="008E5233" w:rsidRDefault="005648A9">
            <w:r>
              <w:t>Longer than 5 years</w:t>
            </w:r>
          </w:p>
        </w:tc>
        <w:tc>
          <w:tcPr>
            <w:tcW w:w="1169" w:type="dxa"/>
          </w:tcPr>
          <w:p w14:paraId="16E13729" w14:textId="77777777" w:rsidR="008E5233" w:rsidRDefault="005648A9">
            <w:pPr>
              <w:cnfStyle w:val="000000000000" w:firstRow="0" w:lastRow="0" w:firstColumn="0" w:lastColumn="0" w:oddVBand="0" w:evenVBand="0" w:oddHBand="0" w:evenHBand="0" w:firstRowFirstColumn="0" w:firstRowLastColumn="0" w:lastRowFirstColumn="0" w:lastRowLastColumn="0"/>
            </w:pPr>
            <w:r>
              <w:t>1 919</w:t>
            </w:r>
          </w:p>
        </w:tc>
        <w:tc>
          <w:tcPr>
            <w:tcW w:w="1169" w:type="dxa"/>
          </w:tcPr>
          <w:p w14:paraId="590DE9B3" w14:textId="77777777" w:rsidR="008E5233" w:rsidRDefault="005648A9">
            <w:pPr>
              <w:cnfStyle w:val="000000000000" w:firstRow="0" w:lastRow="0" w:firstColumn="0" w:lastColumn="0" w:oddVBand="0" w:evenVBand="0" w:oddHBand="0" w:evenHBand="0" w:firstRowFirstColumn="0" w:firstRowLastColumn="0" w:lastRowFirstColumn="0" w:lastRowLastColumn="0"/>
            </w:pPr>
            <w:r>
              <w:t>4 712</w:t>
            </w:r>
          </w:p>
        </w:tc>
        <w:tc>
          <w:tcPr>
            <w:tcW w:w="1169" w:type="dxa"/>
          </w:tcPr>
          <w:p w14:paraId="05CB4EA6" w14:textId="77777777" w:rsidR="008E5233" w:rsidRDefault="005648A9">
            <w:pPr>
              <w:cnfStyle w:val="000000000000" w:firstRow="0" w:lastRow="0" w:firstColumn="0" w:lastColumn="0" w:oddVBand="0" w:evenVBand="0" w:oddHBand="0" w:evenHBand="0" w:firstRowFirstColumn="0" w:firstRowLastColumn="0" w:lastRowFirstColumn="0" w:lastRowLastColumn="0"/>
            </w:pPr>
            <w:r>
              <w:t>1 599</w:t>
            </w:r>
          </w:p>
        </w:tc>
        <w:tc>
          <w:tcPr>
            <w:tcW w:w="1170" w:type="dxa"/>
          </w:tcPr>
          <w:p w14:paraId="6394E8E1" w14:textId="77777777" w:rsidR="008E5233" w:rsidRDefault="005648A9">
            <w:pPr>
              <w:cnfStyle w:val="000000000000" w:firstRow="0" w:lastRow="0" w:firstColumn="0" w:lastColumn="0" w:oddVBand="0" w:evenVBand="0" w:oddHBand="0" w:evenHBand="0" w:firstRowFirstColumn="0" w:firstRowLastColumn="0" w:lastRowFirstColumn="0" w:lastRowLastColumn="0"/>
            </w:pPr>
            <w:r>
              <w:t>3 926</w:t>
            </w:r>
          </w:p>
        </w:tc>
      </w:tr>
      <w:tr w:rsidR="008E5233" w14:paraId="608FF7BC"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1F43CC38" w14:textId="204A8579" w:rsidR="008E5233" w:rsidRDefault="005648A9">
            <w:r>
              <w:rPr>
                <w:b/>
              </w:rPr>
              <w:t xml:space="preserve">Other lease liabilities payable </w:t>
            </w:r>
          </w:p>
        </w:tc>
        <w:tc>
          <w:tcPr>
            <w:tcW w:w="1169" w:type="dxa"/>
          </w:tcPr>
          <w:p w14:paraId="06FE4A1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646C8A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330C204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733F5AE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1A26E8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0E1FC5A3" w14:textId="77777777" w:rsidR="008E5233" w:rsidRDefault="005648A9">
            <w:r>
              <w:t>Not longer than 1 year</w:t>
            </w:r>
          </w:p>
        </w:tc>
        <w:tc>
          <w:tcPr>
            <w:tcW w:w="1169" w:type="dxa"/>
          </w:tcPr>
          <w:p w14:paraId="73EDA5A0" w14:textId="77777777" w:rsidR="008E5233" w:rsidRDefault="005648A9">
            <w:pPr>
              <w:cnfStyle w:val="000000000000" w:firstRow="0" w:lastRow="0" w:firstColumn="0" w:lastColumn="0" w:oddVBand="0" w:evenVBand="0" w:oddHBand="0" w:evenHBand="0" w:firstRowFirstColumn="0" w:firstRowLastColumn="0" w:lastRowFirstColumn="0" w:lastRowLastColumn="0"/>
            </w:pPr>
            <w:r>
              <w:t>1 463</w:t>
            </w:r>
          </w:p>
        </w:tc>
        <w:tc>
          <w:tcPr>
            <w:tcW w:w="1169" w:type="dxa"/>
          </w:tcPr>
          <w:p w14:paraId="7EF7D9CA" w14:textId="77777777" w:rsidR="008E5233" w:rsidRDefault="005648A9">
            <w:pPr>
              <w:cnfStyle w:val="000000000000" w:firstRow="0" w:lastRow="0" w:firstColumn="0" w:lastColumn="0" w:oddVBand="0" w:evenVBand="0" w:oddHBand="0" w:evenHBand="0" w:firstRowFirstColumn="0" w:firstRowLastColumn="0" w:lastRowFirstColumn="0" w:lastRowLastColumn="0"/>
            </w:pPr>
            <w:r>
              <w:t>3 688</w:t>
            </w:r>
          </w:p>
        </w:tc>
        <w:tc>
          <w:tcPr>
            <w:tcW w:w="1169" w:type="dxa"/>
          </w:tcPr>
          <w:p w14:paraId="056B2587" w14:textId="77777777" w:rsidR="008E5233" w:rsidRDefault="005648A9">
            <w:pPr>
              <w:cnfStyle w:val="000000000000" w:firstRow="0" w:lastRow="0" w:firstColumn="0" w:lastColumn="0" w:oddVBand="0" w:evenVBand="0" w:oddHBand="0" w:evenHBand="0" w:firstRowFirstColumn="0" w:firstRowLastColumn="0" w:lastRowFirstColumn="0" w:lastRowLastColumn="0"/>
            </w:pPr>
            <w:r>
              <w:t>1 220</w:t>
            </w:r>
          </w:p>
        </w:tc>
        <w:tc>
          <w:tcPr>
            <w:tcW w:w="1170" w:type="dxa"/>
          </w:tcPr>
          <w:p w14:paraId="7A8B6B5B" w14:textId="77777777" w:rsidR="008E5233" w:rsidRDefault="005648A9">
            <w:pPr>
              <w:cnfStyle w:val="000000000000" w:firstRow="0" w:lastRow="0" w:firstColumn="0" w:lastColumn="0" w:oddVBand="0" w:evenVBand="0" w:oddHBand="0" w:evenHBand="0" w:firstRowFirstColumn="0" w:firstRowLastColumn="0" w:lastRowFirstColumn="0" w:lastRowLastColumn="0"/>
            </w:pPr>
            <w:r>
              <w:t>3 074</w:t>
            </w:r>
          </w:p>
        </w:tc>
      </w:tr>
      <w:tr w:rsidR="008E5233" w14:paraId="4D05DF29"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F781806" w14:textId="77777777" w:rsidR="008E5233" w:rsidRDefault="005648A9">
            <w:r>
              <w:t>Longer than 1 year but not longer than 5 years</w:t>
            </w:r>
          </w:p>
        </w:tc>
        <w:tc>
          <w:tcPr>
            <w:tcW w:w="1169" w:type="dxa"/>
          </w:tcPr>
          <w:p w14:paraId="1D3E813D" w14:textId="77777777" w:rsidR="008E5233" w:rsidRDefault="005648A9">
            <w:pPr>
              <w:cnfStyle w:val="000000000000" w:firstRow="0" w:lastRow="0" w:firstColumn="0" w:lastColumn="0" w:oddVBand="0" w:evenVBand="0" w:oddHBand="0" w:evenHBand="0" w:firstRowFirstColumn="0" w:firstRowLastColumn="0" w:lastRowFirstColumn="0" w:lastRowLastColumn="0"/>
            </w:pPr>
            <w:r>
              <w:t>1 440</w:t>
            </w:r>
          </w:p>
        </w:tc>
        <w:tc>
          <w:tcPr>
            <w:tcW w:w="1169" w:type="dxa"/>
          </w:tcPr>
          <w:p w14:paraId="01F0B996" w14:textId="77777777" w:rsidR="008E5233" w:rsidRDefault="005648A9">
            <w:pPr>
              <w:cnfStyle w:val="000000000000" w:firstRow="0" w:lastRow="0" w:firstColumn="0" w:lastColumn="0" w:oddVBand="0" w:evenVBand="0" w:oddHBand="0" w:evenHBand="0" w:firstRowFirstColumn="0" w:firstRowLastColumn="0" w:lastRowFirstColumn="0" w:lastRowLastColumn="0"/>
            </w:pPr>
            <w:r>
              <w:t>3 534</w:t>
            </w:r>
          </w:p>
        </w:tc>
        <w:tc>
          <w:tcPr>
            <w:tcW w:w="1169" w:type="dxa"/>
          </w:tcPr>
          <w:p w14:paraId="0B0C5A5B" w14:textId="77777777" w:rsidR="008E5233" w:rsidRDefault="005648A9">
            <w:pPr>
              <w:cnfStyle w:val="000000000000" w:firstRow="0" w:lastRow="0" w:firstColumn="0" w:lastColumn="0" w:oddVBand="0" w:evenVBand="0" w:oddHBand="0" w:evenHBand="0" w:firstRowFirstColumn="0" w:firstRowLastColumn="0" w:lastRowFirstColumn="0" w:lastRowLastColumn="0"/>
            </w:pPr>
            <w:r>
              <w:t>1 200</w:t>
            </w:r>
          </w:p>
        </w:tc>
        <w:tc>
          <w:tcPr>
            <w:tcW w:w="1170" w:type="dxa"/>
          </w:tcPr>
          <w:p w14:paraId="73F304A3" w14:textId="77777777" w:rsidR="008E5233" w:rsidRDefault="005648A9">
            <w:pPr>
              <w:cnfStyle w:val="000000000000" w:firstRow="0" w:lastRow="0" w:firstColumn="0" w:lastColumn="0" w:oddVBand="0" w:evenVBand="0" w:oddHBand="0" w:evenHBand="0" w:firstRowFirstColumn="0" w:firstRowLastColumn="0" w:lastRowFirstColumn="0" w:lastRowLastColumn="0"/>
            </w:pPr>
            <w:r>
              <w:t>2 945</w:t>
            </w:r>
          </w:p>
        </w:tc>
      </w:tr>
      <w:tr w:rsidR="008E5233" w14:paraId="58D932BF"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754EFF7C" w14:textId="77777777" w:rsidR="008E5233" w:rsidRDefault="005648A9">
            <w:r>
              <w:t>Longer than 5 years</w:t>
            </w:r>
          </w:p>
        </w:tc>
        <w:tc>
          <w:tcPr>
            <w:tcW w:w="1169" w:type="dxa"/>
          </w:tcPr>
          <w:p w14:paraId="72AC1ED9" w14:textId="77777777" w:rsidR="008E5233" w:rsidRDefault="005648A9">
            <w:pPr>
              <w:cnfStyle w:val="000000000000" w:firstRow="0" w:lastRow="0" w:firstColumn="0" w:lastColumn="0" w:oddVBand="0" w:evenVBand="0" w:oddHBand="0" w:evenHBand="0" w:firstRowFirstColumn="0" w:firstRowLastColumn="0" w:lastRowFirstColumn="0" w:lastRowLastColumn="0"/>
            </w:pPr>
            <w:r>
              <w:t>480</w:t>
            </w:r>
          </w:p>
        </w:tc>
        <w:tc>
          <w:tcPr>
            <w:tcW w:w="1169" w:type="dxa"/>
          </w:tcPr>
          <w:p w14:paraId="50284CC3" w14:textId="77777777" w:rsidR="008E5233" w:rsidRDefault="005648A9">
            <w:pPr>
              <w:cnfStyle w:val="000000000000" w:firstRow="0" w:lastRow="0" w:firstColumn="0" w:lastColumn="0" w:oddVBand="0" w:evenVBand="0" w:oddHBand="0" w:evenHBand="0" w:firstRowFirstColumn="0" w:firstRowLastColumn="0" w:lastRowFirstColumn="0" w:lastRowLastColumn="0"/>
            </w:pPr>
            <w:r>
              <w:t>1 178</w:t>
            </w:r>
          </w:p>
        </w:tc>
        <w:tc>
          <w:tcPr>
            <w:tcW w:w="1169" w:type="dxa"/>
          </w:tcPr>
          <w:p w14:paraId="3515BE44" w14:textId="77777777" w:rsidR="008E5233" w:rsidRDefault="005648A9">
            <w:pPr>
              <w:cnfStyle w:val="000000000000" w:firstRow="0" w:lastRow="0" w:firstColumn="0" w:lastColumn="0" w:oddVBand="0" w:evenVBand="0" w:oddHBand="0" w:evenHBand="0" w:firstRowFirstColumn="0" w:firstRowLastColumn="0" w:lastRowFirstColumn="0" w:lastRowLastColumn="0"/>
            </w:pPr>
            <w:r>
              <w:t>400</w:t>
            </w:r>
          </w:p>
        </w:tc>
        <w:tc>
          <w:tcPr>
            <w:tcW w:w="1170" w:type="dxa"/>
          </w:tcPr>
          <w:p w14:paraId="1E30FFFC" w14:textId="77777777" w:rsidR="008E5233" w:rsidRDefault="005648A9">
            <w:pPr>
              <w:cnfStyle w:val="000000000000" w:firstRow="0" w:lastRow="0" w:firstColumn="0" w:lastColumn="0" w:oddVBand="0" w:evenVBand="0" w:oddHBand="0" w:evenHBand="0" w:firstRowFirstColumn="0" w:firstRowLastColumn="0" w:lastRowFirstColumn="0" w:lastRowLastColumn="0"/>
            </w:pPr>
            <w:r>
              <w:t>982</w:t>
            </w:r>
          </w:p>
        </w:tc>
      </w:tr>
      <w:tr w:rsidR="008E5233" w14:paraId="340925CE"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1F7CBF2D" w14:textId="77777777" w:rsidR="008E5233" w:rsidRDefault="005648A9">
            <w:r>
              <w:rPr>
                <w:b/>
              </w:rPr>
              <w:t>Minimum future lease payments</w:t>
            </w:r>
          </w:p>
        </w:tc>
        <w:tc>
          <w:tcPr>
            <w:tcW w:w="1169" w:type="dxa"/>
          </w:tcPr>
          <w:p w14:paraId="0FBEE98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9 677</w:t>
            </w:r>
          </w:p>
        </w:tc>
        <w:tc>
          <w:tcPr>
            <w:tcW w:w="1169" w:type="dxa"/>
          </w:tcPr>
          <w:p w14:paraId="2A10D0A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24 074</w:t>
            </w:r>
          </w:p>
        </w:tc>
        <w:tc>
          <w:tcPr>
            <w:tcW w:w="1169" w:type="dxa"/>
          </w:tcPr>
          <w:p w14:paraId="6220975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175BB3B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r w:rsidR="008E5233" w14:paraId="6B90D413"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5DFC1285" w14:textId="77777777" w:rsidR="008E5233" w:rsidRDefault="005648A9">
            <w:r>
              <w:t>Less future finance charges</w:t>
            </w:r>
          </w:p>
        </w:tc>
        <w:tc>
          <w:tcPr>
            <w:tcW w:w="1169" w:type="dxa"/>
          </w:tcPr>
          <w:p w14:paraId="2A5F6B7C" w14:textId="77777777" w:rsidR="008E5233" w:rsidRDefault="005648A9">
            <w:pPr>
              <w:cnfStyle w:val="000000000000" w:firstRow="0" w:lastRow="0" w:firstColumn="0" w:lastColumn="0" w:oddVBand="0" w:evenVBand="0" w:oddHBand="0" w:evenHBand="0" w:firstRowFirstColumn="0" w:firstRowLastColumn="0" w:lastRowFirstColumn="0" w:lastRowLastColumn="0"/>
            </w:pPr>
            <w:r>
              <w:t>(1 613)</w:t>
            </w:r>
          </w:p>
        </w:tc>
        <w:tc>
          <w:tcPr>
            <w:tcW w:w="1169" w:type="dxa"/>
          </w:tcPr>
          <w:p w14:paraId="29AB2E7E" w14:textId="77777777" w:rsidR="008E5233" w:rsidRDefault="005648A9">
            <w:pPr>
              <w:cnfStyle w:val="000000000000" w:firstRow="0" w:lastRow="0" w:firstColumn="0" w:lastColumn="0" w:oddVBand="0" w:evenVBand="0" w:oddHBand="0" w:evenHBand="0" w:firstRowFirstColumn="0" w:firstRowLastColumn="0" w:lastRowFirstColumn="0" w:lastRowLastColumn="0"/>
            </w:pPr>
            <w:r>
              <w:t>(4 012)</w:t>
            </w:r>
          </w:p>
        </w:tc>
        <w:tc>
          <w:tcPr>
            <w:tcW w:w="1169" w:type="dxa"/>
          </w:tcPr>
          <w:p w14:paraId="2723655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13F2FAE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A437951"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2E24BA6A" w14:textId="77777777" w:rsidR="008E5233" w:rsidRDefault="005648A9">
            <w:r>
              <w:rPr>
                <w:b/>
              </w:rPr>
              <w:t>Present value of minimum lease payments</w:t>
            </w:r>
          </w:p>
        </w:tc>
        <w:tc>
          <w:tcPr>
            <w:tcW w:w="1169" w:type="dxa"/>
          </w:tcPr>
          <w:p w14:paraId="5210425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69" w:type="dxa"/>
          </w:tcPr>
          <w:p w14:paraId="54CE92B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c>
          <w:tcPr>
            <w:tcW w:w="1169" w:type="dxa"/>
          </w:tcPr>
          <w:p w14:paraId="13DE97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5D5D2AE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r w:rsidR="008E5233" w14:paraId="2372475C"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6992085E" w14:textId="77777777" w:rsidR="008E5233" w:rsidRDefault="005648A9">
            <w:r>
              <w:t>Included in the financial statements as:</w:t>
            </w:r>
          </w:p>
        </w:tc>
        <w:tc>
          <w:tcPr>
            <w:tcW w:w="1169" w:type="dxa"/>
          </w:tcPr>
          <w:p w14:paraId="2257E63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2127FE0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69" w:type="dxa"/>
          </w:tcPr>
          <w:p w14:paraId="164882B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70" w:type="dxa"/>
          </w:tcPr>
          <w:p w14:paraId="76CCA21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E701A7F" w14:textId="77777777" w:rsidTr="006A0897">
        <w:tc>
          <w:tcPr>
            <w:cnfStyle w:val="001000000000" w:firstRow="0" w:lastRow="0" w:firstColumn="1" w:lastColumn="0" w:oddVBand="0" w:evenVBand="0" w:oddHBand="0" w:evenHBand="0" w:firstRowFirstColumn="0" w:firstRowLastColumn="0" w:lastRowFirstColumn="0" w:lastRowLastColumn="0"/>
            <w:tcW w:w="4962" w:type="dxa"/>
          </w:tcPr>
          <w:p w14:paraId="72285E86" w14:textId="77777777" w:rsidR="008E5233" w:rsidRDefault="005648A9">
            <w:r>
              <w:t>Current borrowings lease liabilities (Note 7.1)</w:t>
            </w:r>
          </w:p>
        </w:tc>
        <w:tc>
          <w:tcPr>
            <w:tcW w:w="1169" w:type="dxa"/>
          </w:tcPr>
          <w:p w14:paraId="11BF2D2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6E34B97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Pr>
          <w:p w14:paraId="77BAF053" w14:textId="77777777" w:rsidR="008E5233" w:rsidRDefault="005648A9">
            <w:pPr>
              <w:cnfStyle w:val="000000000000" w:firstRow="0" w:lastRow="0" w:firstColumn="0" w:lastColumn="0" w:oddVBand="0" w:evenVBand="0" w:oddHBand="0" w:evenHBand="0" w:firstRowFirstColumn="0" w:firstRowLastColumn="0" w:lastRowFirstColumn="0" w:lastRowLastColumn="0"/>
            </w:pPr>
            <w:r>
              <w:t>4 065</w:t>
            </w:r>
          </w:p>
        </w:tc>
        <w:tc>
          <w:tcPr>
            <w:tcW w:w="1170" w:type="dxa"/>
          </w:tcPr>
          <w:p w14:paraId="59A29D0E" w14:textId="77777777" w:rsidR="008E5233" w:rsidRDefault="005648A9">
            <w:pPr>
              <w:cnfStyle w:val="000000000000" w:firstRow="0" w:lastRow="0" w:firstColumn="0" w:lastColumn="0" w:oddVBand="0" w:evenVBand="0" w:oddHBand="0" w:evenHBand="0" w:firstRowFirstColumn="0" w:firstRowLastColumn="0" w:lastRowFirstColumn="0" w:lastRowLastColumn="0"/>
            </w:pPr>
            <w:r>
              <w:t>10 246</w:t>
            </w:r>
          </w:p>
        </w:tc>
      </w:tr>
      <w:tr w:rsidR="008E5233" w14:paraId="38A6718F" w14:textId="77777777" w:rsidTr="006A0897">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3DB55001" w14:textId="77777777" w:rsidR="008E5233" w:rsidRDefault="005648A9">
            <w:r>
              <w:t>Non‑current borrowings lease liabilities (Note 7.1)</w:t>
            </w:r>
          </w:p>
        </w:tc>
        <w:tc>
          <w:tcPr>
            <w:tcW w:w="1169" w:type="dxa"/>
            <w:tcBorders>
              <w:bottom w:val="single" w:sz="12" w:space="0" w:color="auto"/>
            </w:tcBorders>
          </w:tcPr>
          <w:p w14:paraId="6FCB165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12" w:space="0" w:color="auto"/>
            </w:tcBorders>
          </w:tcPr>
          <w:p w14:paraId="5D2521F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12" w:space="0" w:color="auto"/>
            </w:tcBorders>
          </w:tcPr>
          <w:p w14:paraId="749494BC" w14:textId="77777777" w:rsidR="008E5233" w:rsidRDefault="005648A9">
            <w:pPr>
              <w:cnfStyle w:val="000000000000" w:firstRow="0" w:lastRow="0" w:firstColumn="0" w:lastColumn="0" w:oddVBand="0" w:evenVBand="0" w:oddHBand="0" w:evenHBand="0" w:firstRowFirstColumn="0" w:firstRowLastColumn="0" w:lastRowFirstColumn="0" w:lastRowLastColumn="0"/>
            </w:pPr>
            <w:r>
              <w:t>3 999</w:t>
            </w:r>
          </w:p>
        </w:tc>
        <w:tc>
          <w:tcPr>
            <w:tcW w:w="1170" w:type="dxa"/>
            <w:tcBorders>
              <w:bottom w:val="single" w:sz="12" w:space="0" w:color="auto"/>
            </w:tcBorders>
          </w:tcPr>
          <w:p w14:paraId="031ADD3F" w14:textId="77777777" w:rsidR="008E5233" w:rsidRDefault="005648A9">
            <w:pPr>
              <w:cnfStyle w:val="000000000000" w:firstRow="0" w:lastRow="0" w:firstColumn="0" w:lastColumn="0" w:oddVBand="0" w:evenVBand="0" w:oddHBand="0" w:evenHBand="0" w:firstRowFirstColumn="0" w:firstRowLastColumn="0" w:lastRowFirstColumn="0" w:lastRowLastColumn="0"/>
            </w:pPr>
            <w:r>
              <w:t>9 816</w:t>
            </w:r>
          </w:p>
        </w:tc>
      </w:tr>
      <w:tr w:rsidR="00671D55" w14:paraId="11C628EC" w14:textId="77777777" w:rsidTr="00182709">
        <w:tc>
          <w:tcPr>
            <w:cnfStyle w:val="001000000000" w:firstRow="0" w:lastRow="0" w:firstColumn="1" w:lastColumn="0" w:oddVBand="0" w:evenVBand="0" w:oddHBand="0" w:evenHBand="0" w:firstRowFirstColumn="0" w:firstRowLastColumn="0" w:lastRowFirstColumn="0" w:lastRowLastColumn="0"/>
            <w:tcW w:w="4962" w:type="dxa"/>
          </w:tcPr>
          <w:p w14:paraId="645F5337" w14:textId="77777777" w:rsidR="008E5233" w:rsidRDefault="005648A9">
            <w:r>
              <w:rPr>
                <w:b/>
              </w:rPr>
              <w:t>Total</w:t>
            </w:r>
          </w:p>
        </w:tc>
        <w:tc>
          <w:tcPr>
            <w:tcW w:w="1169" w:type="dxa"/>
          </w:tcPr>
          <w:p w14:paraId="380854C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69" w:type="dxa"/>
          </w:tcPr>
          <w:p w14:paraId="32A90A1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69" w:type="dxa"/>
          </w:tcPr>
          <w:p w14:paraId="19F41BB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8 064</w:t>
            </w:r>
          </w:p>
        </w:tc>
        <w:tc>
          <w:tcPr>
            <w:tcW w:w="1170" w:type="dxa"/>
          </w:tcPr>
          <w:p w14:paraId="44D8511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20 062</w:t>
            </w:r>
          </w:p>
        </w:tc>
      </w:tr>
    </w:tbl>
    <w:p w14:paraId="49C0663D" w14:textId="79075083" w:rsidR="003719CD" w:rsidRDefault="003719CD" w:rsidP="007D536F">
      <w:pPr>
        <w:pStyle w:val="Note"/>
      </w:pPr>
      <w:r>
        <w:t>Note:</w:t>
      </w:r>
    </w:p>
    <w:p w14:paraId="751F0B52" w14:textId="77777777" w:rsidR="003719CD" w:rsidRDefault="003719CD" w:rsidP="007D536F">
      <w:pPr>
        <w:pStyle w:val="Note"/>
      </w:pPr>
      <w:r>
        <w:t>(a)</w:t>
      </w:r>
      <w:r>
        <w:tab/>
        <w:t>Minimum future lease payments include the aggregate of all base payments and any guaranteed residual.</w:t>
      </w:r>
    </w:p>
    <w:p w14:paraId="43024ED6" w14:textId="77777777" w:rsidR="003719CD" w:rsidRDefault="003719CD" w:rsidP="007D536F">
      <w:pPr>
        <w:pStyle w:val="Note"/>
      </w:pPr>
    </w:p>
    <w:p w14:paraId="379E070D" w14:textId="77777777" w:rsidR="003719CD" w:rsidRDefault="003719CD" w:rsidP="007D536F">
      <w:pPr>
        <w:pStyle w:val="GuidanceBlockHeading"/>
      </w:pPr>
      <w:r>
        <w:t>Guidance – Leases</w:t>
      </w:r>
    </w:p>
    <w:p w14:paraId="44814A60" w14:textId="6896956E" w:rsidR="003719CD" w:rsidRPr="000822B2" w:rsidRDefault="008C178B" w:rsidP="007D536F">
      <w:pPr>
        <w:rPr>
          <w:rStyle w:val="Guidance"/>
        </w:rPr>
      </w:pPr>
      <w:r>
        <w:rPr>
          <w:rStyle w:val="Guidance"/>
        </w:rPr>
        <w:t>The objective of this guidance is to ensure departments provide relevant information in a manner that faithfully represent transactions related to all leases,</w:t>
      </w:r>
      <w:r w:rsidR="004930D4">
        <w:rPr>
          <w:rStyle w:val="Guidance"/>
        </w:rPr>
        <w:t xml:space="preserve"> and the respective</w:t>
      </w:r>
      <w:r>
        <w:rPr>
          <w:rStyle w:val="Guidance"/>
        </w:rPr>
        <w:t xml:space="preserve"> right-of-use assets.  </w:t>
      </w:r>
      <w:r w:rsidRPr="008C178B">
        <w:rPr>
          <w:rStyle w:val="Guidance"/>
        </w:rPr>
        <w:t>This information gives a basis for users of financial statements to assess the effect that leases have on the financial position, financial performance and cash flows of an entit</w:t>
      </w:r>
      <w:r>
        <w:rPr>
          <w:rStyle w:val="Guidance"/>
        </w:rPr>
        <w:t>y.</w:t>
      </w:r>
    </w:p>
    <w:p w14:paraId="2F0F17BF" w14:textId="1D3E4E21" w:rsidR="003719CD" w:rsidRPr="000822B2" w:rsidRDefault="003719CD" w:rsidP="007D536F">
      <w:pPr>
        <w:rPr>
          <w:rStyle w:val="Guidance"/>
        </w:rPr>
      </w:pPr>
      <w:r w:rsidRPr="000822B2">
        <w:rPr>
          <w:rStyle w:val="Guidance"/>
        </w:rPr>
        <w:t xml:space="preserve">Refer to checklist ‘Identification of a lease’ </w:t>
      </w:r>
      <w:r w:rsidR="005606AE">
        <w:rPr>
          <w:rStyle w:val="Guidance"/>
        </w:rPr>
        <w:t xml:space="preserve">located on DTF website </w:t>
      </w:r>
      <w:r w:rsidRPr="000822B2">
        <w:rPr>
          <w:rStyle w:val="Guidance"/>
        </w:rPr>
        <w:t xml:space="preserve">to assist with determining whether particular transactions are caught within the scope of AASB 16. </w:t>
      </w:r>
    </w:p>
    <w:p w14:paraId="710ED02D" w14:textId="4E3F489A" w:rsidR="003719CD" w:rsidRPr="000822B2" w:rsidRDefault="00930FE3" w:rsidP="007D536F">
      <w:pPr>
        <w:rPr>
          <w:rStyle w:val="Guidance"/>
        </w:rPr>
      </w:pPr>
      <w:r>
        <w:rPr>
          <w:rStyle w:val="Guidance"/>
        </w:rPr>
        <w:t>The r</w:t>
      </w:r>
      <w:r w:rsidR="003719CD" w:rsidRPr="000822B2">
        <w:rPr>
          <w:rStyle w:val="Guidance"/>
        </w:rPr>
        <w:t>ight-of</w:t>
      </w:r>
      <w:r w:rsidR="00C87ABA">
        <w:rPr>
          <w:rStyle w:val="Guidance"/>
        </w:rPr>
        <w:t>-</w:t>
      </w:r>
      <w:r w:rsidR="003719CD" w:rsidRPr="000822B2">
        <w:rPr>
          <w:rStyle w:val="Guidance"/>
        </w:rPr>
        <w:t xml:space="preserve">use assets will be subsequently measured at fair value in line with all other property, plant and equipment in accordance with FRD 103. There will be instances where the right-of-use assets will require revaluations. </w:t>
      </w:r>
    </w:p>
    <w:p w14:paraId="60554DB9" w14:textId="15139409" w:rsidR="003719CD" w:rsidRPr="000822B2" w:rsidRDefault="003719CD" w:rsidP="007D536F">
      <w:pPr>
        <w:rPr>
          <w:rStyle w:val="Guidance"/>
        </w:rPr>
      </w:pPr>
      <w:r w:rsidRPr="000822B2">
        <w:rPr>
          <w:rStyle w:val="Guidance"/>
        </w:rPr>
        <w:t>Departments are required to assess at the end of each reporting date whether there are any indicators of impairment of right-of-use assets in accordance with AASB 136 as well as any general indicators the assets ‘carrying amount’ differs from the fair value.</w:t>
      </w:r>
    </w:p>
    <w:p w14:paraId="4393AA51" w14:textId="77777777" w:rsidR="003719CD" w:rsidRPr="000822B2" w:rsidRDefault="003719CD" w:rsidP="007D536F">
      <w:pPr>
        <w:pStyle w:val="GuidanceHeading"/>
        <w:rPr>
          <w:rStyle w:val="Guidance"/>
        </w:rPr>
      </w:pPr>
      <w:r w:rsidRPr="000822B2">
        <w:rPr>
          <w:rStyle w:val="Guidance"/>
        </w:rPr>
        <w:t>Presentation and disclosure requirements under AASB 16</w:t>
      </w:r>
    </w:p>
    <w:p w14:paraId="12F9C5C9" w14:textId="77777777" w:rsidR="003719CD" w:rsidRPr="000822B2" w:rsidRDefault="003719CD" w:rsidP="007D536F">
      <w:pPr>
        <w:rPr>
          <w:rStyle w:val="Guidance"/>
        </w:rPr>
      </w:pPr>
      <w:r w:rsidRPr="000822B2">
        <w:rPr>
          <w:rStyle w:val="Guidance"/>
        </w:rPr>
        <w:t xml:space="preserve">Right-of-use assets must be presented separately from other assets and are to be included within the same class of property, plant and equipment as the corresponding underlying assets would be presented if owned. Therefore, this note contains tables for right-of-use assets, where the Department is the lessee. </w:t>
      </w:r>
      <w:r w:rsidRPr="000822B2">
        <w:rPr>
          <w:rStyle w:val="Reference"/>
        </w:rPr>
        <w:t>[AASB 16.47(a)(i)(ii)]</w:t>
      </w:r>
    </w:p>
    <w:p w14:paraId="13257A20" w14:textId="77777777" w:rsidR="003719CD" w:rsidRPr="000822B2" w:rsidRDefault="003719CD" w:rsidP="007D536F">
      <w:pPr>
        <w:rPr>
          <w:rStyle w:val="Guidance"/>
        </w:rPr>
      </w:pPr>
      <w:r w:rsidRPr="000822B2">
        <w:rPr>
          <w:rStyle w:val="Guidance"/>
        </w:rPr>
        <w:t xml:space="preserve">Lease liabilities must be presented separately from other liabilities and is included within ‘Borrowings’ – refer to Note 7.1 that contains the lease liability balances. </w:t>
      </w:r>
      <w:r w:rsidRPr="000822B2">
        <w:rPr>
          <w:rStyle w:val="Reference"/>
        </w:rPr>
        <w:t>[AASB 16.47(b)]</w:t>
      </w:r>
    </w:p>
    <w:p w14:paraId="1FCAE9C1" w14:textId="77777777" w:rsidR="003719CD" w:rsidRPr="000822B2" w:rsidRDefault="003719CD" w:rsidP="007D536F">
      <w:pPr>
        <w:rPr>
          <w:rStyle w:val="Guidance"/>
        </w:rPr>
      </w:pPr>
      <w:r w:rsidRPr="000822B2">
        <w:rPr>
          <w:rStyle w:val="Guidance"/>
        </w:rPr>
        <w:t>The following information is required to be disclosed about an entity’s leases as a lessee:</w:t>
      </w:r>
    </w:p>
    <w:p w14:paraId="46765992" w14:textId="65EF362A" w:rsidR="003719CD" w:rsidRPr="000822B2" w:rsidRDefault="00F52E19" w:rsidP="00310F12">
      <w:pPr>
        <w:pStyle w:val="ListBullet"/>
        <w:rPr>
          <w:rStyle w:val="Guidance"/>
        </w:rPr>
      </w:pPr>
      <w:r>
        <w:rPr>
          <w:rStyle w:val="Guidance"/>
        </w:rPr>
        <w:t>D</w:t>
      </w:r>
      <w:r w:rsidR="003719CD" w:rsidRPr="000822B2">
        <w:rPr>
          <w:rStyle w:val="Guidance"/>
        </w:rPr>
        <w:t>epreciation charge for right-of-use assets, split by class of underlying asset</w:t>
      </w:r>
    </w:p>
    <w:p w14:paraId="45570251" w14:textId="24FDE6D7" w:rsidR="003719CD" w:rsidRPr="000822B2" w:rsidRDefault="00F52E19" w:rsidP="00310F12">
      <w:pPr>
        <w:pStyle w:val="ListBullet"/>
        <w:rPr>
          <w:rStyle w:val="Guidance"/>
        </w:rPr>
      </w:pPr>
      <w:r>
        <w:rPr>
          <w:rStyle w:val="Guidance"/>
        </w:rPr>
        <w:t>I</w:t>
      </w:r>
      <w:r w:rsidR="003719CD" w:rsidRPr="000822B2">
        <w:rPr>
          <w:rStyle w:val="Guidance"/>
        </w:rPr>
        <w:t>nterest expense on lease liabilities</w:t>
      </w:r>
    </w:p>
    <w:p w14:paraId="3600B3D2" w14:textId="3B8D8A11" w:rsidR="003719CD" w:rsidRPr="000822B2" w:rsidRDefault="00F52E19" w:rsidP="00310F12">
      <w:pPr>
        <w:pStyle w:val="ListBullet"/>
        <w:rPr>
          <w:rStyle w:val="Guidance"/>
        </w:rPr>
      </w:pPr>
      <w:r>
        <w:rPr>
          <w:rStyle w:val="Guidance"/>
        </w:rPr>
        <w:t>S</w:t>
      </w:r>
      <w:r w:rsidR="003719CD" w:rsidRPr="000822B2">
        <w:rPr>
          <w:rStyle w:val="Guidance"/>
        </w:rPr>
        <w:t>hort-term lease expense for such leases with lease term greater than one month</w:t>
      </w:r>
    </w:p>
    <w:p w14:paraId="53FF4353" w14:textId="3FF67E59" w:rsidR="003719CD" w:rsidRPr="000822B2" w:rsidRDefault="00F52E19" w:rsidP="00310F12">
      <w:pPr>
        <w:pStyle w:val="ListBullet"/>
        <w:rPr>
          <w:rStyle w:val="Guidance"/>
        </w:rPr>
      </w:pPr>
      <w:r>
        <w:rPr>
          <w:rStyle w:val="Guidance"/>
        </w:rPr>
        <w:t>L</w:t>
      </w:r>
      <w:r w:rsidR="003719CD" w:rsidRPr="000822B2">
        <w:rPr>
          <w:rStyle w:val="Guidance"/>
        </w:rPr>
        <w:t>ow-value asset lease expense (except for portions related to short-term leases)</w:t>
      </w:r>
    </w:p>
    <w:p w14:paraId="02C69E4C" w14:textId="6E5A03CE" w:rsidR="003719CD" w:rsidRPr="000822B2" w:rsidRDefault="00F52E19" w:rsidP="00310F12">
      <w:pPr>
        <w:pStyle w:val="ListBullet"/>
        <w:rPr>
          <w:rStyle w:val="Guidance"/>
        </w:rPr>
      </w:pPr>
      <w:r>
        <w:rPr>
          <w:rStyle w:val="Guidance"/>
        </w:rPr>
        <w:t>V</w:t>
      </w:r>
      <w:r w:rsidR="003719CD" w:rsidRPr="000822B2">
        <w:rPr>
          <w:rStyle w:val="Guidance"/>
        </w:rPr>
        <w:t>ariable lease expense (i.e. for variable lease payments not included in the lease liability)</w:t>
      </w:r>
    </w:p>
    <w:p w14:paraId="18B3869B" w14:textId="0E50F01F" w:rsidR="003719CD" w:rsidRPr="000822B2" w:rsidRDefault="00F52E19" w:rsidP="00310F12">
      <w:pPr>
        <w:pStyle w:val="ListBullet"/>
        <w:rPr>
          <w:rStyle w:val="Guidance"/>
        </w:rPr>
      </w:pPr>
      <w:r>
        <w:rPr>
          <w:rStyle w:val="Guidance"/>
        </w:rPr>
        <w:t>I</w:t>
      </w:r>
      <w:r w:rsidR="003719CD" w:rsidRPr="000822B2">
        <w:rPr>
          <w:rStyle w:val="Guidance"/>
        </w:rPr>
        <w:t>ncome from sub-leasing right-of-use assets</w:t>
      </w:r>
    </w:p>
    <w:p w14:paraId="3A3F963E" w14:textId="52189985" w:rsidR="003719CD" w:rsidRPr="000822B2" w:rsidRDefault="00F52E19" w:rsidP="00310F12">
      <w:pPr>
        <w:pStyle w:val="ListBullet"/>
        <w:rPr>
          <w:rStyle w:val="Guidance"/>
        </w:rPr>
      </w:pPr>
      <w:r>
        <w:rPr>
          <w:rStyle w:val="Guidance"/>
        </w:rPr>
        <w:t>T</w:t>
      </w:r>
      <w:r w:rsidR="003719CD" w:rsidRPr="000822B2">
        <w:rPr>
          <w:rStyle w:val="Guidance"/>
        </w:rPr>
        <w:t>otal cash outflow for leases</w:t>
      </w:r>
    </w:p>
    <w:p w14:paraId="3473A044" w14:textId="14C66F5E" w:rsidR="003719CD" w:rsidRPr="000822B2" w:rsidRDefault="00F52E19" w:rsidP="00310F12">
      <w:pPr>
        <w:pStyle w:val="ListBullet"/>
        <w:rPr>
          <w:rStyle w:val="Guidance"/>
        </w:rPr>
      </w:pPr>
      <w:r>
        <w:rPr>
          <w:rStyle w:val="Guidance"/>
        </w:rPr>
        <w:t>A</w:t>
      </w:r>
      <w:r w:rsidR="003719CD" w:rsidRPr="000822B2">
        <w:rPr>
          <w:rStyle w:val="Guidance"/>
        </w:rPr>
        <w:t>dditions to right-of-use assets</w:t>
      </w:r>
    </w:p>
    <w:p w14:paraId="52D81F14" w14:textId="1BAB19C8" w:rsidR="003719CD" w:rsidRPr="000822B2" w:rsidRDefault="00F52E19" w:rsidP="00310F12">
      <w:pPr>
        <w:pStyle w:val="ListBullet"/>
        <w:rPr>
          <w:rStyle w:val="Guidance"/>
        </w:rPr>
      </w:pPr>
      <w:r>
        <w:rPr>
          <w:rStyle w:val="Guidance"/>
        </w:rPr>
        <w:t>G</w:t>
      </w:r>
      <w:r w:rsidR="003719CD" w:rsidRPr="000822B2">
        <w:rPr>
          <w:rStyle w:val="Guidance"/>
        </w:rPr>
        <w:t>ains and losses arising from sale and leaseback transactions</w:t>
      </w:r>
    </w:p>
    <w:p w14:paraId="482D1BF4" w14:textId="0E08BCB7" w:rsidR="003719CD" w:rsidRPr="000822B2" w:rsidRDefault="00F52E19" w:rsidP="00310F12">
      <w:pPr>
        <w:pStyle w:val="ListBullet"/>
        <w:rPr>
          <w:rStyle w:val="Guidance"/>
        </w:rPr>
      </w:pPr>
      <w:r>
        <w:rPr>
          <w:rStyle w:val="Guidance"/>
        </w:rPr>
        <w:t>C</w:t>
      </w:r>
      <w:r w:rsidR="003719CD" w:rsidRPr="000822B2">
        <w:rPr>
          <w:rStyle w:val="Guidance"/>
        </w:rPr>
        <w:t>arrying amount of right-of-use assets at the end of the reporting period by class of underlying asset.</w:t>
      </w:r>
    </w:p>
    <w:p w14:paraId="059649BE" w14:textId="77777777" w:rsidR="003719CD" w:rsidRPr="00DF6F74" w:rsidRDefault="003719CD" w:rsidP="007D536F">
      <w:pPr>
        <w:rPr>
          <w:rStyle w:val="Reference"/>
        </w:rPr>
      </w:pPr>
      <w:r w:rsidRPr="00DF6F74">
        <w:rPr>
          <w:rStyle w:val="Reference"/>
        </w:rPr>
        <w:t>[AASB 16.53]</w:t>
      </w:r>
    </w:p>
    <w:p w14:paraId="7197B94A" w14:textId="77777777" w:rsidR="003719CD" w:rsidRPr="000822B2" w:rsidRDefault="003719CD" w:rsidP="007D536F">
      <w:pPr>
        <w:rPr>
          <w:rStyle w:val="Guidance"/>
        </w:rPr>
      </w:pPr>
      <w:r w:rsidRPr="000822B2">
        <w:rPr>
          <w:rStyle w:val="Guidance"/>
        </w:rPr>
        <w:lastRenderedPageBreak/>
        <w:t xml:space="preserve">All of the above disclosures are required to be presented in a tabular format, unless another format is more appropriate. The amounts to be disclosed must include costs that the lessee has included in the carrying amount of another asset during the reporting period. </w:t>
      </w:r>
      <w:r w:rsidRPr="00DF6F74">
        <w:rPr>
          <w:rStyle w:val="Reference"/>
        </w:rPr>
        <w:t>[AASB 16.54]</w:t>
      </w:r>
    </w:p>
    <w:p w14:paraId="64AC3FB8" w14:textId="77777777" w:rsidR="003719CD" w:rsidRPr="000822B2" w:rsidRDefault="003719CD" w:rsidP="007D536F">
      <w:pPr>
        <w:rPr>
          <w:rStyle w:val="Guidance"/>
        </w:rPr>
      </w:pPr>
      <w:r w:rsidRPr="000822B2">
        <w:rPr>
          <w:rStyle w:val="Guidance"/>
        </w:rPr>
        <w:t xml:space="preserve">The standard requires disclosure of the amount of lease commitments for short-term leases that are recognised as expenses on a straight-line or other systematic basis, if the portfolio of short-term leases to which it is committed at the end of the reporting period is dissimilar to the portfolio of short-term leases to which the short-term lease expenses are disclosed in the financial statements. </w:t>
      </w:r>
      <w:r w:rsidRPr="00DF6F74">
        <w:rPr>
          <w:rStyle w:val="Reference"/>
        </w:rPr>
        <w:t>[AASB 16.55]</w:t>
      </w:r>
    </w:p>
    <w:p w14:paraId="3F156F27" w14:textId="77777777" w:rsidR="003719CD" w:rsidRPr="000822B2" w:rsidRDefault="003719CD" w:rsidP="007D536F">
      <w:pPr>
        <w:rPr>
          <w:rStyle w:val="Guidance"/>
        </w:rPr>
      </w:pPr>
      <w:r w:rsidRPr="000822B2">
        <w:rPr>
          <w:rStyle w:val="Guidance"/>
        </w:rPr>
        <w:t xml:space="preserve">Where the right-of-use assets meet the definition investment property in AASB 140, the disclosures in AASB 140 must be applied and the disclosures in AASB 16.53 for depreciation, subleasing income and right-of-use asset additions do not apply to these assets. </w:t>
      </w:r>
      <w:r w:rsidRPr="00DF6F74">
        <w:rPr>
          <w:rStyle w:val="Reference"/>
        </w:rPr>
        <w:t>[AASB 16.56]</w:t>
      </w:r>
    </w:p>
    <w:p w14:paraId="345607EE" w14:textId="77777777" w:rsidR="003719CD" w:rsidRPr="000822B2" w:rsidRDefault="003719CD" w:rsidP="007D536F">
      <w:pPr>
        <w:rPr>
          <w:rStyle w:val="Guidance"/>
        </w:rPr>
      </w:pPr>
      <w:r w:rsidRPr="000822B2">
        <w:rPr>
          <w:rStyle w:val="Guidance"/>
        </w:rPr>
        <w:t xml:space="preserve">A lessee shall disclose a maturity analysis of lease liabilities applying paragraphs 39 and B11 of AASB 7 </w:t>
      </w:r>
      <w:r w:rsidRPr="00DF6F74">
        <w:rPr>
          <w:rStyle w:val="Guidance"/>
          <w:i/>
          <w:iCs/>
        </w:rPr>
        <w:t>Financial Instruments: Disclosures</w:t>
      </w:r>
      <w:r w:rsidRPr="000822B2">
        <w:rPr>
          <w:rStyle w:val="Guidance"/>
        </w:rPr>
        <w:t xml:space="preserve"> separately from the maturity analyses of other financial liabilities. </w:t>
      </w:r>
      <w:r w:rsidRPr="00DF6F74">
        <w:rPr>
          <w:rStyle w:val="Reference"/>
        </w:rPr>
        <w:t>[AASB 16.57]</w:t>
      </w:r>
    </w:p>
    <w:p w14:paraId="637B0A5A" w14:textId="38AFADAE" w:rsidR="003719CD" w:rsidRPr="000822B2" w:rsidRDefault="003719CD" w:rsidP="007D536F">
      <w:pPr>
        <w:rPr>
          <w:rStyle w:val="Guidance"/>
        </w:rPr>
      </w:pPr>
      <w:r w:rsidRPr="000822B2">
        <w:rPr>
          <w:rStyle w:val="Guidance"/>
        </w:rPr>
        <w:t>Additional qualitative and quantitative information about a lessee’s leasing activities is necessary to meet the disclosure objective of the standard. This additional information may include, but is not limited to, information that helps users of the financial statements to assess:</w:t>
      </w:r>
    </w:p>
    <w:p w14:paraId="0249172F" w14:textId="0F2F7208" w:rsidR="003719CD" w:rsidRPr="000822B2" w:rsidRDefault="003719CD" w:rsidP="00310F12">
      <w:pPr>
        <w:pStyle w:val="ListBullet"/>
        <w:rPr>
          <w:rStyle w:val="Guidance"/>
        </w:rPr>
      </w:pPr>
      <w:r w:rsidRPr="000822B2">
        <w:rPr>
          <w:rStyle w:val="Guidance"/>
        </w:rPr>
        <w:t>the nature of the lessee’s leasing activities</w:t>
      </w:r>
    </w:p>
    <w:p w14:paraId="490B1C8C" w14:textId="77777777" w:rsidR="003719CD" w:rsidRPr="000822B2" w:rsidRDefault="003719CD" w:rsidP="00310F12">
      <w:pPr>
        <w:pStyle w:val="ListBullet"/>
        <w:rPr>
          <w:rStyle w:val="Guidance"/>
        </w:rPr>
      </w:pPr>
      <w:r w:rsidRPr="000822B2">
        <w:rPr>
          <w:rStyle w:val="Guidance"/>
        </w:rPr>
        <w:t>future cash outflows to which the lessee is potentially exposed that are not reflected in the measurement of lease liabilities, arising from:</w:t>
      </w:r>
    </w:p>
    <w:p w14:paraId="4A5302B9" w14:textId="2A365721" w:rsidR="003719CD" w:rsidRPr="000822B2" w:rsidRDefault="003719CD" w:rsidP="00C63B7A">
      <w:pPr>
        <w:pStyle w:val="ListBullet2"/>
        <w:rPr>
          <w:rStyle w:val="Guidance"/>
        </w:rPr>
      </w:pPr>
      <w:r w:rsidRPr="000822B2">
        <w:rPr>
          <w:rStyle w:val="Guidance"/>
        </w:rPr>
        <w:t>variable lease payments</w:t>
      </w:r>
    </w:p>
    <w:p w14:paraId="6D9C5835" w14:textId="01B945A3" w:rsidR="003719CD" w:rsidRPr="000822B2" w:rsidRDefault="003719CD" w:rsidP="00C63B7A">
      <w:pPr>
        <w:pStyle w:val="ListBullet2"/>
        <w:rPr>
          <w:rStyle w:val="Guidance"/>
        </w:rPr>
      </w:pPr>
      <w:r w:rsidRPr="000822B2">
        <w:rPr>
          <w:rStyle w:val="Guidance"/>
        </w:rPr>
        <w:t>extension options and termination options</w:t>
      </w:r>
    </w:p>
    <w:p w14:paraId="21F0E3C4" w14:textId="3BB13DFB" w:rsidR="003719CD" w:rsidRPr="000822B2" w:rsidRDefault="003719CD" w:rsidP="00C63B7A">
      <w:pPr>
        <w:pStyle w:val="ListBullet2"/>
        <w:rPr>
          <w:rStyle w:val="Guidance"/>
        </w:rPr>
      </w:pPr>
      <w:r w:rsidRPr="000822B2">
        <w:rPr>
          <w:rStyle w:val="Guidance"/>
        </w:rPr>
        <w:t>residual value guarantees</w:t>
      </w:r>
    </w:p>
    <w:p w14:paraId="315E8915" w14:textId="19A38FC5" w:rsidR="003719CD" w:rsidRPr="000822B2" w:rsidRDefault="003719CD" w:rsidP="00C63B7A">
      <w:pPr>
        <w:pStyle w:val="ListBullet2"/>
        <w:rPr>
          <w:rStyle w:val="Guidance"/>
        </w:rPr>
      </w:pPr>
      <w:r w:rsidRPr="000822B2">
        <w:rPr>
          <w:rStyle w:val="Guidance"/>
        </w:rPr>
        <w:t>leases not yet commenced to which the lessee is committed</w:t>
      </w:r>
    </w:p>
    <w:p w14:paraId="12BDAAEC" w14:textId="32CF2AEB" w:rsidR="003719CD" w:rsidRPr="000822B2" w:rsidRDefault="003719CD" w:rsidP="00C63B7A">
      <w:pPr>
        <w:pStyle w:val="ListBullet2"/>
        <w:rPr>
          <w:rStyle w:val="Guidance"/>
        </w:rPr>
      </w:pPr>
      <w:r w:rsidRPr="000822B2">
        <w:rPr>
          <w:rStyle w:val="Guidance"/>
        </w:rPr>
        <w:t>restrictions or covenants imposed by leases</w:t>
      </w:r>
    </w:p>
    <w:p w14:paraId="1152CD5E" w14:textId="77777777" w:rsidR="003719CD" w:rsidRPr="000822B2" w:rsidRDefault="003719CD" w:rsidP="00C63B7A">
      <w:pPr>
        <w:pStyle w:val="ListBullet2"/>
        <w:rPr>
          <w:rStyle w:val="Guidance"/>
        </w:rPr>
      </w:pPr>
      <w:r w:rsidRPr="000822B2">
        <w:rPr>
          <w:rStyle w:val="Guidance"/>
        </w:rPr>
        <w:t xml:space="preserve">sale and leaseback transactions. </w:t>
      </w:r>
    </w:p>
    <w:p w14:paraId="309D5A61" w14:textId="77777777" w:rsidR="003719CD" w:rsidRPr="00932BDD" w:rsidRDefault="003719CD" w:rsidP="007D536F">
      <w:pPr>
        <w:rPr>
          <w:rStyle w:val="Reference"/>
        </w:rPr>
      </w:pPr>
      <w:r w:rsidRPr="00932BDD">
        <w:rPr>
          <w:rStyle w:val="Reference"/>
        </w:rPr>
        <w:t>[AASB 16.59]</w:t>
      </w:r>
    </w:p>
    <w:p w14:paraId="1FA0FCCE" w14:textId="77777777" w:rsidR="003719CD" w:rsidRPr="000822B2" w:rsidRDefault="003719CD" w:rsidP="007D536F">
      <w:pPr>
        <w:keepNext/>
        <w:rPr>
          <w:rStyle w:val="Guidance"/>
        </w:rPr>
      </w:pPr>
      <w:r w:rsidRPr="000822B2">
        <w:rPr>
          <w:rStyle w:val="Guidance"/>
        </w:rPr>
        <w:t xml:space="preserve">Disclosures of additional information relating to leases that have </w:t>
      </w:r>
      <w:r w:rsidRPr="00CD06B1">
        <w:rPr>
          <w:rStyle w:val="Guidance"/>
        </w:rPr>
        <w:t>significantly below-market terms</w:t>
      </w:r>
      <w:r w:rsidRPr="000822B2">
        <w:rPr>
          <w:rStyle w:val="Guidance"/>
        </w:rPr>
        <w:t xml:space="preserve"> and conditions principally to enable the entity to further its objectives or peppercorn leases include:</w:t>
      </w:r>
    </w:p>
    <w:p w14:paraId="7E0F1BD6" w14:textId="50AE559B" w:rsidR="003719CD" w:rsidRPr="000822B2" w:rsidRDefault="003719CD" w:rsidP="00310F12">
      <w:pPr>
        <w:pStyle w:val="ListBullet"/>
        <w:rPr>
          <w:rStyle w:val="Guidance"/>
        </w:rPr>
      </w:pPr>
      <w:r w:rsidRPr="000822B2">
        <w:rPr>
          <w:rStyle w:val="Guidance"/>
        </w:rPr>
        <w:t>the entity’s dependence on leases that have significantly below-market terms and conditions principally to enable the entity to further its objectives</w:t>
      </w:r>
    </w:p>
    <w:p w14:paraId="24ABD901" w14:textId="77777777" w:rsidR="003719CD" w:rsidRPr="000822B2" w:rsidRDefault="003719CD" w:rsidP="00310F12">
      <w:pPr>
        <w:pStyle w:val="ListBullet"/>
        <w:rPr>
          <w:rStyle w:val="Guidance"/>
        </w:rPr>
      </w:pPr>
      <w:r w:rsidRPr="000822B2">
        <w:rPr>
          <w:rStyle w:val="Guidance"/>
        </w:rPr>
        <w:t>the nature and terms of the leases, including:</w:t>
      </w:r>
    </w:p>
    <w:p w14:paraId="6FB0C35E" w14:textId="4B170C26" w:rsidR="003719CD" w:rsidRPr="000822B2" w:rsidRDefault="003719CD" w:rsidP="009454E8">
      <w:pPr>
        <w:pStyle w:val="ListBullet2"/>
        <w:rPr>
          <w:rStyle w:val="Guidance"/>
        </w:rPr>
      </w:pPr>
      <w:r w:rsidRPr="000822B2">
        <w:rPr>
          <w:rStyle w:val="Guidance"/>
        </w:rPr>
        <w:t>the lease payments</w:t>
      </w:r>
    </w:p>
    <w:p w14:paraId="6B43DC57" w14:textId="4E39FCC6" w:rsidR="003719CD" w:rsidRPr="000822B2" w:rsidRDefault="003719CD" w:rsidP="009454E8">
      <w:pPr>
        <w:pStyle w:val="ListBullet2"/>
        <w:rPr>
          <w:rStyle w:val="Guidance"/>
        </w:rPr>
      </w:pPr>
      <w:r w:rsidRPr="000822B2">
        <w:rPr>
          <w:rStyle w:val="Guidance"/>
        </w:rPr>
        <w:t>the lease term</w:t>
      </w:r>
    </w:p>
    <w:p w14:paraId="2568E4BA" w14:textId="21A31225" w:rsidR="003719CD" w:rsidRPr="000822B2" w:rsidRDefault="003719CD" w:rsidP="009454E8">
      <w:pPr>
        <w:pStyle w:val="ListBullet2"/>
        <w:rPr>
          <w:rStyle w:val="Guidance"/>
        </w:rPr>
      </w:pPr>
      <w:r w:rsidRPr="000822B2">
        <w:rPr>
          <w:rStyle w:val="Guidance"/>
        </w:rPr>
        <w:t>a description of the underlying assets</w:t>
      </w:r>
    </w:p>
    <w:p w14:paraId="441B756F" w14:textId="77777777" w:rsidR="003719CD" w:rsidRPr="000822B2" w:rsidRDefault="003719CD" w:rsidP="009454E8">
      <w:pPr>
        <w:pStyle w:val="ListBullet2"/>
        <w:rPr>
          <w:rStyle w:val="Guidance"/>
        </w:rPr>
      </w:pPr>
      <w:r w:rsidRPr="000822B2">
        <w:rPr>
          <w:rStyle w:val="Guidance"/>
        </w:rPr>
        <w:t>restrictions on the use of the underlying assets specific to the entity.</w:t>
      </w:r>
    </w:p>
    <w:p w14:paraId="6C74F033" w14:textId="77777777" w:rsidR="003719CD" w:rsidRPr="00254BFF" w:rsidRDefault="003719CD" w:rsidP="007D536F">
      <w:pPr>
        <w:rPr>
          <w:rStyle w:val="Reference"/>
        </w:rPr>
      </w:pPr>
      <w:r w:rsidRPr="00254BFF">
        <w:rPr>
          <w:rStyle w:val="Reference"/>
        </w:rPr>
        <w:t>[AASB 16.Aus59.1]</w:t>
      </w:r>
    </w:p>
    <w:p w14:paraId="5D2FBC4D" w14:textId="1EA4C747" w:rsidR="003719CD" w:rsidRPr="000822B2" w:rsidRDefault="003719CD" w:rsidP="007D536F">
      <w:pPr>
        <w:rPr>
          <w:rStyle w:val="Guidance"/>
        </w:rPr>
      </w:pPr>
      <w:r w:rsidRPr="000822B2">
        <w:rPr>
          <w:rStyle w:val="Guidance"/>
        </w:rPr>
        <w:t xml:space="preserve">The disclosures above should be provided individually for each material lease or in aggregate for leases involving </w:t>
      </w:r>
      <w:r w:rsidR="009D62DC">
        <w:br/>
      </w:r>
      <w:r w:rsidRPr="000822B2">
        <w:rPr>
          <w:rStyle w:val="Guidance"/>
        </w:rPr>
        <w:t xml:space="preserve">right-of-use assets of a similar nature. An entity shall aggregate or disaggregate disclosures so that useful information is not obscured by either the inclusion of a large amount of insufficient detail or the aggregation of items that have substantially different characteristics. </w:t>
      </w:r>
      <w:r w:rsidRPr="00254BFF">
        <w:rPr>
          <w:rStyle w:val="Reference"/>
        </w:rPr>
        <w:t>[AASB 16.Aus59.2]</w:t>
      </w:r>
    </w:p>
    <w:p w14:paraId="0B57C5D8" w14:textId="77777777" w:rsidR="003719CD" w:rsidRPr="000822B2" w:rsidRDefault="003719CD" w:rsidP="007D536F">
      <w:pPr>
        <w:rPr>
          <w:rStyle w:val="Guidance"/>
        </w:rPr>
      </w:pPr>
      <w:r w:rsidRPr="000822B2">
        <w:rPr>
          <w:rStyle w:val="Guidance"/>
        </w:rPr>
        <w:t>Disclosures of additional information relating to variable lease payments can include:</w:t>
      </w:r>
    </w:p>
    <w:p w14:paraId="414DAA36" w14:textId="07FBE398" w:rsidR="003719CD" w:rsidRPr="000822B2" w:rsidRDefault="003719CD" w:rsidP="00310F12">
      <w:pPr>
        <w:pStyle w:val="ListBullet"/>
        <w:rPr>
          <w:rStyle w:val="Guidance"/>
        </w:rPr>
      </w:pPr>
      <w:r w:rsidRPr="000822B2">
        <w:rPr>
          <w:rStyle w:val="Guidance"/>
        </w:rPr>
        <w:t>the lessee’s reasons for using variable lease payments and the prevalence of those payments</w:t>
      </w:r>
    </w:p>
    <w:p w14:paraId="5B87C30A" w14:textId="65570300" w:rsidR="003719CD" w:rsidRPr="000822B2" w:rsidRDefault="003719CD" w:rsidP="00310F12">
      <w:pPr>
        <w:pStyle w:val="ListBullet"/>
        <w:rPr>
          <w:rStyle w:val="Guidance"/>
        </w:rPr>
      </w:pPr>
      <w:r w:rsidRPr="000822B2">
        <w:rPr>
          <w:rStyle w:val="Guidance"/>
        </w:rPr>
        <w:t>the relative magnitude of variable lease payments to fixed payments</w:t>
      </w:r>
    </w:p>
    <w:p w14:paraId="02524648" w14:textId="561B0D76" w:rsidR="003719CD" w:rsidRPr="000822B2" w:rsidRDefault="003719CD" w:rsidP="00310F12">
      <w:pPr>
        <w:pStyle w:val="ListBullet"/>
        <w:rPr>
          <w:rStyle w:val="Guidance"/>
        </w:rPr>
      </w:pPr>
      <w:r w:rsidRPr="000822B2">
        <w:rPr>
          <w:rStyle w:val="Guidance"/>
        </w:rPr>
        <w:t>key variables upon which variable lease payments depend on how payments are expected to vary in response to changes in those key variables</w:t>
      </w:r>
    </w:p>
    <w:p w14:paraId="295EDDFF" w14:textId="77777777" w:rsidR="003719CD" w:rsidRPr="000822B2" w:rsidRDefault="003719CD" w:rsidP="00310F12">
      <w:pPr>
        <w:pStyle w:val="ListBullet"/>
        <w:rPr>
          <w:rStyle w:val="Guidance"/>
        </w:rPr>
      </w:pPr>
      <w:r w:rsidRPr="000822B2">
        <w:rPr>
          <w:rStyle w:val="Guidance"/>
        </w:rPr>
        <w:t>other operational and financial effects of variable lease payments.</w:t>
      </w:r>
    </w:p>
    <w:p w14:paraId="37774F10" w14:textId="77777777" w:rsidR="003719CD" w:rsidRPr="000822B2" w:rsidRDefault="003719CD" w:rsidP="007D536F">
      <w:pPr>
        <w:rPr>
          <w:rStyle w:val="Guidance"/>
        </w:rPr>
      </w:pPr>
      <w:r w:rsidRPr="000822B2">
        <w:rPr>
          <w:rStyle w:val="Guidance"/>
        </w:rPr>
        <w:t>Disclosure of additional information relating to extension and termination options can include:</w:t>
      </w:r>
    </w:p>
    <w:p w14:paraId="7720F7F8" w14:textId="66E0485F" w:rsidR="003719CD" w:rsidRPr="000822B2" w:rsidRDefault="003719CD" w:rsidP="00310F12">
      <w:pPr>
        <w:pStyle w:val="ListBullet"/>
        <w:rPr>
          <w:rStyle w:val="Guidance"/>
        </w:rPr>
      </w:pPr>
      <w:r w:rsidRPr="000822B2">
        <w:rPr>
          <w:rStyle w:val="Guidance"/>
        </w:rPr>
        <w:t>the lessee’s reasons for using extension options or termination options and the prevalence of those options</w:t>
      </w:r>
    </w:p>
    <w:p w14:paraId="46D5D928" w14:textId="454562EA" w:rsidR="003719CD" w:rsidRPr="000822B2" w:rsidRDefault="003719CD" w:rsidP="00310F12">
      <w:pPr>
        <w:pStyle w:val="ListBullet"/>
        <w:rPr>
          <w:rStyle w:val="Guidance"/>
        </w:rPr>
      </w:pPr>
      <w:r w:rsidRPr="000822B2">
        <w:rPr>
          <w:rStyle w:val="Guidance"/>
        </w:rPr>
        <w:t>the relative magnitude of optional lease payments to lease payments</w:t>
      </w:r>
    </w:p>
    <w:p w14:paraId="14F8BB4F" w14:textId="11F09542" w:rsidR="003719CD" w:rsidRPr="000822B2" w:rsidRDefault="003719CD" w:rsidP="00310F12">
      <w:pPr>
        <w:pStyle w:val="ListBullet"/>
        <w:rPr>
          <w:rStyle w:val="Guidance"/>
        </w:rPr>
      </w:pPr>
      <w:r w:rsidRPr="000822B2">
        <w:rPr>
          <w:rStyle w:val="Guidance"/>
        </w:rPr>
        <w:t>the prevalence of the exercise of options that were not included in the measurement of lease liabilities</w:t>
      </w:r>
    </w:p>
    <w:p w14:paraId="25368F22" w14:textId="77777777" w:rsidR="003719CD" w:rsidRPr="000822B2" w:rsidRDefault="003719CD" w:rsidP="00310F12">
      <w:pPr>
        <w:pStyle w:val="ListBullet"/>
        <w:rPr>
          <w:rStyle w:val="Guidance"/>
        </w:rPr>
      </w:pPr>
      <w:r w:rsidRPr="000822B2">
        <w:rPr>
          <w:rStyle w:val="Guidance"/>
        </w:rPr>
        <w:t>other operational and financial effects of those options.</w:t>
      </w:r>
    </w:p>
    <w:p w14:paraId="117C2BCB" w14:textId="77777777" w:rsidR="009D62DC" w:rsidRDefault="003719CD" w:rsidP="007D536F">
      <w:pPr>
        <w:rPr>
          <w:rStyle w:val="Guidance"/>
        </w:rPr>
      </w:pPr>
      <w:r w:rsidRPr="000822B2">
        <w:rPr>
          <w:rStyle w:val="Guidance"/>
        </w:rPr>
        <w:lastRenderedPageBreak/>
        <w:t xml:space="preserve">Extension and termination options are included in a number of property and equipment leases. These terms are used to maximise operational flexibility in terms of managing contracts. The majority of extension and termination options held are exercisable only by the entity and not by the respective lessor. In determining the lease term, management considers all facts and circumstances that create an economic incentive to exercise an extension option, or not exercise a termination option. Extension options (or periods after termination options) are only included in the lease term if the lease is reasonably certain to be extended (or not terminated). </w:t>
      </w:r>
    </w:p>
    <w:p w14:paraId="391DBF21" w14:textId="5AE4AAE0" w:rsidR="003719CD" w:rsidRPr="000822B2" w:rsidRDefault="003719CD" w:rsidP="007D536F">
      <w:pPr>
        <w:rPr>
          <w:rStyle w:val="Guidance"/>
        </w:rPr>
      </w:pPr>
      <w:r w:rsidRPr="000822B2">
        <w:rPr>
          <w:rStyle w:val="Guidance"/>
        </w:rPr>
        <w:t>Potential future cash outflows of $xx have not been included in the lease liability because it is not reasonably certain that the leases will be extended (or not terminated). The assessment is reviewed if a significant event or a significant change in circumstances occurs which affects this assessment and that is within the control of the lessee. During the current financial year, the financial effect of revising lease terms to reflect the effect of exercising extension and termination options was an increase in recognised lease liabilities and right-of-use assets of $xx.</w:t>
      </w:r>
    </w:p>
    <w:p w14:paraId="453A1C2C" w14:textId="77777777" w:rsidR="003719CD" w:rsidRDefault="003719CD" w:rsidP="007D536F">
      <w:pPr>
        <w:pStyle w:val="GuidanceEnd"/>
      </w:pPr>
    </w:p>
    <w:p w14:paraId="61578CE3" w14:textId="77777777" w:rsidR="003719CD" w:rsidRDefault="003719CD" w:rsidP="00A80494">
      <w:pPr>
        <w:pStyle w:val="Heading2numbered"/>
      </w:pPr>
      <w:bookmarkStart w:id="100" w:name="_Toc96704976"/>
      <w:bookmarkStart w:id="101" w:name="_Toc130225985"/>
      <w:bookmarkStart w:id="102" w:name="_Toc64983169"/>
      <w:r>
        <w:t>Cash flow information and balances</w:t>
      </w:r>
      <w:bookmarkEnd w:id="100"/>
      <w:bookmarkEnd w:id="101"/>
      <w:bookmarkEnd w:id="102"/>
    </w:p>
    <w:p w14:paraId="76C4D68C" w14:textId="003C6EA8" w:rsidR="003719CD" w:rsidRDefault="003719CD" w:rsidP="00DC39DE">
      <w:r>
        <w:t>Cash and deposits, including cash equivalents, comprise cash on hand and cash at bank, deposits at call and those highly liquid investments with an original maturity of three months or less</w:t>
      </w:r>
      <w:r w:rsidR="002F275E">
        <w:t xml:space="preserve"> that</w:t>
      </w:r>
      <w:r>
        <w:t xml:space="preserve"> are held for the purpose of meeting short</w:t>
      </w:r>
      <w:r w:rsidR="00604067">
        <w:noBreakHyphen/>
      </w:r>
      <w:r>
        <w:t>term cash commitments rather than for investment purposes, and are readily convertible to known amounts of cash and are subject to an insignificant risk of changes in value.</w:t>
      </w:r>
    </w:p>
    <w:p w14:paraId="7867C340" w14:textId="77777777" w:rsidR="003719CD" w:rsidRDefault="003719CD" w:rsidP="00DC39DE">
      <w:r>
        <w:t>For cash flow statement presentation purposes, cash and cash equivalents include bank overdrafts, which are included as current borrowings on the balance sheet, as indicated in the reconciliation below.</w:t>
      </w:r>
    </w:p>
    <w:p w14:paraId="3FBA5AF9"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CF43E9" w14:paraId="0C88B883" w14:textId="77777777" w:rsidTr="00CF43E9">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2CE6E902" w14:textId="77777777" w:rsidR="00CF43E9" w:rsidRDefault="00CF43E9" w:rsidP="00CF43E9">
            <w:pPr>
              <w:keepNext/>
              <w:jc w:val="left"/>
            </w:pPr>
            <w:r>
              <w:rPr>
                <w:color w:val="4472C4"/>
                <w:sz w:val="13"/>
              </w:rPr>
              <w:t>Source reference</w:t>
            </w:r>
          </w:p>
        </w:tc>
        <w:tc>
          <w:tcPr>
            <w:tcW w:w="6558" w:type="dxa"/>
          </w:tcPr>
          <w:p w14:paraId="3185B803" w14:textId="77777777" w:rsidR="00CF43E9" w:rsidRDefault="00CF43E9" w:rsidP="00CF43E9">
            <w:pPr>
              <w:keepNext/>
              <w:jc w:val="left"/>
            </w:pPr>
          </w:p>
        </w:tc>
        <w:tc>
          <w:tcPr>
            <w:tcW w:w="866" w:type="dxa"/>
          </w:tcPr>
          <w:p w14:paraId="71F10D19" w14:textId="291B3E37" w:rsidR="00CF43E9" w:rsidRDefault="00CF43E9" w:rsidP="00CF43E9">
            <w:pPr>
              <w:keepNext/>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866" w:type="dxa"/>
          </w:tcPr>
          <w:p w14:paraId="47907942" w14:textId="367AE935" w:rsidR="00CF43E9" w:rsidRDefault="00CF43E9" w:rsidP="00CF43E9">
            <w:pPr>
              <w:keepNext/>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182709" w14:paraId="62EB4345" w14:textId="77777777" w:rsidTr="00CF43E9">
        <w:tc>
          <w:tcPr>
            <w:tcW w:w="1349" w:type="dxa"/>
          </w:tcPr>
          <w:p w14:paraId="741B43C4" w14:textId="77777777" w:rsidR="00182709" w:rsidRDefault="0044097C">
            <w:pPr>
              <w:jc w:val="left"/>
            </w:pPr>
            <w:r>
              <w:rPr>
                <w:color w:val="4472C4"/>
                <w:sz w:val="13"/>
              </w:rPr>
              <w:t>AASB 107.45</w:t>
            </w:r>
          </w:p>
        </w:tc>
        <w:tc>
          <w:tcPr>
            <w:tcW w:w="6558" w:type="dxa"/>
          </w:tcPr>
          <w:p w14:paraId="5503AFA9" w14:textId="77777777" w:rsidR="00182709" w:rsidRDefault="0044097C">
            <w:pPr>
              <w:jc w:val="left"/>
            </w:pPr>
            <w:r>
              <w:t>Total cash and deposits disclosed in the balance sheet</w:t>
            </w:r>
          </w:p>
        </w:tc>
        <w:tc>
          <w:tcPr>
            <w:tcW w:w="866" w:type="dxa"/>
          </w:tcPr>
          <w:p w14:paraId="0976D12C" w14:textId="3F8339ED" w:rsidR="00182709" w:rsidRDefault="00967CE0">
            <w:r>
              <w:t>71</w:t>
            </w:r>
            <w:r w:rsidR="0044097C">
              <w:t xml:space="preserve"> </w:t>
            </w:r>
            <w:r>
              <w:t>083</w:t>
            </w:r>
          </w:p>
        </w:tc>
        <w:tc>
          <w:tcPr>
            <w:tcW w:w="866" w:type="dxa"/>
          </w:tcPr>
          <w:p w14:paraId="2E43323E" w14:textId="77777777" w:rsidR="00182709" w:rsidRDefault="0044097C">
            <w:r>
              <w:t>65 723</w:t>
            </w:r>
          </w:p>
        </w:tc>
      </w:tr>
      <w:tr w:rsidR="00182709" w14:paraId="321D88D7" w14:textId="77777777" w:rsidTr="00CF43E9">
        <w:tc>
          <w:tcPr>
            <w:tcW w:w="1349" w:type="dxa"/>
          </w:tcPr>
          <w:p w14:paraId="7680AA98" w14:textId="77777777" w:rsidR="00182709" w:rsidRDefault="00182709">
            <w:pPr>
              <w:jc w:val="left"/>
            </w:pPr>
          </w:p>
        </w:tc>
        <w:tc>
          <w:tcPr>
            <w:tcW w:w="6558" w:type="dxa"/>
          </w:tcPr>
          <w:p w14:paraId="411D8513" w14:textId="77777777" w:rsidR="00182709" w:rsidRDefault="0044097C">
            <w:pPr>
              <w:jc w:val="left"/>
            </w:pPr>
            <w:r>
              <w:t>Bank overdraft</w:t>
            </w:r>
          </w:p>
        </w:tc>
        <w:tc>
          <w:tcPr>
            <w:tcW w:w="866" w:type="dxa"/>
          </w:tcPr>
          <w:p w14:paraId="24870D7C" w14:textId="77777777" w:rsidR="00182709" w:rsidRDefault="0044097C">
            <w:r>
              <w:t>..</w:t>
            </w:r>
          </w:p>
        </w:tc>
        <w:tc>
          <w:tcPr>
            <w:tcW w:w="866" w:type="dxa"/>
          </w:tcPr>
          <w:p w14:paraId="6C1D10E1" w14:textId="77777777" w:rsidR="00182709" w:rsidRDefault="0044097C">
            <w:r>
              <w:t>(5 437)</w:t>
            </w:r>
          </w:p>
        </w:tc>
      </w:tr>
      <w:tr w:rsidR="00182709" w14:paraId="74C1C55C" w14:textId="77777777" w:rsidTr="00CF43E9">
        <w:tc>
          <w:tcPr>
            <w:tcW w:w="1349" w:type="dxa"/>
          </w:tcPr>
          <w:p w14:paraId="321778BF" w14:textId="77777777" w:rsidR="00182709" w:rsidRDefault="00182709">
            <w:pPr>
              <w:jc w:val="left"/>
            </w:pPr>
          </w:p>
        </w:tc>
        <w:tc>
          <w:tcPr>
            <w:tcW w:w="6558" w:type="dxa"/>
            <w:tcBorders>
              <w:bottom w:val="single" w:sz="12" w:space="0" w:color="auto"/>
            </w:tcBorders>
          </w:tcPr>
          <w:p w14:paraId="49800CA8" w14:textId="77777777" w:rsidR="00182709" w:rsidRDefault="0044097C">
            <w:pPr>
              <w:jc w:val="left"/>
            </w:pPr>
            <w:r>
              <w:t>Discontinued operations</w:t>
            </w:r>
          </w:p>
        </w:tc>
        <w:tc>
          <w:tcPr>
            <w:tcW w:w="866" w:type="dxa"/>
            <w:tcBorders>
              <w:bottom w:val="single" w:sz="12" w:space="0" w:color="auto"/>
            </w:tcBorders>
          </w:tcPr>
          <w:p w14:paraId="507257A1" w14:textId="77777777" w:rsidR="00182709" w:rsidRDefault="0044097C">
            <w:r>
              <w:t>4 906</w:t>
            </w:r>
          </w:p>
        </w:tc>
        <w:tc>
          <w:tcPr>
            <w:tcW w:w="866" w:type="dxa"/>
            <w:tcBorders>
              <w:bottom w:val="single" w:sz="12" w:space="0" w:color="auto"/>
            </w:tcBorders>
          </w:tcPr>
          <w:p w14:paraId="4D98AA15" w14:textId="77777777" w:rsidR="00182709" w:rsidRDefault="0044097C">
            <w:r>
              <w:t>1 283</w:t>
            </w:r>
          </w:p>
        </w:tc>
      </w:tr>
      <w:tr w:rsidR="00671D55" w14:paraId="369319C3" w14:textId="77777777" w:rsidTr="00CF43E9">
        <w:tc>
          <w:tcPr>
            <w:tcW w:w="1349" w:type="dxa"/>
            <w:tcBorders>
              <w:bottom w:val="nil"/>
            </w:tcBorders>
          </w:tcPr>
          <w:p w14:paraId="48BD638A" w14:textId="77777777" w:rsidR="00182709" w:rsidRDefault="0044097C">
            <w:pPr>
              <w:jc w:val="left"/>
            </w:pPr>
            <w:r>
              <w:rPr>
                <w:color w:val="4472C4"/>
                <w:sz w:val="13"/>
              </w:rPr>
              <w:t>AASB 107.45</w:t>
            </w:r>
          </w:p>
        </w:tc>
        <w:tc>
          <w:tcPr>
            <w:tcW w:w="6558" w:type="dxa"/>
          </w:tcPr>
          <w:p w14:paraId="24A08E8F" w14:textId="77777777" w:rsidR="00182709" w:rsidRDefault="0044097C">
            <w:pPr>
              <w:jc w:val="left"/>
            </w:pPr>
            <w:r>
              <w:rPr>
                <w:b/>
              </w:rPr>
              <w:t>Balance as per cash flow statement</w:t>
            </w:r>
          </w:p>
        </w:tc>
        <w:tc>
          <w:tcPr>
            <w:tcW w:w="866" w:type="dxa"/>
          </w:tcPr>
          <w:p w14:paraId="3E89CD3B" w14:textId="71793E2A" w:rsidR="00182709" w:rsidRDefault="0044097C">
            <w:r>
              <w:rPr>
                <w:b/>
              </w:rPr>
              <w:t>7</w:t>
            </w:r>
            <w:r w:rsidR="00341DA9">
              <w:rPr>
                <w:b/>
              </w:rPr>
              <w:t>6</w:t>
            </w:r>
            <w:r>
              <w:rPr>
                <w:b/>
              </w:rPr>
              <w:t xml:space="preserve"> </w:t>
            </w:r>
            <w:r w:rsidR="00341DA9">
              <w:rPr>
                <w:b/>
              </w:rPr>
              <w:t>70</w:t>
            </w:r>
            <w:r w:rsidR="00967CE0">
              <w:rPr>
                <w:b/>
              </w:rPr>
              <w:t>9</w:t>
            </w:r>
          </w:p>
        </w:tc>
        <w:tc>
          <w:tcPr>
            <w:tcW w:w="866" w:type="dxa"/>
          </w:tcPr>
          <w:p w14:paraId="47931CA3" w14:textId="2A153ACF" w:rsidR="00182709" w:rsidRDefault="0044097C">
            <w:r>
              <w:rPr>
                <w:b/>
              </w:rPr>
              <w:t>6</w:t>
            </w:r>
            <w:r w:rsidR="00341DA9">
              <w:rPr>
                <w:b/>
              </w:rPr>
              <w:t>2</w:t>
            </w:r>
            <w:r>
              <w:rPr>
                <w:b/>
              </w:rPr>
              <w:t xml:space="preserve"> </w:t>
            </w:r>
            <w:r w:rsidR="00341DA9">
              <w:rPr>
                <w:b/>
              </w:rPr>
              <w:t>28</w:t>
            </w:r>
            <w:r>
              <w:rPr>
                <w:b/>
              </w:rPr>
              <w:t>9</w:t>
            </w:r>
          </w:p>
        </w:tc>
      </w:tr>
    </w:tbl>
    <w:p w14:paraId="013DAAEC" w14:textId="77777777" w:rsidR="003719CD" w:rsidRDefault="003719CD" w:rsidP="00DC39DE">
      <w:r>
        <w:t xml:space="preserve">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via the public account. The public account remits to the Department the cash required upon presentation of cheques by the Department’s suppliers or creditors. </w:t>
      </w:r>
      <w:r w:rsidRPr="006F6737">
        <w:rPr>
          <w:rStyle w:val="Reference"/>
        </w:rPr>
        <w:t>[FMA section 13-17]</w:t>
      </w:r>
    </w:p>
    <w:p w14:paraId="35D2D682" w14:textId="1EB614BD" w:rsidR="003719CD" w:rsidRDefault="003719CD" w:rsidP="00DC39DE">
      <w:r>
        <w:t xml:space="preserve">These funding arrangements often result in the Department having a notional shortfall in the cash at bank required for payment of unpresented cheques at reporting date. At 30 June </w:t>
      </w:r>
      <w:fldSimple w:instr="DOCPROPERTY  YearCurrent  \* MERGEFORMAT">
        <w:r w:rsidR="008E05D6">
          <w:t>20X2</w:t>
        </w:r>
      </w:fldSimple>
      <w:r>
        <w:t>, cash at bank included the amount of a notional shortfall for the payment of unpresented cheques of $10 000 (</w:t>
      </w:r>
      <w:fldSimple w:instr="DOCPROPERTY  YearPrevious  \* MERGEFORMAT">
        <w:r w:rsidR="002C1B71">
          <w:t>20X1</w:t>
        </w:r>
      </w:fldSimple>
      <w:r>
        <w:t>: $6 000).</w:t>
      </w:r>
    </w:p>
    <w:p w14:paraId="2F66FDE9" w14:textId="77777777" w:rsidR="003C49FA" w:rsidRDefault="003C49FA">
      <w:pPr>
        <w:keepLines w:val="0"/>
        <w:rPr>
          <w:rFonts w:asciiTheme="majorHAnsi" w:eastAsiaTheme="majorEastAsia" w:hAnsiTheme="majorHAnsi" w:cstheme="majorBidi"/>
          <w:b/>
          <w:sz w:val="22"/>
          <w:szCs w:val="24"/>
        </w:rPr>
      </w:pPr>
      <w:r>
        <w:br w:type="page"/>
      </w:r>
    </w:p>
    <w:p w14:paraId="747C0A99" w14:textId="5568C554" w:rsidR="003719CD" w:rsidRDefault="003719CD" w:rsidP="00A80494">
      <w:pPr>
        <w:pStyle w:val="Heading3numbered"/>
      </w:pPr>
      <w:r>
        <w:lastRenderedPageBreak/>
        <w:t xml:space="preserve">Reconciliation of net result for the period to cash flow from operating activities </w:t>
      </w:r>
      <w:r w:rsidRPr="006F6737">
        <w:rPr>
          <w:rStyle w:val="Reference"/>
        </w:rPr>
        <w:t>[AASB</w:t>
      </w:r>
      <w:r>
        <w:rPr>
          <w:rStyle w:val="Reference"/>
        </w:rPr>
        <w:t> </w:t>
      </w:r>
      <w:r w:rsidRPr="006F6737">
        <w:rPr>
          <w:rStyle w:val="Reference"/>
        </w:rPr>
        <w:t>1054.16]</w:t>
      </w:r>
    </w:p>
    <w:p w14:paraId="55AF7EED"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CF43E9" w14:paraId="2ACC58E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30C123BC" w14:textId="77777777" w:rsidR="00CF43E9" w:rsidRDefault="00CF43E9" w:rsidP="00CF43E9">
            <w:pPr>
              <w:keepNext/>
            </w:pPr>
          </w:p>
        </w:tc>
        <w:tc>
          <w:tcPr>
            <w:tcW w:w="907" w:type="dxa"/>
          </w:tcPr>
          <w:p w14:paraId="7C84BA23" w14:textId="2C1533DA"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907" w:type="dxa"/>
          </w:tcPr>
          <w:p w14:paraId="0AE5BE90" w14:textId="081B1B10"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8E5233" w14:paraId="27AB7919"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C7A7CE9" w14:textId="77777777" w:rsidR="008E5233" w:rsidRDefault="005648A9">
            <w:r>
              <w:rPr>
                <w:b/>
              </w:rPr>
              <w:t>Net result for the period</w:t>
            </w:r>
          </w:p>
        </w:tc>
        <w:tc>
          <w:tcPr>
            <w:tcW w:w="907" w:type="dxa"/>
            <w:tcBorders>
              <w:bottom w:val="single" w:sz="12" w:space="0" w:color="auto"/>
            </w:tcBorders>
          </w:tcPr>
          <w:p w14:paraId="0216FA4C" w14:textId="748FF81C" w:rsidR="008E5233" w:rsidRDefault="00ED53F6">
            <w:pPr>
              <w:cnfStyle w:val="000000000000" w:firstRow="0" w:lastRow="0" w:firstColumn="0" w:lastColumn="0" w:oddVBand="0" w:evenVBand="0" w:oddHBand="0" w:evenHBand="0" w:firstRowFirstColumn="0" w:firstRowLastColumn="0" w:lastRowFirstColumn="0" w:lastRowLastColumn="0"/>
            </w:pPr>
            <w:r>
              <w:rPr>
                <w:b/>
              </w:rPr>
              <w:t>7</w:t>
            </w:r>
            <w:r w:rsidR="005648A9">
              <w:rPr>
                <w:b/>
              </w:rPr>
              <w:t xml:space="preserve"> </w:t>
            </w:r>
            <w:r>
              <w:rPr>
                <w:b/>
              </w:rPr>
              <w:t>490</w:t>
            </w:r>
          </w:p>
        </w:tc>
        <w:tc>
          <w:tcPr>
            <w:tcW w:w="907" w:type="dxa"/>
            <w:tcBorders>
              <w:bottom w:val="single" w:sz="12" w:space="0" w:color="auto"/>
            </w:tcBorders>
          </w:tcPr>
          <w:p w14:paraId="468CEEA1" w14:textId="54F0B64F" w:rsidR="008E5233" w:rsidRDefault="00ED53F6">
            <w:pPr>
              <w:cnfStyle w:val="000000000000" w:firstRow="0" w:lastRow="0" w:firstColumn="0" w:lastColumn="0" w:oddVBand="0" w:evenVBand="0" w:oddHBand="0" w:evenHBand="0" w:firstRowFirstColumn="0" w:firstRowLastColumn="0" w:lastRowFirstColumn="0" w:lastRowLastColumn="0"/>
            </w:pPr>
            <w:r>
              <w:rPr>
                <w:b/>
              </w:rPr>
              <w:t>7</w:t>
            </w:r>
            <w:r w:rsidR="005648A9">
              <w:rPr>
                <w:b/>
              </w:rPr>
              <w:t xml:space="preserve"> </w:t>
            </w:r>
            <w:r>
              <w:rPr>
                <w:b/>
              </w:rPr>
              <w:t>62</w:t>
            </w:r>
            <w:r w:rsidR="005648A9">
              <w:rPr>
                <w:b/>
              </w:rPr>
              <w:t>4</w:t>
            </w:r>
          </w:p>
        </w:tc>
      </w:tr>
      <w:tr w:rsidR="00671D55" w14:paraId="5362409F"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7851800E" w14:textId="77777777" w:rsidR="008E5233" w:rsidRDefault="005648A9">
            <w:r>
              <w:rPr>
                <w:b/>
              </w:rPr>
              <w:t>Non‑cash movements</w:t>
            </w:r>
          </w:p>
        </w:tc>
        <w:tc>
          <w:tcPr>
            <w:tcW w:w="907" w:type="dxa"/>
          </w:tcPr>
          <w:p w14:paraId="69AAA05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1D5B17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F7EF1E6" w14:textId="77777777">
        <w:tc>
          <w:tcPr>
            <w:cnfStyle w:val="001000000000" w:firstRow="0" w:lastRow="0" w:firstColumn="1" w:lastColumn="0" w:oddVBand="0" w:evenVBand="0" w:oddHBand="0" w:evenHBand="0" w:firstRowFirstColumn="0" w:firstRowLastColumn="0" w:lastRowFirstColumn="0" w:lastRowLastColumn="0"/>
            <w:tcW w:w="7825" w:type="dxa"/>
          </w:tcPr>
          <w:p w14:paraId="228DE700" w14:textId="77777777" w:rsidR="008E5233" w:rsidRDefault="005648A9">
            <w:r>
              <w:t>(Gain)/Loss on sale or disposal of non‑current assets</w:t>
            </w:r>
          </w:p>
        </w:tc>
        <w:tc>
          <w:tcPr>
            <w:tcW w:w="907" w:type="dxa"/>
          </w:tcPr>
          <w:p w14:paraId="38E39F00" w14:textId="77777777" w:rsidR="008E5233" w:rsidRDefault="005648A9">
            <w:pPr>
              <w:cnfStyle w:val="000000000000" w:firstRow="0" w:lastRow="0" w:firstColumn="0" w:lastColumn="0" w:oddVBand="0" w:evenVBand="0" w:oddHBand="0" w:evenHBand="0" w:firstRowFirstColumn="0" w:firstRowLastColumn="0" w:lastRowFirstColumn="0" w:lastRowLastColumn="0"/>
            </w:pPr>
            <w:r>
              <w:t>(1 527)</w:t>
            </w:r>
          </w:p>
        </w:tc>
        <w:tc>
          <w:tcPr>
            <w:tcW w:w="907" w:type="dxa"/>
          </w:tcPr>
          <w:p w14:paraId="0F579F17" w14:textId="77777777" w:rsidR="008E5233" w:rsidRDefault="005648A9">
            <w:pPr>
              <w:cnfStyle w:val="000000000000" w:firstRow="0" w:lastRow="0" w:firstColumn="0" w:lastColumn="0" w:oddVBand="0" w:evenVBand="0" w:oddHBand="0" w:evenHBand="0" w:firstRowFirstColumn="0" w:firstRowLastColumn="0" w:lastRowFirstColumn="0" w:lastRowLastColumn="0"/>
            </w:pPr>
            <w:r>
              <w:t>(1 259)</w:t>
            </w:r>
          </w:p>
        </w:tc>
      </w:tr>
      <w:tr w:rsidR="008E5233" w14:paraId="15C3E33E" w14:textId="77777777">
        <w:tc>
          <w:tcPr>
            <w:cnfStyle w:val="001000000000" w:firstRow="0" w:lastRow="0" w:firstColumn="1" w:lastColumn="0" w:oddVBand="0" w:evenVBand="0" w:oddHBand="0" w:evenHBand="0" w:firstRowFirstColumn="0" w:firstRowLastColumn="0" w:lastRowFirstColumn="0" w:lastRowLastColumn="0"/>
            <w:tcW w:w="7825" w:type="dxa"/>
          </w:tcPr>
          <w:p w14:paraId="3412D567" w14:textId="77777777" w:rsidR="008E5233" w:rsidRDefault="005648A9">
            <w:r>
              <w:t>(Gain)/Loss on revaluation of investment property</w:t>
            </w:r>
          </w:p>
        </w:tc>
        <w:tc>
          <w:tcPr>
            <w:tcW w:w="907" w:type="dxa"/>
          </w:tcPr>
          <w:p w14:paraId="5191A9E2" w14:textId="77777777" w:rsidR="008E5233" w:rsidRDefault="005648A9">
            <w:pPr>
              <w:cnfStyle w:val="000000000000" w:firstRow="0" w:lastRow="0" w:firstColumn="0" w:lastColumn="0" w:oddVBand="0" w:evenVBand="0" w:oddHBand="0" w:evenHBand="0" w:firstRowFirstColumn="0" w:firstRowLastColumn="0" w:lastRowFirstColumn="0" w:lastRowLastColumn="0"/>
            </w:pPr>
            <w:r>
              <w:t>3 485</w:t>
            </w:r>
          </w:p>
        </w:tc>
        <w:tc>
          <w:tcPr>
            <w:tcW w:w="907" w:type="dxa"/>
          </w:tcPr>
          <w:p w14:paraId="5C2F184B" w14:textId="77777777" w:rsidR="008E5233" w:rsidRDefault="005648A9">
            <w:pPr>
              <w:cnfStyle w:val="000000000000" w:firstRow="0" w:lastRow="0" w:firstColumn="0" w:lastColumn="0" w:oddVBand="0" w:evenVBand="0" w:oddHBand="0" w:evenHBand="0" w:firstRowFirstColumn="0" w:firstRowLastColumn="0" w:lastRowFirstColumn="0" w:lastRowLastColumn="0"/>
            </w:pPr>
            <w:r>
              <w:t>(450)</w:t>
            </w:r>
          </w:p>
        </w:tc>
      </w:tr>
      <w:tr w:rsidR="008E5233" w14:paraId="224487EC" w14:textId="77777777">
        <w:tc>
          <w:tcPr>
            <w:cnfStyle w:val="001000000000" w:firstRow="0" w:lastRow="0" w:firstColumn="1" w:lastColumn="0" w:oddVBand="0" w:evenVBand="0" w:oddHBand="0" w:evenHBand="0" w:firstRowFirstColumn="0" w:firstRowLastColumn="0" w:lastRowFirstColumn="0" w:lastRowLastColumn="0"/>
            <w:tcW w:w="7825" w:type="dxa"/>
          </w:tcPr>
          <w:p w14:paraId="16F18DE1" w14:textId="77777777" w:rsidR="008E5233" w:rsidRDefault="005648A9">
            <w:r>
              <w:t>Depreciation and amortisation of non‑current assets</w:t>
            </w:r>
          </w:p>
        </w:tc>
        <w:tc>
          <w:tcPr>
            <w:tcW w:w="907" w:type="dxa"/>
          </w:tcPr>
          <w:p w14:paraId="4BDCA7BC" w14:textId="77777777" w:rsidR="008E5233" w:rsidRDefault="005648A9">
            <w:pPr>
              <w:cnfStyle w:val="000000000000" w:firstRow="0" w:lastRow="0" w:firstColumn="0" w:lastColumn="0" w:oddVBand="0" w:evenVBand="0" w:oddHBand="0" w:evenHBand="0" w:firstRowFirstColumn="0" w:firstRowLastColumn="0" w:lastRowFirstColumn="0" w:lastRowLastColumn="0"/>
            </w:pPr>
            <w:r>
              <w:t>18 718</w:t>
            </w:r>
          </w:p>
        </w:tc>
        <w:tc>
          <w:tcPr>
            <w:tcW w:w="907" w:type="dxa"/>
          </w:tcPr>
          <w:p w14:paraId="6B1BBD92" w14:textId="77777777" w:rsidR="008E5233" w:rsidRDefault="005648A9">
            <w:pPr>
              <w:cnfStyle w:val="000000000000" w:firstRow="0" w:lastRow="0" w:firstColumn="0" w:lastColumn="0" w:oddVBand="0" w:evenVBand="0" w:oddHBand="0" w:evenHBand="0" w:firstRowFirstColumn="0" w:firstRowLastColumn="0" w:lastRowFirstColumn="0" w:lastRowLastColumn="0"/>
            </w:pPr>
            <w:r>
              <w:t>13 358</w:t>
            </w:r>
          </w:p>
        </w:tc>
      </w:tr>
      <w:tr w:rsidR="008E5233" w14:paraId="172E08E1" w14:textId="77777777">
        <w:tc>
          <w:tcPr>
            <w:cnfStyle w:val="001000000000" w:firstRow="0" w:lastRow="0" w:firstColumn="1" w:lastColumn="0" w:oddVBand="0" w:evenVBand="0" w:oddHBand="0" w:evenHBand="0" w:firstRowFirstColumn="0" w:firstRowLastColumn="0" w:lastRowFirstColumn="0" w:lastRowLastColumn="0"/>
            <w:tcW w:w="7825" w:type="dxa"/>
          </w:tcPr>
          <w:p w14:paraId="3A1F2234" w14:textId="77777777" w:rsidR="008E5233" w:rsidRDefault="005648A9">
            <w:r>
              <w:t>Impairment of non‑current assets</w:t>
            </w:r>
          </w:p>
        </w:tc>
        <w:tc>
          <w:tcPr>
            <w:tcW w:w="907" w:type="dxa"/>
          </w:tcPr>
          <w:p w14:paraId="57700AF1" w14:textId="77777777" w:rsidR="008E5233" w:rsidRDefault="005648A9">
            <w:pPr>
              <w:cnfStyle w:val="000000000000" w:firstRow="0" w:lastRow="0" w:firstColumn="0" w:lastColumn="0" w:oddVBand="0" w:evenVBand="0" w:oddHBand="0" w:evenHBand="0" w:firstRowFirstColumn="0" w:firstRowLastColumn="0" w:lastRowFirstColumn="0" w:lastRowLastColumn="0"/>
            </w:pPr>
            <w:r>
              <w:t>2 010</w:t>
            </w:r>
          </w:p>
        </w:tc>
        <w:tc>
          <w:tcPr>
            <w:tcW w:w="907" w:type="dxa"/>
          </w:tcPr>
          <w:p w14:paraId="0060A88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756BA31" w14:textId="77777777">
        <w:tc>
          <w:tcPr>
            <w:cnfStyle w:val="001000000000" w:firstRow="0" w:lastRow="0" w:firstColumn="1" w:lastColumn="0" w:oddVBand="0" w:evenVBand="0" w:oddHBand="0" w:evenHBand="0" w:firstRowFirstColumn="0" w:firstRowLastColumn="0" w:lastRowFirstColumn="0" w:lastRowLastColumn="0"/>
            <w:tcW w:w="7825" w:type="dxa"/>
          </w:tcPr>
          <w:p w14:paraId="5C175E4E" w14:textId="77777777" w:rsidR="008E5233" w:rsidRDefault="005648A9">
            <w:r>
              <w:t>Resources provided free of charge or for nominal consideration</w:t>
            </w:r>
          </w:p>
        </w:tc>
        <w:tc>
          <w:tcPr>
            <w:tcW w:w="907" w:type="dxa"/>
          </w:tcPr>
          <w:p w14:paraId="0789B1E2" w14:textId="77777777" w:rsidR="008E5233" w:rsidRDefault="005648A9">
            <w:pPr>
              <w:cnfStyle w:val="000000000000" w:firstRow="0" w:lastRow="0" w:firstColumn="0" w:lastColumn="0" w:oddVBand="0" w:evenVBand="0" w:oddHBand="0" w:evenHBand="0" w:firstRowFirstColumn="0" w:firstRowLastColumn="0" w:lastRowFirstColumn="0" w:lastRowLastColumn="0"/>
            </w:pPr>
            <w:r>
              <w:t>(103)</w:t>
            </w:r>
          </w:p>
        </w:tc>
        <w:tc>
          <w:tcPr>
            <w:tcW w:w="907" w:type="dxa"/>
          </w:tcPr>
          <w:p w14:paraId="4879E519" w14:textId="77777777" w:rsidR="008E5233" w:rsidRDefault="005648A9">
            <w:pPr>
              <w:cnfStyle w:val="000000000000" w:firstRow="0" w:lastRow="0" w:firstColumn="0" w:lastColumn="0" w:oddVBand="0" w:evenVBand="0" w:oddHBand="0" w:evenHBand="0" w:firstRowFirstColumn="0" w:firstRowLastColumn="0" w:lastRowFirstColumn="0" w:lastRowLastColumn="0"/>
            </w:pPr>
            <w:r>
              <w:t>(586)</w:t>
            </w:r>
          </w:p>
        </w:tc>
      </w:tr>
      <w:tr w:rsidR="008E5233" w14:paraId="6CFC7107" w14:textId="77777777">
        <w:tc>
          <w:tcPr>
            <w:cnfStyle w:val="001000000000" w:firstRow="0" w:lastRow="0" w:firstColumn="1" w:lastColumn="0" w:oddVBand="0" w:evenVBand="0" w:oddHBand="0" w:evenHBand="0" w:firstRowFirstColumn="0" w:firstRowLastColumn="0" w:lastRowFirstColumn="0" w:lastRowLastColumn="0"/>
            <w:tcW w:w="7825" w:type="dxa"/>
          </w:tcPr>
          <w:p w14:paraId="25318F91" w14:textId="77777777" w:rsidR="008E5233" w:rsidRDefault="005648A9">
            <w:r>
              <w:t>Forgiveness of liabilities</w:t>
            </w:r>
          </w:p>
        </w:tc>
        <w:tc>
          <w:tcPr>
            <w:tcW w:w="907" w:type="dxa"/>
          </w:tcPr>
          <w:p w14:paraId="795D7621" w14:textId="77777777" w:rsidR="008E5233" w:rsidRDefault="005648A9">
            <w:pPr>
              <w:cnfStyle w:val="000000000000" w:firstRow="0" w:lastRow="0" w:firstColumn="0" w:lastColumn="0" w:oddVBand="0" w:evenVBand="0" w:oddHBand="0" w:evenHBand="0" w:firstRowFirstColumn="0" w:firstRowLastColumn="0" w:lastRowFirstColumn="0" w:lastRowLastColumn="0"/>
            </w:pPr>
            <w:r>
              <w:t>(2 270)</w:t>
            </w:r>
          </w:p>
        </w:tc>
        <w:tc>
          <w:tcPr>
            <w:tcW w:w="907" w:type="dxa"/>
          </w:tcPr>
          <w:p w14:paraId="1189C2A2" w14:textId="77777777" w:rsidR="008E5233" w:rsidRDefault="005648A9">
            <w:pPr>
              <w:cnfStyle w:val="000000000000" w:firstRow="0" w:lastRow="0" w:firstColumn="0" w:lastColumn="0" w:oddVBand="0" w:evenVBand="0" w:oddHBand="0" w:evenHBand="0" w:firstRowFirstColumn="0" w:firstRowLastColumn="0" w:lastRowFirstColumn="0" w:lastRowLastColumn="0"/>
            </w:pPr>
            <w:r>
              <w:t>(2 025)</w:t>
            </w:r>
          </w:p>
        </w:tc>
      </w:tr>
      <w:tr w:rsidR="008E5233" w14:paraId="7AA4E2D1" w14:textId="77777777">
        <w:tc>
          <w:tcPr>
            <w:cnfStyle w:val="001000000000" w:firstRow="0" w:lastRow="0" w:firstColumn="1" w:lastColumn="0" w:oddVBand="0" w:evenVBand="0" w:oddHBand="0" w:evenHBand="0" w:firstRowFirstColumn="0" w:firstRowLastColumn="0" w:lastRowFirstColumn="0" w:lastRowLastColumn="0"/>
            <w:tcW w:w="7825" w:type="dxa"/>
          </w:tcPr>
          <w:p w14:paraId="2B8911E1" w14:textId="77777777" w:rsidR="008E5233" w:rsidRDefault="005648A9">
            <w:r>
              <w:t>Net (gain)/loss on financial instruments</w:t>
            </w:r>
          </w:p>
        </w:tc>
        <w:tc>
          <w:tcPr>
            <w:tcW w:w="907" w:type="dxa"/>
          </w:tcPr>
          <w:p w14:paraId="447FB3CA" w14:textId="77777777" w:rsidR="008E5233" w:rsidRDefault="005648A9">
            <w:pPr>
              <w:cnfStyle w:val="000000000000" w:firstRow="0" w:lastRow="0" w:firstColumn="0" w:lastColumn="0" w:oddVBand="0" w:evenVBand="0" w:oddHBand="0" w:evenHBand="0" w:firstRowFirstColumn="0" w:firstRowLastColumn="0" w:lastRowFirstColumn="0" w:lastRowLastColumn="0"/>
            </w:pPr>
            <w:r>
              <w:t>7 121</w:t>
            </w:r>
          </w:p>
        </w:tc>
        <w:tc>
          <w:tcPr>
            <w:tcW w:w="907" w:type="dxa"/>
          </w:tcPr>
          <w:p w14:paraId="7221180F" w14:textId="77777777" w:rsidR="008E5233" w:rsidRDefault="005648A9">
            <w:pPr>
              <w:cnfStyle w:val="000000000000" w:firstRow="0" w:lastRow="0" w:firstColumn="0" w:lastColumn="0" w:oddVBand="0" w:evenVBand="0" w:oddHBand="0" w:evenHBand="0" w:firstRowFirstColumn="0" w:firstRowLastColumn="0" w:lastRowFirstColumn="0" w:lastRowLastColumn="0"/>
            </w:pPr>
            <w:r>
              <w:t>3 971</w:t>
            </w:r>
          </w:p>
        </w:tc>
      </w:tr>
      <w:tr w:rsidR="008E5233" w14:paraId="4FEF888D" w14:textId="77777777">
        <w:tc>
          <w:tcPr>
            <w:cnfStyle w:val="001000000000" w:firstRow="0" w:lastRow="0" w:firstColumn="1" w:lastColumn="0" w:oddVBand="0" w:evenVBand="0" w:oddHBand="0" w:evenHBand="0" w:firstRowFirstColumn="0" w:firstRowLastColumn="0" w:lastRowFirstColumn="0" w:lastRowLastColumn="0"/>
            <w:tcW w:w="7825" w:type="dxa"/>
          </w:tcPr>
          <w:p w14:paraId="229E775F" w14:textId="77777777" w:rsidR="008E5233" w:rsidRDefault="005648A9">
            <w:r>
              <w:t>Other non‑cash movements</w:t>
            </w:r>
          </w:p>
        </w:tc>
        <w:tc>
          <w:tcPr>
            <w:tcW w:w="907" w:type="dxa"/>
          </w:tcPr>
          <w:p w14:paraId="34562C56" w14:textId="77777777" w:rsidR="008E5233" w:rsidRDefault="005648A9">
            <w:pPr>
              <w:cnfStyle w:val="000000000000" w:firstRow="0" w:lastRow="0" w:firstColumn="0" w:lastColumn="0" w:oddVBand="0" w:evenVBand="0" w:oddHBand="0" w:evenHBand="0" w:firstRowFirstColumn="0" w:firstRowLastColumn="0" w:lastRowFirstColumn="0" w:lastRowLastColumn="0"/>
            </w:pPr>
            <w:r>
              <w:t>356</w:t>
            </w:r>
          </w:p>
        </w:tc>
        <w:tc>
          <w:tcPr>
            <w:tcW w:w="907" w:type="dxa"/>
          </w:tcPr>
          <w:p w14:paraId="68EFBB41" w14:textId="77777777" w:rsidR="008E5233" w:rsidRDefault="005648A9">
            <w:pPr>
              <w:cnfStyle w:val="000000000000" w:firstRow="0" w:lastRow="0" w:firstColumn="0" w:lastColumn="0" w:oddVBand="0" w:evenVBand="0" w:oddHBand="0" w:evenHBand="0" w:firstRowFirstColumn="0" w:firstRowLastColumn="0" w:lastRowFirstColumn="0" w:lastRowLastColumn="0"/>
            </w:pPr>
            <w:r>
              <w:t>(444)</w:t>
            </w:r>
          </w:p>
        </w:tc>
      </w:tr>
      <w:tr w:rsidR="008E5233" w14:paraId="64114DBB" w14:textId="77777777">
        <w:tc>
          <w:tcPr>
            <w:cnfStyle w:val="001000000000" w:firstRow="0" w:lastRow="0" w:firstColumn="1" w:lastColumn="0" w:oddVBand="0" w:evenVBand="0" w:oddHBand="0" w:evenHBand="0" w:firstRowFirstColumn="0" w:firstRowLastColumn="0" w:lastRowFirstColumn="0" w:lastRowLastColumn="0"/>
            <w:tcW w:w="7825" w:type="dxa"/>
          </w:tcPr>
          <w:p w14:paraId="33565E31" w14:textId="77777777" w:rsidR="008E5233" w:rsidRDefault="005648A9">
            <w:r>
              <w:rPr>
                <w:b/>
              </w:rPr>
              <w:t>Movements included in investing and financing activities</w:t>
            </w:r>
          </w:p>
        </w:tc>
        <w:tc>
          <w:tcPr>
            <w:tcW w:w="907" w:type="dxa"/>
          </w:tcPr>
          <w:p w14:paraId="136856E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4DA418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19D55B8" w14:textId="77777777">
        <w:tc>
          <w:tcPr>
            <w:cnfStyle w:val="001000000000" w:firstRow="0" w:lastRow="0" w:firstColumn="1" w:lastColumn="0" w:oddVBand="0" w:evenVBand="0" w:oddHBand="0" w:evenHBand="0" w:firstRowFirstColumn="0" w:firstRowLastColumn="0" w:lastRowFirstColumn="0" w:lastRowLastColumn="0"/>
            <w:tcW w:w="7825" w:type="dxa"/>
          </w:tcPr>
          <w:p w14:paraId="06DFEFC8" w14:textId="77777777" w:rsidR="008E5233" w:rsidRDefault="005648A9">
            <w:r>
              <w:t>(Gain)/Loss on disposal of business (Note 9.3.3 and Note 5.7.2)</w:t>
            </w:r>
          </w:p>
        </w:tc>
        <w:tc>
          <w:tcPr>
            <w:tcW w:w="907" w:type="dxa"/>
          </w:tcPr>
          <w:p w14:paraId="57FE6DE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6CAEA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AFE6F0B" w14:textId="77777777">
        <w:tc>
          <w:tcPr>
            <w:cnfStyle w:val="001000000000" w:firstRow="0" w:lastRow="0" w:firstColumn="1" w:lastColumn="0" w:oddVBand="0" w:evenVBand="0" w:oddHBand="0" w:evenHBand="0" w:firstRowFirstColumn="0" w:firstRowLastColumn="0" w:lastRowFirstColumn="0" w:lastRowLastColumn="0"/>
            <w:tcW w:w="7825" w:type="dxa"/>
          </w:tcPr>
          <w:p w14:paraId="4BEE38A1" w14:textId="77777777" w:rsidR="008E5233" w:rsidRDefault="005648A9">
            <w:r>
              <w:t>Share of associate’s (profits)/losses, excluding dividends</w:t>
            </w:r>
          </w:p>
        </w:tc>
        <w:tc>
          <w:tcPr>
            <w:tcW w:w="907" w:type="dxa"/>
          </w:tcPr>
          <w:p w14:paraId="0CFF4897"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(1 055)</w:t>
            </w:r>
          </w:p>
        </w:tc>
        <w:tc>
          <w:tcPr>
            <w:tcW w:w="907" w:type="dxa"/>
          </w:tcPr>
          <w:p w14:paraId="38908300" w14:textId="77777777" w:rsidR="008E5233" w:rsidRDefault="005648A9">
            <w:pPr>
              <w:cnfStyle w:val="000000000000" w:firstRow="0" w:lastRow="0" w:firstColumn="0" w:lastColumn="0" w:oddVBand="0" w:evenVBand="0" w:oddHBand="0" w:evenHBand="0" w:firstRowFirstColumn="0" w:firstRowLastColumn="0" w:lastRowFirstColumn="0" w:lastRowLastColumn="0"/>
            </w:pPr>
            <w:r>
              <w:t>(652)</w:t>
            </w:r>
          </w:p>
        </w:tc>
      </w:tr>
      <w:tr w:rsidR="008E5233" w14:paraId="18C0BE5F" w14:textId="77777777">
        <w:tc>
          <w:tcPr>
            <w:cnfStyle w:val="001000000000" w:firstRow="0" w:lastRow="0" w:firstColumn="1" w:lastColumn="0" w:oddVBand="0" w:evenVBand="0" w:oddHBand="0" w:evenHBand="0" w:firstRowFirstColumn="0" w:firstRowLastColumn="0" w:lastRowFirstColumn="0" w:lastRowLastColumn="0"/>
            <w:tcW w:w="7825" w:type="dxa"/>
          </w:tcPr>
          <w:p w14:paraId="2DF6BCE2" w14:textId="77777777" w:rsidR="008E5233" w:rsidRDefault="005648A9">
            <w:r>
              <w:t>Share of joint venture entities’ (profits)/losses, excluding dividends</w:t>
            </w:r>
          </w:p>
        </w:tc>
        <w:tc>
          <w:tcPr>
            <w:tcW w:w="907" w:type="dxa"/>
          </w:tcPr>
          <w:p w14:paraId="6DB8F34E" w14:textId="77777777" w:rsidR="008E5233" w:rsidRDefault="005648A9">
            <w:pPr>
              <w:cnfStyle w:val="000000000000" w:firstRow="0" w:lastRow="0" w:firstColumn="0" w:lastColumn="0" w:oddVBand="0" w:evenVBand="0" w:oddHBand="0" w:evenHBand="0" w:firstRowFirstColumn="0" w:firstRowLastColumn="0" w:lastRowFirstColumn="0" w:lastRowLastColumn="0"/>
            </w:pPr>
            <w:r>
              <w:t>(231)</w:t>
            </w:r>
          </w:p>
        </w:tc>
        <w:tc>
          <w:tcPr>
            <w:tcW w:w="907" w:type="dxa"/>
          </w:tcPr>
          <w:p w14:paraId="6B5AE2EE" w14:textId="77777777" w:rsidR="008E5233" w:rsidRDefault="005648A9">
            <w:pPr>
              <w:cnfStyle w:val="000000000000" w:firstRow="0" w:lastRow="0" w:firstColumn="0" w:lastColumn="0" w:oddVBand="0" w:evenVBand="0" w:oddHBand="0" w:evenHBand="0" w:firstRowFirstColumn="0" w:firstRowLastColumn="0" w:lastRowFirstColumn="0" w:lastRowLastColumn="0"/>
            </w:pPr>
            <w:r>
              <w:t>(745)</w:t>
            </w:r>
          </w:p>
        </w:tc>
      </w:tr>
      <w:tr w:rsidR="008E5233" w14:paraId="159AE8C6" w14:textId="77777777">
        <w:tc>
          <w:tcPr>
            <w:cnfStyle w:val="001000000000" w:firstRow="0" w:lastRow="0" w:firstColumn="1" w:lastColumn="0" w:oddVBand="0" w:evenVBand="0" w:oddHBand="0" w:evenHBand="0" w:firstRowFirstColumn="0" w:firstRowLastColumn="0" w:lastRowFirstColumn="0" w:lastRowLastColumn="0"/>
            <w:tcW w:w="7825" w:type="dxa"/>
          </w:tcPr>
          <w:p w14:paraId="35540A5E" w14:textId="77777777" w:rsidR="008E5233" w:rsidRDefault="005648A9">
            <w:r>
              <w:rPr>
                <w:b/>
              </w:rPr>
              <w:t>Movements in assets and liabilities</w:t>
            </w:r>
          </w:p>
        </w:tc>
        <w:tc>
          <w:tcPr>
            <w:tcW w:w="907" w:type="dxa"/>
          </w:tcPr>
          <w:p w14:paraId="741E996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4EFFB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D87E07B" w14:textId="77777777">
        <w:tc>
          <w:tcPr>
            <w:cnfStyle w:val="001000000000" w:firstRow="0" w:lastRow="0" w:firstColumn="1" w:lastColumn="0" w:oddVBand="0" w:evenVBand="0" w:oddHBand="0" w:evenHBand="0" w:firstRowFirstColumn="0" w:firstRowLastColumn="0" w:lastRowFirstColumn="0" w:lastRowLastColumn="0"/>
            <w:tcW w:w="7825" w:type="dxa"/>
          </w:tcPr>
          <w:p w14:paraId="72E0A17C" w14:textId="77777777" w:rsidR="008E5233" w:rsidRDefault="005648A9">
            <w:r>
              <w:t>Decrease/(Increase) in receivables</w:t>
            </w:r>
          </w:p>
        </w:tc>
        <w:tc>
          <w:tcPr>
            <w:tcW w:w="907" w:type="dxa"/>
          </w:tcPr>
          <w:p w14:paraId="2E9FFCAC" w14:textId="77777777" w:rsidR="008E5233" w:rsidRDefault="005648A9">
            <w:pPr>
              <w:cnfStyle w:val="000000000000" w:firstRow="0" w:lastRow="0" w:firstColumn="0" w:lastColumn="0" w:oddVBand="0" w:evenVBand="0" w:oddHBand="0" w:evenHBand="0" w:firstRowFirstColumn="0" w:firstRowLastColumn="0" w:lastRowFirstColumn="0" w:lastRowLastColumn="0"/>
            </w:pPr>
            <w:r>
              <w:t>(22 799)</w:t>
            </w:r>
          </w:p>
        </w:tc>
        <w:tc>
          <w:tcPr>
            <w:tcW w:w="907" w:type="dxa"/>
          </w:tcPr>
          <w:p w14:paraId="4AAD183E" w14:textId="77777777" w:rsidR="008E5233" w:rsidRDefault="005648A9">
            <w:pPr>
              <w:cnfStyle w:val="000000000000" w:firstRow="0" w:lastRow="0" w:firstColumn="0" w:lastColumn="0" w:oddVBand="0" w:evenVBand="0" w:oddHBand="0" w:evenHBand="0" w:firstRowFirstColumn="0" w:firstRowLastColumn="0" w:lastRowFirstColumn="0" w:lastRowLastColumn="0"/>
            </w:pPr>
            <w:r>
              <w:t>(3 610)</w:t>
            </w:r>
          </w:p>
        </w:tc>
      </w:tr>
      <w:tr w:rsidR="008E5233" w14:paraId="02DD50D0" w14:textId="77777777">
        <w:tc>
          <w:tcPr>
            <w:cnfStyle w:val="001000000000" w:firstRow="0" w:lastRow="0" w:firstColumn="1" w:lastColumn="0" w:oddVBand="0" w:evenVBand="0" w:oddHBand="0" w:evenHBand="0" w:firstRowFirstColumn="0" w:firstRowLastColumn="0" w:lastRowFirstColumn="0" w:lastRowLastColumn="0"/>
            <w:tcW w:w="7825" w:type="dxa"/>
          </w:tcPr>
          <w:p w14:paraId="10BBC659" w14:textId="77777777" w:rsidR="008E5233" w:rsidRDefault="005648A9">
            <w:r>
              <w:t>Decrease/(Increase) in contract assets</w:t>
            </w:r>
          </w:p>
        </w:tc>
        <w:tc>
          <w:tcPr>
            <w:tcW w:w="907" w:type="dxa"/>
          </w:tcPr>
          <w:p w14:paraId="0EB4FAF5"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c>
          <w:tcPr>
            <w:tcW w:w="907" w:type="dxa"/>
          </w:tcPr>
          <w:p w14:paraId="500C4C7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C3C6A40" w14:textId="77777777">
        <w:tc>
          <w:tcPr>
            <w:cnfStyle w:val="001000000000" w:firstRow="0" w:lastRow="0" w:firstColumn="1" w:lastColumn="0" w:oddVBand="0" w:evenVBand="0" w:oddHBand="0" w:evenHBand="0" w:firstRowFirstColumn="0" w:firstRowLastColumn="0" w:lastRowFirstColumn="0" w:lastRowLastColumn="0"/>
            <w:tcW w:w="7825" w:type="dxa"/>
          </w:tcPr>
          <w:p w14:paraId="7F71F328" w14:textId="77777777" w:rsidR="008E5233" w:rsidRDefault="005648A9">
            <w:r>
              <w:t>Decrease/(Increase) in inventories</w:t>
            </w:r>
          </w:p>
        </w:tc>
        <w:tc>
          <w:tcPr>
            <w:tcW w:w="907" w:type="dxa"/>
          </w:tcPr>
          <w:p w14:paraId="518A3D31" w14:textId="77777777" w:rsidR="008E5233" w:rsidRDefault="005648A9">
            <w:pPr>
              <w:cnfStyle w:val="000000000000" w:firstRow="0" w:lastRow="0" w:firstColumn="0" w:lastColumn="0" w:oddVBand="0" w:evenVBand="0" w:oddHBand="0" w:evenHBand="0" w:firstRowFirstColumn="0" w:firstRowLastColumn="0" w:lastRowFirstColumn="0" w:lastRowLastColumn="0"/>
            </w:pPr>
            <w:r>
              <w:t>6 941</w:t>
            </w:r>
          </w:p>
        </w:tc>
        <w:tc>
          <w:tcPr>
            <w:tcW w:w="907" w:type="dxa"/>
          </w:tcPr>
          <w:p w14:paraId="3F5A74B7" w14:textId="77777777" w:rsidR="008E5233" w:rsidRDefault="005648A9">
            <w:pPr>
              <w:cnfStyle w:val="000000000000" w:firstRow="0" w:lastRow="0" w:firstColumn="0" w:lastColumn="0" w:oddVBand="0" w:evenVBand="0" w:oddHBand="0" w:evenHBand="0" w:firstRowFirstColumn="0" w:firstRowLastColumn="0" w:lastRowFirstColumn="0" w:lastRowLastColumn="0"/>
            </w:pPr>
            <w:r>
              <w:t>15</w:t>
            </w:r>
          </w:p>
        </w:tc>
      </w:tr>
      <w:tr w:rsidR="008E5233" w14:paraId="090D4247" w14:textId="77777777">
        <w:tc>
          <w:tcPr>
            <w:cnfStyle w:val="001000000000" w:firstRow="0" w:lastRow="0" w:firstColumn="1" w:lastColumn="0" w:oddVBand="0" w:evenVBand="0" w:oddHBand="0" w:evenHBand="0" w:firstRowFirstColumn="0" w:firstRowLastColumn="0" w:lastRowFirstColumn="0" w:lastRowLastColumn="0"/>
            <w:tcW w:w="7825" w:type="dxa"/>
          </w:tcPr>
          <w:p w14:paraId="04C4BD98" w14:textId="77777777" w:rsidR="008E5233" w:rsidRDefault="005648A9">
            <w:r>
              <w:t>Decrease/(Increase) in other non‑financial assets</w:t>
            </w:r>
          </w:p>
        </w:tc>
        <w:tc>
          <w:tcPr>
            <w:tcW w:w="907" w:type="dxa"/>
          </w:tcPr>
          <w:p w14:paraId="0AAA275F" w14:textId="77777777" w:rsidR="008E5233" w:rsidRDefault="005648A9">
            <w:pPr>
              <w:cnfStyle w:val="000000000000" w:firstRow="0" w:lastRow="0" w:firstColumn="0" w:lastColumn="0" w:oddVBand="0" w:evenVBand="0" w:oddHBand="0" w:evenHBand="0" w:firstRowFirstColumn="0" w:firstRowLastColumn="0" w:lastRowFirstColumn="0" w:lastRowLastColumn="0"/>
            </w:pPr>
            <w:r>
              <w:t>(1 094)</w:t>
            </w:r>
          </w:p>
        </w:tc>
        <w:tc>
          <w:tcPr>
            <w:tcW w:w="907" w:type="dxa"/>
          </w:tcPr>
          <w:p w14:paraId="3CB50F00" w14:textId="77777777" w:rsidR="008E5233" w:rsidRDefault="005648A9">
            <w:pPr>
              <w:cnfStyle w:val="000000000000" w:firstRow="0" w:lastRow="0" w:firstColumn="0" w:lastColumn="0" w:oddVBand="0" w:evenVBand="0" w:oddHBand="0" w:evenHBand="0" w:firstRowFirstColumn="0" w:firstRowLastColumn="0" w:lastRowFirstColumn="0" w:lastRowLastColumn="0"/>
            </w:pPr>
            <w:r>
              <w:t>(285)</w:t>
            </w:r>
          </w:p>
        </w:tc>
      </w:tr>
      <w:tr w:rsidR="008E5233" w14:paraId="65E3EC32" w14:textId="77777777">
        <w:tc>
          <w:tcPr>
            <w:cnfStyle w:val="001000000000" w:firstRow="0" w:lastRow="0" w:firstColumn="1" w:lastColumn="0" w:oddVBand="0" w:evenVBand="0" w:oddHBand="0" w:evenHBand="0" w:firstRowFirstColumn="0" w:firstRowLastColumn="0" w:lastRowFirstColumn="0" w:lastRowLastColumn="0"/>
            <w:tcW w:w="7825" w:type="dxa"/>
          </w:tcPr>
          <w:p w14:paraId="5CB45803" w14:textId="77777777" w:rsidR="008E5233" w:rsidRDefault="005648A9">
            <w:r>
              <w:t>Increase/(Decrease) in payables</w:t>
            </w:r>
          </w:p>
        </w:tc>
        <w:tc>
          <w:tcPr>
            <w:tcW w:w="907" w:type="dxa"/>
          </w:tcPr>
          <w:p w14:paraId="0DA14A1A" w14:textId="77777777" w:rsidR="008E5233" w:rsidRDefault="005648A9">
            <w:pPr>
              <w:cnfStyle w:val="000000000000" w:firstRow="0" w:lastRow="0" w:firstColumn="0" w:lastColumn="0" w:oddVBand="0" w:evenVBand="0" w:oddHBand="0" w:evenHBand="0" w:firstRowFirstColumn="0" w:firstRowLastColumn="0" w:lastRowFirstColumn="0" w:lastRowLastColumn="0"/>
            </w:pPr>
            <w:r>
              <w:t>(372)</w:t>
            </w:r>
          </w:p>
        </w:tc>
        <w:tc>
          <w:tcPr>
            <w:tcW w:w="907" w:type="dxa"/>
          </w:tcPr>
          <w:p w14:paraId="7FA48735" w14:textId="77777777" w:rsidR="008E5233" w:rsidRDefault="005648A9">
            <w:pPr>
              <w:cnfStyle w:val="000000000000" w:firstRow="0" w:lastRow="0" w:firstColumn="0" w:lastColumn="0" w:oddVBand="0" w:evenVBand="0" w:oddHBand="0" w:evenHBand="0" w:firstRowFirstColumn="0" w:firstRowLastColumn="0" w:lastRowFirstColumn="0" w:lastRowLastColumn="0"/>
            </w:pPr>
            <w:r>
              <w:t>18 972</w:t>
            </w:r>
          </w:p>
        </w:tc>
      </w:tr>
      <w:tr w:rsidR="008E5233" w14:paraId="33704E4B" w14:textId="77777777">
        <w:tc>
          <w:tcPr>
            <w:cnfStyle w:val="001000000000" w:firstRow="0" w:lastRow="0" w:firstColumn="1" w:lastColumn="0" w:oddVBand="0" w:evenVBand="0" w:oddHBand="0" w:evenHBand="0" w:firstRowFirstColumn="0" w:firstRowLastColumn="0" w:lastRowFirstColumn="0" w:lastRowLastColumn="0"/>
            <w:tcW w:w="7825" w:type="dxa"/>
          </w:tcPr>
          <w:p w14:paraId="73E92263" w14:textId="77777777" w:rsidR="008E5233" w:rsidRDefault="005648A9">
            <w:r>
              <w:t>Decrease/(Increase) in contract liabilities</w:t>
            </w:r>
          </w:p>
        </w:tc>
        <w:tc>
          <w:tcPr>
            <w:tcW w:w="907" w:type="dxa"/>
          </w:tcPr>
          <w:p w14:paraId="51D92334" w14:textId="77777777" w:rsidR="008E5233" w:rsidRDefault="005648A9">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122869D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F495789" w14:textId="77777777">
        <w:tc>
          <w:tcPr>
            <w:cnfStyle w:val="001000000000" w:firstRow="0" w:lastRow="0" w:firstColumn="1" w:lastColumn="0" w:oddVBand="0" w:evenVBand="0" w:oddHBand="0" w:evenHBand="0" w:firstRowFirstColumn="0" w:firstRowLastColumn="0" w:lastRowFirstColumn="0" w:lastRowLastColumn="0"/>
            <w:tcW w:w="7825" w:type="dxa"/>
          </w:tcPr>
          <w:p w14:paraId="76786524" w14:textId="77777777" w:rsidR="008E5233" w:rsidRDefault="005648A9">
            <w:r>
              <w:t>Increase/(Decrease) in provisions</w:t>
            </w:r>
          </w:p>
        </w:tc>
        <w:tc>
          <w:tcPr>
            <w:tcW w:w="907" w:type="dxa"/>
          </w:tcPr>
          <w:p w14:paraId="03CD0460" w14:textId="77777777" w:rsidR="008E5233" w:rsidRDefault="005648A9">
            <w:pPr>
              <w:cnfStyle w:val="000000000000" w:firstRow="0" w:lastRow="0" w:firstColumn="0" w:lastColumn="0" w:oddVBand="0" w:evenVBand="0" w:oddHBand="0" w:evenHBand="0" w:firstRowFirstColumn="0" w:firstRowLastColumn="0" w:lastRowFirstColumn="0" w:lastRowLastColumn="0"/>
            </w:pPr>
            <w:r>
              <w:t>(4 673)</w:t>
            </w:r>
          </w:p>
        </w:tc>
        <w:tc>
          <w:tcPr>
            <w:tcW w:w="907" w:type="dxa"/>
          </w:tcPr>
          <w:p w14:paraId="6B2D98BC" w14:textId="77777777" w:rsidR="008E5233" w:rsidRDefault="005648A9">
            <w:pPr>
              <w:cnfStyle w:val="000000000000" w:firstRow="0" w:lastRow="0" w:firstColumn="0" w:lastColumn="0" w:oddVBand="0" w:evenVBand="0" w:oddHBand="0" w:evenHBand="0" w:firstRowFirstColumn="0" w:firstRowLastColumn="0" w:lastRowFirstColumn="0" w:lastRowLastColumn="0"/>
            </w:pPr>
            <w:r>
              <w:t>2 695</w:t>
            </w:r>
          </w:p>
        </w:tc>
      </w:tr>
      <w:tr w:rsidR="008E5233" w14:paraId="3E95F0C4"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BB00AB2" w14:textId="77777777" w:rsidR="008E5233" w:rsidRDefault="005648A9">
            <w:r>
              <w:t>Increase/(Decrease) in other liabilities</w:t>
            </w:r>
          </w:p>
        </w:tc>
        <w:tc>
          <w:tcPr>
            <w:tcW w:w="907" w:type="dxa"/>
            <w:tcBorders>
              <w:bottom w:val="single" w:sz="12" w:space="0" w:color="auto"/>
            </w:tcBorders>
          </w:tcPr>
          <w:p w14:paraId="3B972608" w14:textId="77777777" w:rsidR="008E5233" w:rsidRDefault="005648A9">
            <w:pPr>
              <w:cnfStyle w:val="000000000000" w:firstRow="0" w:lastRow="0" w:firstColumn="0" w:lastColumn="0" w:oddVBand="0" w:evenVBand="0" w:oddHBand="0" w:evenHBand="0" w:firstRowFirstColumn="0" w:firstRowLastColumn="0" w:lastRowFirstColumn="0" w:lastRowLastColumn="0"/>
            </w:pPr>
            <w:r>
              <w:t>(58)</w:t>
            </w:r>
          </w:p>
        </w:tc>
        <w:tc>
          <w:tcPr>
            <w:tcW w:w="907" w:type="dxa"/>
            <w:tcBorders>
              <w:bottom w:val="single" w:sz="12" w:space="0" w:color="auto"/>
            </w:tcBorders>
          </w:tcPr>
          <w:p w14:paraId="309AD2CE" w14:textId="77777777" w:rsidR="008E5233" w:rsidRDefault="005648A9">
            <w:pPr>
              <w:cnfStyle w:val="000000000000" w:firstRow="0" w:lastRow="0" w:firstColumn="0" w:lastColumn="0" w:oddVBand="0" w:evenVBand="0" w:oddHBand="0" w:evenHBand="0" w:firstRowFirstColumn="0" w:firstRowLastColumn="0" w:lastRowFirstColumn="0" w:lastRowLastColumn="0"/>
            </w:pPr>
            <w:r>
              <w:t>169</w:t>
            </w:r>
          </w:p>
        </w:tc>
      </w:tr>
      <w:tr w:rsidR="00671D55" w14:paraId="2C54E9ED"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942776E" w14:textId="77777777" w:rsidR="008E5233" w:rsidRDefault="005648A9">
            <w:r>
              <w:t>Net cash flows from/(used in) operating activities</w:t>
            </w:r>
          </w:p>
        </w:tc>
        <w:tc>
          <w:tcPr>
            <w:tcW w:w="907" w:type="dxa"/>
          </w:tcPr>
          <w:p w14:paraId="25EC83D7" w14:textId="4EC173DD" w:rsidR="008E5233" w:rsidRDefault="005648A9">
            <w:pPr>
              <w:cnfStyle w:val="000000000000" w:firstRow="0" w:lastRow="0" w:firstColumn="0" w:lastColumn="0" w:oddVBand="0" w:evenVBand="0" w:oddHBand="0" w:evenHBand="0" w:firstRowFirstColumn="0" w:firstRowLastColumn="0" w:lastRowFirstColumn="0" w:lastRowLastColumn="0"/>
            </w:pPr>
            <w:r>
              <w:t>1</w:t>
            </w:r>
            <w:r w:rsidR="00ED53F6">
              <w:t>1</w:t>
            </w:r>
            <w:r>
              <w:t xml:space="preserve"> </w:t>
            </w:r>
            <w:r w:rsidR="00ED53F6">
              <w:t>834</w:t>
            </w:r>
          </w:p>
        </w:tc>
        <w:tc>
          <w:tcPr>
            <w:tcW w:w="907" w:type="dxa"/>
          </w:tcPr>
          <w:p w14:paraId="7D8A9084" w14:textId="6E86CD95" w:rsidR="008E5233" w:rsidRDefault="005648A9">
            <w:pPr>
              <w:cnfStyle w:val="000000000000" w:firstRow="0" w:lastRow="0" w:firstColumn="0" w:lastColumn="0" w:oddVBand="0" w:evenVBand="0" w:oddHBand="0" w:evenHBand="0" w:firstRowFirstColumn="0" w:firstRowLastColumn="0" w:lastRowFirstColumn="0" w:lastRowLastColumn="0"/>
            </w:pPr>
            <w:r>
              <w:t xml:space="preserve">36 </w:t>
            </w:r>
            <w:r w:rsidR="00B07AE9">
              <w:t>74</w:t>
            </w:r>
            <w:r>
              <w:t>8</w:t>
            </w:r>
          </w:p>
        </w:tc>
      </w:tr>
    </w:tbl>
    <w:p w14:paraId="1BA1FBC3" w14:textId="165C50AC" w:rsidR="003719CD" w:rsidRDefault="003719CD" w:rsidP="00DC39DE">
      <w:r w:rsidRPr="00833270">
        <w:rPr>
          <w:b/>
          <w:bCs/>
        </w:rPr>
        <w:t>Assumption of liabilities</w:t>
      </w:r>
      <w:r>
        <w:t xml:space="preserve">: </w:t>
      </w:r>
      <w:r w:rsidR="00E43E4D">
        <w:t>D</w:t>
      </w:r>
      <w:r>
        <w:t>uring the reporting period the Department assumed the liabilities of Westlake Centre for Vaccine Research amounting to $825 000 (</w:t>
      </w:r>
      <w:fldSimple w:instr="DOCPROPERTY  YearPrevious  \* MERGEFORMAT">
        <w:r w:rsidR="00A545BA">
          <w:t>20X1</w:t>
        </w:r>
      </w:fldSimple>
      <w:r>
        <w:t>: $nil). The assumption of these liabilities is not reflected in the cash flow statement.</w:t>
      </w:r>
    </w:p>
    <w:p w14:paraId="304419BE" w14:textId="6E8F8A68" w:rsidR="003719CD" w:rsidRDefault="003719CD" w:rsidP="00DC39DE">
      <w:r w:rsidRPr="00833270">
        <w:rPr>
          <w:b/>
          <w:bCs/>
        </w:rPr>
        <w:t>Restructuring of administrative arrangements</w:t>
      </w:r>
      <w:r>
        <w:t xml:space="preserve">: </w:t>
      </w:r>
      <w:r w:rsidR="00E43E4D">
        <w:t>T</w:t>
      </w:r>
      <w:r>
        <w:t>his administrative restructuring is not reflected in the cash flow statement.</w:t>
      </w:r>
    </w:p>
    <w:p w14:paraId="3F9C66D0" w14:textId="77777777" w:rsidR="003719CD" w:rsidRDefault="003719CD" w:rsidP="00DC39DE"/>
    <w:p w14:paraId="6E211CC4" w14:textId="77777777" w:rsidR="003719CD" w:rsidRDefault="003719CD" w:rsidP="007D536F">
      <w:pPr>
        <w:pStyle w:val="GuidanceBlockHeading"/>
      </w:pPr>
      <w:r>
        <w:t>Guidance – Cash flow balances and information</w:t>
      </w:r>
    </w:p>
    <w:p w14:paraId="075977EE" w14:textId="77777777" w:rsidR="003719CD" w:rsidRPr="00833270" w:rsidRDefault="003719CD" w:rsidP="007D536F">
      <w:pPr>
        <w:rPr>
          <w:rStyle w:val="Guidance"/>
        </w:rPr>
      </w:pPr>
      <w:r w:rsidRPr="00833270">
        <w:rPr>
          <w:rStyle w:val="Guidance"/>
        </w:rPr>
        <w:t xml:space="preserve">Investing and financing transactions that do not require the use of cash or cash equivalents shall be disclosed in the financial statements in a way that provides all the relevant information about these investing and financing activities. </w:t>
      </w:r>
      <w:r w:rsidRPr="00833270">
        <w:rPr>
          <w:rStyle w:val="Reference"/>
        </w:rPr>
        <w:t>[AASB 107.43]</w:t>
      </w:r>
    </w:p>
    <w:p w14:paraId="0E5A8828" w14:textId="77777777" w:rsidR="003719CD" w:rsidRPr="00833270" w:rsidRDefault="003719CD" w:rsidP="007D536F">
      <w:pPr>
        <w:rPr>
          <w:rStyle w:val="Guidance"/>
        </w:rPr>
      </w:pPr>
      <w:r w:rsidRPr="00833270">
        <w:rPr>
          <w:rStyle w:val="Guidance"/>
        </w:rPr>
        <w:t xml:space="preserve">Although not illustrated here, an entity shall disclose, together with commentary by management, the amount of significant cash and cash equivalent balances held by the entity that are not available for use by the entity, for example, cash related to trusts under management. </w:t>
      </w:r>
      <w:r w:rsidRPr="00833270">
        <w:rPr>
          <w:rStyle w:val="Reference"/>
        </w:rPr>
        <w:t>[AASB 107.48]</w:t>
      </w:r>
    </w:p>
    <w:p w14:paraId="42261DD4" w14:textId="77777777" w:rsidR="003719CD" w:rsidRDefault="003719CD" w:rsidP="007D536F">
      <w:pPr>
        <w:pStyle w:val="GuidanceEnd"/>
      </w:pPr>
    </w:p>
    <w:p w14:paraId="4B5329CD" w14:textId="77777777" w:rsidR="003719CD" w:rsidRDefault="003719CD" w:rsidP="007D536F">
      <w:pPr>
        <w:pStyle w:val="Caption"/>
      </w:pPr>
      <w:r>
        <w:t>Financing facilities [AASB 107.50]</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CF43E9" w14:paraId="7F0EE18B"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1F510487" w14:textId="77777777" w:rsidR="00CF43E9" w:rsidRDefault="00CF43E9" w:rsidP="00CF43E9">
            <w:pPr>
              <w:keepNext/>
            </w:pPr>
          </w:p>
        </w:tc>
        <w:tc>
          <w:tcPr>
            <w:tcW w:w="907" w:type="dxa"/>
          </w:tcPr>
          <w:p w14:paraId="0227763B" w14:textId="03F04D2B"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907" w:type="dxa"/>
          </w:tcPr>
          <w:p w14:paraId="3EEF57FA" w14:textId="3E053FDD" w:rsidR="00CF43E9" w:rsidRDefault="00CF43E9" w:rsidP="00CF43E9">
            <w:pPr>
              <w:keepNext/>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8E5233" w14:paraId="503601C2" w14:textId="77777777">
        <w:tc>
          <w:tcPr>
            <w:cnfStyle w:val="001000000000" w:firstRow="0" w:lastRow="0" w:firstColumn="1" w:lastColumn="0" w:oddVBand="0" w:evenVBand="0" w:oddHBand="0" w:evenHBand="0" w:firstRowFirstColumn="0" w:firstRowLastColumn="0" w:lastRowFirstColumn="0" w:lastRowLastColumn="0"/>
            <w:tcW w:w="7825" w:type="dxa"/>
          </w:tcPr>
          <w:p w14:paraId="78EF8C86" w14:textId="77777777" w:rsidR="008E5233" w:rsidRDefault="005648A9">
            <w:r>
              <w:rPr>
                <w:b/>
              </w:rPr>
              <w:t>Unsecured bank overdraft facility, reviewed annually and payable at call</w:t>
            </w:r>
          </w:p>
        </w:tc>
        <w:tc>
          <w:tcPr>
            <w:tcW w:w="907" w:type="dxa"/>
          </w:tcPr>
          <w:p w14:paraId="18EEFAC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3174EC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B63859C" w14:textId="77777777">
        <w:tc>
          <w:tcPr>
            <w:cnfStyle w:val="001000000000" w:firstRow="0" w:lastRow="0" w:firstColumn="1" w:lastColumn="0" w:oddVBand="0" w:evenVBand="0" w:oddHBand="0" w:evenHBand="0" w:firstRowFirstColumn="0" w:firstRowLastColumn="0" w:lastRowFirstColumn="0" w:lastRowLastColumn="0"/>
            <w:tcW w:w="7825" w:type="dxa"/>
          </w:tcPr>
          <w:p w14:paraId="42EE44AC" w14:textId="77777777" w:rsidR="008E5233" w:rsidRDefault="005648A9">
            <w:r>
              <w:t>Amount used</w:t>
            </w:r>
          </w:p>
        </w:tc>
        <w:tc>
          <w:tcPr>
            <w:tcW w:w="907" w:type="dxa"/>
          </w:tcPr>
          <w:p w14:paraId="49CD421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26E4540"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r>
      <w:tr w:rsidR="008E5233" w14:paraId="53D04ED1"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40997F2" w14:textId="77777777" w:rsidR="008E5233" w:rsidRDefault="005648A9">
            <w:r>
              <w:t>Amount unused</w:t>
            </w:r>
          </w:p>
        </w:tc>
        <w:tc>
          <w:tcPr>
            <w:tcW w:w="907" w:type="dxa"/>
            <w:tcBorders>
              <w:bottom w:val="single" w:sz="12" w:space="0" w:color="auto"/>
            </w:tcBorders>
          </w:tcPr>
          <w:p w14:paraId="2F171CCC" w14:textId="77777777" w:rsidR="008E5233" w:rsidRDefault="005648A9">
            <w:pPr>
              <w:cnfStyle w:val="000000000000" w:firstRow="0" w:lastRow="0" w:firstColumn="0" w:lastColumn="0" w:oddVBand="0" w:evenVBand="0" w:oddHBand="0" w:evenHBand="0" w:firstRowFirstColumn="0" w:firstRowLastColumn="0" w:lastRowFirstColumn="0" w:lastRowLastColumn="0"/>
            </w:pPr>
            <w:r>
              <w:t>10 000</w:t>
            </w:r>
          </w:p>
        </w:tc>
        <w:tc>
          <w:tcPr>
            <w:tcW w:w="907" w:type="dxa"/>
            <w:tcBorders>
              <w:bottom w:val="single" w:sz="12" w:space="0" w:color="auto"/>
            </w:tcBorders>
          </w:tcPr>
          <w:p w14:paraId="24B87795" w14:textId="77777777" w:rsidR="008E5233" w:rsidRDefault="005648A9">
            <w:pPr>
              <w:cnfStyle w:val="000000000000" w:firstRow="0" w:lastRow="0" w:firstColumn="0" w:lastColumn="0" w:oddVBand="0" w:evenVBand="0" w:oddHBand="0" w:evenHBand="0" w:firstRowFirstColumn="0" w:firstRowLastColumn="0" w:lastRowFirstColumn="0" w:lastRowLastColumn="0"/>
            </w:pPr>
            <w:r>
              <w:t>4 563</w:t>
            </w:r>
          </w:p>
        </w:tc>
      </w:tr>
      <w:tr w:rsidR="00671D55" w14:paraId="7E210FCA"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796C90E6" w14:textId="77777777" w:rsidR="008E5233" w:rsidRDefault="005648A9">
            <w:r>
              <w:rPr>
                <w:b/>
              </w:rPr>
              <w:t>Total</w:t>
            </w:r>
          </w:p>
        </w:tc>
        <w:tc>
          <w:tcPr>
            <w:tcW w:w="907" w:type="dxa"/>
          </w:tcPr>
          <w:p w14:paraId="54FFB3C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10 000</w:t>
            </w:r>
          </w:p>
        </w:tc>
        <w:tc>
          <w:tcPr>
            <w:tcW w:w="907" w:type="dxa"/>
          </w:tcPr>
          <w:p w14:paraId="709FB1A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10 000</w:t>
            </w:r>
          </w:p>
        </w:tc>
      </w:tr>
      <w:tr w:rsidR="00671D55" w14:paraId="05947617"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1F8A0C67" w14:textId="630C8E5D" w:rsidR="008E5233" w:rsidRDefault="005648A9">
            <w:r>
              <w:rPr>
                <w:b/>
              </w:rPr>
              <w:t>Unsecured loan facilities with various maturity dates through to 20X1</w:t>
            </w:r>
            <w:r>
              <w:rPr>
                <w:b/>
              </w:rPr>
              <w:noBreakHyphen/>
              <w:t>20 and which may be extended by mutual agreement</w:t>
            </w:r>
          </w:p>
        </w:tc>
        <w:tc>
          <w:tcPr>
            <w:tcW w:w="907" w:type="dxa"/>
          </w:tcPr>
          <w:p w14:paraId="0E0A924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69B67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00F0A45C" w14:textId="77777777">
        <w:tc>
          <w:tcPr>
            <w:cnfStyle w:val="001000000000" w:firstRow="0" w:lastRow="0" w:firstColumn="1" w:lastColumn="0" w:oddVBand="0" w:evenVBand="0" w:oddHBand="0" w:evenHBand="0" w:firstRowFirstColumn="0" w:firstRowLastColumn="0" w:lastRowFirstColumn="0" w:lastRowLastColumn="0"/>
            <w:tcW w:w="7825" w:type="dxa"/>
          </w:tcPr>
          <w:p w14:paraId="7878C296" w14:textId="77777777" w:rsidR="008E5233" w:rsidRDefault="005648A9">
            <w:r>
              <w:t>Amount used</w:t>
            </w:r>
          </w:p>
        </w:tc>
        <w:tc>
          <w:tcPr>
            <w:tcW w:w="907" w:type="dxa"/>
          </w:tcPr>
          <w:p w14:paraId="4BCDEF39" w14:textId="77777777" w:rsidR="008E5233" w:rsidRDefault="005648A9">
            <w:pPr>
              <w:cnfStyle w:val="000000000000" w:firstRow="0" w:lastRow="0" w:firstColumn="0" w:lastColumn="0" w:oddVBand="0" w:evenVBand="0" w:oddHBand="0" w:evenHBand="0" w:firstRowFirstColumn="0" w:firstRowLastColumn="0" w:lastRowFirstColumn="0" w:lastRowLastColumn="0"/>
            </w:pPr>
            <w:r>
              <w:t>53 814</w:t>
            </w:r>
          </w:p>
        </w:tc>
        <w:tc>
          <w:tcPr>
            <w:tcW w:w="907" w:type="dxa"/>
          </w:tcPr>
          <w:p w14:paraId="365F4BED" w14:textId="77777777" w:rsidR="008E5233" w:rsidRDefault="005648A9">
            <w:pPr>
              <w:cnfStyle w:val="000000000000" w:firstRow="0" w:lastRow="0" w:firstColumn="0" w:lastColumn="0" w:oddVBand="0" w:evenVBand="0" w:oddHBand="0" w:evenHBand="0" w:firstRowFirstColumn="0" w:firstRowLastColumn="0" w:lastRowFirstColumn="0" w:lastRowLastColumn="0"/>
            </w:pPr>
            <w:r>
              <w:t>39 724</w:t>
            </w:r>
          </w:p>
        </w:tc>
      </w:tr>
      <w:tr w:rsidR="008E5233" w14:paraId="5BD58450"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2ADE080F" w14:textId="77777777" w:rsidR="008E5233" w:rsidRDefault="005648A9">
            <w:r>
              <w:t>Amount unused</w:t>
            </w:r>
          </w:p>
        </w:tc>
        <w:tc>
          <w:tcPr>
            <w:tcW w:w="907" w:type="dxa"/>
            <w:tcBorders>
              <w:bottom w:val="single" w:sz="12" w:space="0" w:color="auto"/>
            </w:tcBorders>
          </w:tcPr>
          <w:p w14:paraId="22E7E87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5CEDBD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5C2E3470"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2941DD1C" w14:textId="77777777" w:rsidR="008E5233" w:rsidRDefault="005648A9">
            <w:r>
              <w:rPr>
                <w:b/>
              </w:rPr>
              <w:t>Total</w:t>
            </w:r>
          </w:p>
        </w:tc>
        <w:tc>
          <w:tcPr>
            <w:tcW w:w="907" w:type="dxa"/>
          </w:tcPr>
          <w:p w14:paraId="5ECC522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53 814</w:t>
            </w:r>
          </w:p>
        </w:tc>
        <w:tc>
          <w:tcPr>
            <w:tcW w:w="907" w:type="dxa"/>
          </w:tcPr>
          <w:p w14:paraId="5F78EAA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39 724</w:t>
            </w:r>
          </w:p>
        </w:tc>
      </w:tr>
    </w:tbl>
    <w:p w14:paraId="7CC8A5A6" w14:textId="77777777" w:rsidR="003719CD" w:rsidRDefault="003719CD" w:rsidP="00A80494">
      <w:pPr>
        <w:pStyle w:val="Heading2numbered"/>
      </w:pPr>
      <w:bookmarkStart w:id="103" w:name="_Toc96704977"/>
      <w:bookmarkStart w:id="104" w:name="_Toc130225986"/>
      <w:bookmarkStart w:id="105" w:name="_Toc64983170"/>
      <w:r>
        <w:lastRenderedPageBreak/>
        <w:t>Trust account balances</w:t>
      </w:r>
      <w:bookmarkEnd w:id="103"/>
      <w:bookmarkEnd w:id="104"/>
      <w:bookmarkEnd w:id="105"/>
    </w:p>
    <w:p w14:paraId="3887D8B3" w14:textId="28116D68" w:rsidR="003719CD" w:rsidRDefault="003719CD" w:rsidP="007D536F">
      <w:pPr>
        <w:pStyle w:val="Caption"/>
        <w:rPr>
          <w:vertAlign w:val="superscript"/>
        </w:rPr>
      </w:pPr>
      <w:r>
        <w:t xml:space="preserve">Trust account balances relating to trust accounts controlled and/or administered by the Department </w:t>
      </w:r>
      <w:r w:rsidRPr="005B4836">
        <w:rPr>
          <w:vertAlign w:val="superscript"/>
        </w:rPr>
        <w:t>(a)</w:t>
      </w:r>
    </w:p>
    <w:p w14:paraId="3F9EF3B7" w14:textId="425E38C6" w:rsidR="00364F64" w:rsidRPr="00364F64" w:rsidRDefault="00364F64" w:rsidP="00364F64">
      <w:pPr>
        <w:pStyle w:val="TableUnits"/>
      </w:pPr>
      <w:r>
        <w:t>($ thousand)</w:t>
      </w:r>
    </w:p>
    <w:tbl>
      <w:tblPr>
        <w:tblStyle w:val="DTFTable"/>
        <w:tblW w:w="9638" w:type="dxa"/>
        <w:tblLayout w:type="fixed"/>
        <w:tblLook w:val="06A0" w:firstRow="1" w:lastRow="0" w:firstColumn="1" w:lastColumn="0" w:noHBand="1" w:noVBand="1"/>
      </w:tblPr>
      <w:tblGrid>
        <w:gridCol w:w="2212"/>
        <w:gridCol w:w="1092"/>
        <w:gridCol w:w="700"/>
        <w:gridCol w:w="812"/>
        <w:gridCol w:w="1105"/>
        <w:gridCol w:w="1092"/>
        <w:gridCol w:w="700"/>
        <w:gridCol w:w="812"/>
        <w:gridCol w:w="1113"/>
      </w:tblGrid>
      <w:tr w:rsidR="00CF43E9" w14:paraId="47924DCE" w14:textId="77777777" w:rsidTr="00790B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12" w:type="dxa"/>
          </w:tcPr>
          <w:p w14:paraId="6D6927E9" w14:textId="386FF074" w:rsidR="00CF43E9" w:rsidRDefault="00CF43E9" w:rsidP="00CF43E9">
            <w:pPr>
              <w:keepNext/>
            </w:pPr>
          </w:p>
        </w:tc>
        <w:tc>
          <w:tcPr>
            <w:tcW w:w="3709" w:type="dxa"/>
            <w:gridSpan w:val="4"/>
          </w:tcPr>
          <w:p w14:paraId="33213E9E" w14:textId="33A032F9" w:rsidR="00CF43E9" w:rsidRDefault="00CF43E9" w:rsidP="00CF43E9">
            <w:pPr>
              <w:keepNext/>
              <w:jc w:val="center"/>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YearCurrent \* MERGEFORMAT</w:instrText>
            </w:r>
            <w:r w:rsidRPr="00356B9C">
              <w:rPr>
                <w:iCs/>
              </w:rPr>
              <w:fldChar w:fldCharType="separate"/>
            </w:r>
            <w:r w:rsidRPr="00356B9C">
              <w:rPr>
                <w:bCs w:val="0"/>
                <w:iCs/>
              </w:rPr>
              <w:t>20X2</w:t>
            </w:r>
            <w:r w:rsidRPr="00356B9C">
              <w:rPr>
                <w:iCs/>
              </w:rPr>
              <w:fldChar w:fldCharType="end"/>
            </w:r>
          </w:p>
        </w:tc>
        <w:tc>
          <w:tcPr>
            <w:tcW w:w="3717" w:type="dxa"/>
            <w:gridSpan w:val="4"/>
            <w:tcBorders>
              <w:bottom w:val="single" w:sz="6" w:space="0" w:color="FFFFFF" w:themeColor="background1"/>
            </w:tcBorders>
          </w:tcPr>
          <w:p w14:paraId="24B825E3" w14:textId="096CE2BA" w:rsidR="00CF43E9" w:rsidRDefault="00CF43E9" w:rsidP="00CF43E9">
            <w:pPr>
              <w:keepNext/>
              <w:jc w:val="center"/>
              <w:cnfStyle w:val="100000000000" w:firstRow="1" w:lastRow="0" w:firstColumn="0" w:lastColumn="0" w:oddVBand="0" w:evenVBand="0" w:oddHBand="0" w:evenHBand="0" w:firstRowFirstColumn="0" w:firstRowLastColumn="0" w:lastRowFirstColumn="0" w:lastRowLastColumn="0"/>
            </w:pPr>
            <w:r w:rsidRPr="00356B9C">
              <w:rPr>
                <w:iCs/>
              </w:rPr>
              <w:fldChar w:fldCharType="begin"/>
            </w:r>
            <w:r w:rsidRPr="00356B9C">
              <w:rPr>
                <w:bCs w:val="0"/>
                <w:iCs/>
              </w:rPr>
              <w:instrText>DOCPROPERTY  YearPrevious  \* MERGEFORMAT</w:instrText>
            </w:r>
            <w:r w:rsidRPr="00356B9C">
              <w:rPr>
                <w:iCs/>
              </w:rPr>
              <w:fldChar w:fldCharType="separate"/>
            </w:r>
            <w:r w:rsidRPr="00356B9C">
              <w:rPr>
                <w:bCs w:val="0"/>
                <w:iCs/>
              </w:rPr>
              <w:t>20X1</w:t>
            </w:r>
            <w:r w:rsidRPr="00356B9C">
              <w:rPr>
                <w:iCs/>
              </w:rPr>
              <w:fldChar w:fldCharType="end"/>
            </w:r>
          </w:p>
        </w:tc>
      </w:tr>
      <w:tr w:rsidR="005648A9" w14:paraId="6139E7B5" w14:textId="77777777" w:rsidTr="00790B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12" w:type="dxa"/>
          </w:tcPr>
          <w:p w14:paraId="52BFB798" w14:textId="77777777" w:rsidR="008E5233" w:rsidRDefault="005648A9">
            <w:pPr>
              <w:keepNext/>
            </w:pPr>
            <w:r>
              <w:t>Cash and cash equivalents and investments</w:t>
            </w:r>
          </w:p>
        </w:tc>
        <w:tc>
          <w:tcPr>
            <w:tcW w:w="1092" w:type="dxa"/>
          </w:tcPr>
          <w:p w14:paraId="1FF3214E" w14:textId="29513F72" w:rsidR="008E5233" w:rsidRDefault="005648A9">
            <w:pPr>
              <w:keepNext/>
              <w:cnfStyle w:val="100000000000" w:firstRow="1" w:lastRow="0" w:firstColumn="0" w:lastColumn="0" w:oddVBand="0" w:evenVBand="0" w:oddHBand="0" w:evenHBand="0" w:firstRowFirstColumn="0" w:firstRowLastColumn="0" w:lastRowFirstColumn="0" w:lastRowLastColumn="0"/>
            </w:pPr>
            <w:r>
              <w:t>Opening balance as at</w:t>
            </w:r>
            <w:r w:rsidR="00746815">
              <w:br/>
            </w:r>
            <w:r w:rsidR="00746815" w:rsidRPr="00746815">
              <w:t xml:space="preserve">1 July </w:t>
            </w:r>
            <w:fldSimple w:instr="DOCPROPERTY  YearPrevious  \* MERGEFORMAT">
              <w:r w:rsidR="00000FBD">
                <w:rPr>
                  <w:lang w:val="en-US"/>
                </w:rPr>
                <w:t>20X1</w:t>
              </w:r>
            </w:fldSimple>
          </w:p>
        </w:tc>
        <w:tc>
          <w:tcPr>
            <w:tcW w:w="700" w:type="dxa"/>
          </w:tcPr>
          <w:p w14:paraId="4D517411"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receipts</w:t>
            </w:r>
          </w:p>
        </w:tc>
        <w:tc>
          <w:tcPr>
            <w:tcW w:w="812" w:type="dxa"/>
          </w:tcPr>
          <w:p w14:paraId="48DE9BF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payments</w:t>
            </w:r>
          </w:p>
        </w:tc>
        <w:tc>
          <w:tcPr>
            <w:tcW w:w="1105" w:type="dxa"/>
          </w:tcPr>
          <w:p w14:paraId="1F136E17" w14:textId="2D1F516B" w:rsidR="008E5233" w:rsidRDefault="005648A9">
            <w:pPr>
              <w:keepNext/>
              <w:cnfStyle w:val="100000000000" w:firstRow="1" w:lastRow="0" w:firstColumn="0" w:lastColumn="0" w:oddVBand="0" w:evenVBand="0" w:oddHBand="0" w:evenHBand="0" w:firstRowFirstColumn="0" w:firstRowLastColumn="0" w:lastRowFirstColumn="0" w:lastRowLastColumn="0"/>
            </w:pPr>
            <w:r>
              <w:t xml:space="preserve">Closing balance as at 30 June </w:t>
            </w:r>
            <w:fldSimple w:instr="DOCPROPERTY  YearCurrent \* MERGEFORMAT">
              <w:r w:rsidR="00000FBD">
                <w:t>20X2</w:t>
              </w:r>
            </w:fldSimple>
          </w:p>
        </w:tc>
        <w:tc>
          <w:tcPr>
            <w:tcW w:w="1092" w:type="dxa"/>
            <w:tcBorders>
              <w:top w:val="single" w:sz="6" w:space="0" w:color="FFFFFF" w:themeColor="background1"/>
            </w:tcBorders>
          </w:tcPr>
          <w:p w14:paraId="477323C6" w14:textId="73D14F97" w:rsidR="008E5233" w:rsidRDefault="005648A9">
            <w:pPr>
              <w:keepNext/>
              <w:cnfStyle w:val="100000000000" w:firstRow="1" w:lastRow="0" w:firstColumn="0" w:lastColumn="0" w:oddVBand="0" w:evenVBand="0" w:oddHBand="0" w:evenHBand="0" w:firstRowFirstColumn="0" w:firstRowLastColumn="0" w:lastRowFirstColumn="0" w:lastRowLastColumn="0"/>
            </w:pPr>
            <w:r>
              <w:t>Opening balance as at</w:t>
            </w:r>
            <w:r w:rsidR="00746815">
              <w:br/>
            </w:r>
            <w:r w:rsidR="00746815" w:rsidRPr="00746815">
              <w:t>1 July 20X0</w:t>
            </w:r>
          </w:p>
        </w:tc>
        <w:tc>
          <w:tcPr>
            <w:tcW w:w="700" w:type="dxa"/>
            <w:tcBorders>
              <w:top w:val="single" w:sz="6" w:space="0" w:color="FFFFFF" w:themeColor="background1"/>
            </w:tcBorders>
          </w:tcPr>
          <w:p w14:paraId="27303E5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receipts</w:t>
            </w:r>
          </w:p>
        </w:tc>
        <w:tc>
          <w:tcPr>
            <w:tcW w:w="812" w:type="dxa"/>
            <w:tcBorders>
              <w:top w:val="single" w:sz="6" w:space="0" w:color="FFFFFF" w:themeColor="background1"/>
            </w:tcBorders>
          </w:tcPr>
          <w:p w14:paraId="00D48087"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Total payments</w:t>
            </w:r>
          </w:p>
        </w:tc>
        <w:tc>
          <w:tcPr>
            <w:tcW w:w="1113" w:type="dxa"/>
            <w:tcBorders>
              <w:top w:val="single" w:sz="6" w:space="0" w:color="FFFFFF" w:themeColor="background1"/>
            </w:tcBorders>
          </w:tcPr>
          <w:p w14:paraId="73536440" w14:textId="4FB60830" w:rsidR="008E5233" w:rsidRDefault="005648A9">
            <w:pPr>
              <w:keepNext/>
              <w:cnfStyle w:val="100000000000" w:firstRow="1" w:lastRow="0" w:firstColumn="0" w:lastColumn="0" w:oddVBand="0" w:evenVBand="0" w:oddHBand="0" w:evenHBand="0" w:firstRowFirstColumn="0" w:firstRowLastColumn="0" w:lastRowFirstColumn="0" w:lastRowLastColumn="0"/>
            </w:pPr>
            <w:r>
              <w:t>Closing balance as at</w:t>
            </w:r>
            <w:r w:rsidR="00746815">
              <w:br/>
            </w:r>
            <w:r w:rsidR="00746815" w:rsidRPr="00746815">
              <w:t xml:space="preserve">30 June </w:t>
            </w:r>
            <w:fldSimple w:instr="DOCPROPERTY  YearPrevious  \* MERGEFORMAT">
              <w:r w:rsidR="00000FBD">
                <w:rPr>
                  <w:lang w:val="en-US"/>
                </w:rPr>
                <w:t>20X1</w:t>
              </w:r>
            </w:fldSimple>
          </w:p>
        </w:tc>
      </w:tr>
      <w:tr w:rsidR="008E5233" w14:paraId="12005958"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4214B934" w14:textId="77777777" w:rsidR="008E5233" w:rsidRDefault="005648A9">
            <w:r>
              <w:rPr>
                <w:b/>
              </w:rPr>
              <w:t>Controlled trusts</w:t>
            </w:r>
          </w:p>
        </w:tc>
        <w:tc>
          <w:tcPr>
            <w:tcW w:w="1092" w:type="dxa"/>
          </w:tcPr>
          <w:p w14:paraId="3011EA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3A644F6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5460AF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5B20621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045F6EC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5C28EBF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28F1DE6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61EE67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7F52BDC"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270306E" w14:textId="77777777" w:rsidR="008E5233" w:rsidRDefault="005648A9">
            <w:r>
              <w:t>[Title of Trust 1]</w:t>
            </w:r>
          </w:p>
        </w:tc>
        <w:tc>
          <w:tcPr>
            <w:tcW w:w="1092" w:type="dxa"/>
          </w:tcPr>
          <w:p w14:paraId="14FEACE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093CC61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B87E02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6AE3D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0571F78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0032DAD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3A02B5F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150C67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0E856A7"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3A05B1C" w14:textId="77777777" w:rsidR="008E5233" w:rsidRDefault="005648A9">
            <w:r>
              <w:t>[include legislative reference and nature and purpose for which Trust 1 was created.]</w:t>
            </w:r>
          </w:p>
        </w:tc>
        <w:tc>
          <w:tcPr>
            <w:tcW w:w="1092" w:type="dxa"/>
          </w:tcPr>
          <w:p w14:paraId="29D3FFE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450C829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0BFA3CD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19FBB14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67CC059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18FE8EA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78B363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1501CB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DE42CAB"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6C50E8C8" w14:textId="77777777" w:rsidR="008E5233" w:rsidRDefault="005648A9">
            <w:r>
              <w:t>[Title of Trust 2]</w:t>
            </w:r>
          </w:p>
        </w:tc>
        <w:tc>
          <w:tcPr>
            <w:tcW w:w="1092" w:type="dxa"/>
          </w:tcPr>
          <w:p w14:paraId="76FF2FA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36D2F2F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55BF4EC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273E4E3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1C4A40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67A32A9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79A5D41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69C5A1F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0F6EBF1"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bottom w:val="single" w:sz="12" w:space="0" w:color="auto"/>
            </w:tcBorders>
          </w:tcPr>
          <w:p w14:paraId="15927A16" w14:textId="77777777" w:rsidR="008E5233" w:rsidRDefault="005648A9">
            <w:r>
              <w:t>[include legislative reference and nature and purpose for which Trust 2 was created.]</w:t>
            </w:r>
          </w:p>
        </w:tc>
        <w:tc>
          <w:tcPr>
            <w:tcW w:w="1092" w:type="dxa"/>
            <w:tcBorders>
              <w:bottom w:val="single" w:sz="12" w:space="0" w:color="auto"/>
            </w:tcBorders>
          </w:tcPr>
          <w:p w14:paraId="2F6248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6894890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2558F48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Borders>
              <w:bottom w:val="single" w:sz="12" w:space="0" w:color="auto"/>
            </w:tcBorders>
          </w:tcPr>
          <w:p w14:paraId="60AADBD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bottom w:val="single" w:sz="12" w:space="0" w:color="auto"/>
            </w:tcBorders>
          </w:tcPr>
          <w:p w14:paraId="15C031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093BB5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52B8EB5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12" w:space="0" w:color="auto"/>
            </w:tcBorders>
          </w:tcPr>
          <w:p w14:paraId="1B29E30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671D55" w14:paraId="2564C627"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0BC64E14" w14:textId="77777777" w:rsidR="008E5233" w:rsidRDefault="005648A9">
            <w:r>
              <w:rPr>
                <w:b/>
              </w:rPr>
              <w:t>Total controlled trusts</w:t>
            </w:r>
          </w:p>
        </w:tc>
        <w:tc>
          <w:tcPr>
            <w:tcW w:w="1092" w:type="dxa"/>
          </w:tcPr>
          <w:p w14:paraId="51ADFA5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1A6A4B8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7AE0450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Pr>
          <w:p w14:paraId="08C5B06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Pr>
          <w:p w14:paraId="230C5CF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2C5766D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3012252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13" w:type="dxa"/>
          </w:tcPr>
          <w:p w14:paraId="4327D5C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r w:rsidR="00671D55" w14:paraId="330D0459"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D1A0E2C" w14:textId="77777777" w:rsidR="008E5233" w:rsidRDefault="005648A9">
            <w:r>
              <w:rPr>
                <w:b/>
              </w:rPr>
              <w:t>Administered trusts</w:t>
            </w:r>
          </w:p>
        </w:tc>
        <w:tc>
          <w:tcPr>
            <w:tcW w:w="1092" w:type="dxa"/>
          </w:tcPr>
          <w:p w14:paraId="2B9E799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79AB53E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CBE615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6EA8344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45EA1EB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41A969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1B342E7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3BE6C27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D929AA3"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35B19B45" w14:textId="77777777" w:rsidR="008E5233" w:rsidRDefault="005648A9">
            <w:r>
              <w:t>[Title of Trust 3]</w:t>
            </w:r>
          </w:p>
        </w:tc>
        <w:tc>
          <w:tcPr>
            <w:tcW w:w="1092" w:type="dxa"/>
          </w:tcPr>
          <w:p w14:paraId="799E6CF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4DC679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52369B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40297B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4282A4A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8F2EFA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0AE0F6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7351A0C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B50B612"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1C4321AE" w14:textId="77777777" w:rsidR="008E5233" w:rsidRDefault="005648A9">
            <w:r>
              <w:t>[include legislative reference and nature and purpose for which Trust 3 was created.]</w:t>
            </w:r>
          </w:p>
        </w:tc>
        <w:tc>
          <w:tcPr>
            <w:tcW w:w="1092" w:type="dxa"/>
          </w:tcPr>
          <w:p w14:paraId="566FC81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195CA0F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1198899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Pr>
          <w:p w14:paraId="23E40A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Pr>
          <w:p w14:paraId="7E60842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Pr>
          <w:p w14:paraId="57BACA6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Pr>
          <w:p w14:paraId="33F46D9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Pr>
          <w:p w14:paraId="431E452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6A6D0C8"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6265D1DD" w14:textId="77777777" w:rsidR="008E5233" w:rsidRDefault="005648A9">
            <w:r>
              <w:t>[Title of Trust 4]</w:t>
            </w:r>
          </w:p>
        </w:tc>
        <w:tc>
          <w:tcPr>
            <w:tcW w:w="1092" w:type="dxa"/>
          </w:tcPr>
          <w:p w14:paraId="7730F8E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CC9AC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4FDE464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05" w:type="dxa"/>
          </w:tcPr>
          <w:p w14:paraId="1D3B2A8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92" w:type="dxa"/>
          </w:tcPr>
          <w:p w14:paraId="01DA2B0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00" w:type="dxa"/>
          </w:tcPr>
          <w:p w14:paraId="29B1335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812" w:type="dxa"/>
          </w:tcPr>
          <w:p w14:paraId="0E0B3F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13" w:type="dxa"/>
          </w:tcPr>
          <w:p w14:paraId="609EC98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6211E86" w14:textId="77777777" w:rsidTr="005648A9">
        <w:tc>
          <w:tcPr>
            <w:cnfStyle w:val="001000000000" w:firstRow="0" w:lastRow="0" w:firstColumn="1" w:lastColumn="0" w:oddVBand="0" w:evenVBand="0" w:oddHBand="0" w:evenHBand="0" w:firstRowFirstColumn="0" w:firstRowLastColumn="0" w:lastRowFirstColumn="0" w:lastRowLastColumn="0"/>
            <w:tcW w:w="2212" w:type="dxa"/>
            <w:tcBorders>
              <w:bottom w:val="single" w:sz="12" w:space="0" w:color="auto"/>
            </w:tcBorders>
          </w:tcPr>
          <w:p w14:paraId="08A46918" w14:textId="77777777" w:rsidR="008E5233" w:rsidRDefault="005648A9">
            <w:r>
              <w:t>[include legislative reference and nature and purpose for which Trust 4 was created.]</w:t>
            </w:r>
          </w:p>
        </w:tc>
        <w:tc>
          <w:tcPr>
            <w:tcW w:w="1092" w:type="dxa"/>
            <w:tcBorders>
              <w:bottom w:val="single" w:sz="12" w:space="0" w:color="auto"/>
            </w:tcBorders>
          </w:tcPr>
          <w:p w14:paraId="2660686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5B930BF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333EF1E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05" w:type="dxa"/>
            <w:tcBorders>
              <w:bottom w:val="single" w:sz="12" w:space="0" w:color="auto"/>
            </w:tcBorders>
          </w:tcPr>
          <w:p w14:paraId="10D3D9D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92" w:type="dxa"/>
            <w:tcBorders>
              <w:bottom w:val="single" w:sz="12" w:space="0" w:color="auto"/>
            </w:tcBorders>
          </w:tcPr>
          <w:p w14:paraId="2A59685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700" w:type="dxa"/>
            <w:tcBorders>
              <w:bottom w:val="single" w:sz="12" w:space="0" w:color="auto"/>
            </w:tcBorders>
          </w:tcPr>
          <w:p w14:paraId="4304E43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812" w:type="dxa"/>
            <w:tcBorders>
              <w:bottom w:val="single" w:sz="12" w:space="0" w:color="auto"/>
            </w:tcBorders>
          </w:tcPr>
          <w:p w14:paraId="2DB4E40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13" w:type="dxa"/>
            <w:tcBorders>
              <w:bottom w:val="single" w:sz="12" w:space="0" w:color="auto"/>
            </w:tcBorders>
          </w:tcPr>
          <w:p w14:paraId="0F9DDC8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2AAD5FA" w14:textId="77777777" w:rsidTr="005648A9">
        <w:tc>
          <w:tcPr>
            <w:cnfStyle w:val="001000000000" w:firstRow="0" w:lastRow="0" w:firstColumn="1" w:lastColumn="0" w:oddVBand="0" w:evenVBand="0" w:oddHBand="0" w:evenHBand="0" w:firstRowFirstColumn="0" w:firstRowLastColumn="0" w:lastRowFirstColumn="0" w:lastRowLastColumn="0"/>
            <w:tcW w:w="2212" w:type="dxa"/>
          </w:tcPr>
          <w:p w14:paraId="2F9CD678" w14:textId="77777777" w:rsidR="008E5233" w:rsidRDefault="005648A9">
            <w:r>
              <w:rPr>
                <w:b/>
              </w:rPr>
              <w:t>Total administered trusts</w:t>
            </w:r>
          </w:p>
        </w:tc>
        <w:tc>
          <w:tcPr>
            <w:tcW w:w="1092" w:type="dxa"/>
          </w:tcPr>
          <w:p w14:paraId="2EDC80A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5C3F5B7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05A46F79"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05" w:type="dxa"/>
          </w:tcPr>
          <w:p w14:paraId="105531E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92" w:type="dxa"/>
          </w:tcPr>
          <w:p w14:paraId="2F672BB4"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700" w:type="dxa"/>
          </w:tcPr>
          <w:p w14:paraId="24045D4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812" w:type="dxa"/>
          </w:tcPr>
          <w:p w14:paraId="567A3751"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113" w:type="dxa"/>
          </w:tcPr>
          <w:p w14:paraId="29A8FAD0" w14:textId="39D6DCAB"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6070269B" w14:textId="77777777" w:rsidR="003719CD" w:rsidRDefault="003719CD" w:rsidP="007D536F">
      <w:pPr>
        <w:pStyle w:val="Note"/>
      </w:pPr>
      <w:r>
        <w:t>Note:</w:t>
      </w:r>
    </w:p>
    <w:p w14:paraId="4985E345" w14:textId="77777777" w:rsidR="003719CD" w:rsidRDefault="003719CD" w:rsidP="007D536F">
      <w:pPr>
        <w:pStyle w:val="Note"/>
      </w:pPr>
      <w:r>
        <w:t>(a)</w:t>
      </w:r>
      <w:r>
        <w:tab/>
        <w:t>This table is based on the Auditor General’s recommendation in report Portfolio Departments and Associated Entities: Results of the 2011–2012 Audits.</w:t>
      </w:r>
    </w:p>
    <w:p w14:paraId="56635F12" w14:textId="77777777" w:rsidR="003719CD" w:rsidRDefault="003719CD" w:rsidP="00C71296">
      <w:pPr>
        <w:spacing w:before="120"/>
      </w:pPr>
      <w:r>
        <w:t xml:space="preserve">The Department has responsibility for transactions and balances relating to trust funds held on behalf of third parties external to the Department. Funds managed on behalf of third parties are not recognised in the Department’s financial statements as they are managed on a fiduciary and custodial basis and therefore are not controlled by the Department. </w:t>
      </w:r>
    </w:p>
    <w:p w14:paraId="3D430962" w14:textId="7D92A08D" w:rsidR="003719CD" w:rsidRDefault="003719CD" w:rsidP="00C71296">
      <w:pPr>
        <w:spacing w:before="120"/>
      </w:pPr>
      <w:r>
        <w:t>The Department maintains three such trusts: the Biological Disaster Fund; the e</w:t>
      </w:r>
      <w:r w:rsidR="00E410F8">
        <w:t>-</w:t>
      </w:r>
      <w:r>
        <w:t xml:space="preserve">Technology Fund; and the International Network Association Fund. The Biological Disaster fund was transferred to the Department from the Department of Natural Resources under the Administrative Arrangements Order </w:t>
      </w:r>
      <w:r w:rsidRPr="005B4836">
        <w:rPr>
          <w:rStyle w:val="Guidance"/>
        </w:rPr>
        <w:t>[No.xxx]</w:t>
      </w:r>
      <w:r>
        <w:t xml:space="preserve"> 2018. </w:t>
      </w:r>
    </w:p>
    <w:p w14:paraId="4FCBD841" w14:textId="77777777" w:rsidR="003719CD" w:rsidRDefault="003719CD" w:rsidP="00C71296">
      <w:pPr>
        <w:spacing w:before="120"/>
      </w:pPr>
      <w:r>
        <w:t>Any earnings on the funds held pending distribution are also applied to the trust funds under management as appropriate.</w:t>
      </w:r>
    </w:p>
    <w:p w14:paraId="5A3425C8" w14:textId="77777777" w:rsidR="003719CD" w:rsidRDefault="003719CD" w:rsidP="007D536F">
      <w:pPr>
        <w:pStyle w:val="Heading3"/>
      </w:pPr>
      <w:r>
        <w:t>Biological Disaster Fund</w:t>
      </w:r>
    </w:p>
    <w:p w14:paraId="1D9A4047" w14:textId="2D69C431" w:rsidR="003719CD" w:rsidRDefault="003719CD" w:rsidP="00DC39DE">
      <w:r>
        <w:t xml:space="preserve">The Biological Disaster Fund account is held in trust for the beneficiaries, which include the individuals and communities affected by the </w:t>
      </w:r>
      <w:r w:rsidR="00DC0CA5" w:rsidRPr="00DC0CA5">
        <w:rPr>
          <w:rStyle w:val="Guidance"/>
        </w:rPr>
        <w:t>[year]</w:t>
      </w:r>
      <w:r>
        <w:t xml:space="preserve"> biological disaster. These funds are not controlled for the benefit of the Victorian Government. Accordingly, the fund is not presented as assets or income of the Department. </w:t>
      </w:r>
    </w:p>
    <w:p w14:paraId="41A0965F" w14:textId="77777777" w:rsidR="003719CD" w:rsidRDefault="003719CD" w:rsidP="007D536F">
      <w:pPr>
        <w:pStyle w:val="Heading3"/>
      </w:pPr>
      <w:r>
        <w:t>Establishment of the Biological Disaster Fund</w:t>
      </w:r>
    </w:p>
    <w:p w14:paraId="48B5854A" w14:textId="3CB8664C" w:rsidR="003719CD" w:rsidRDefault="003719CD" w:rsidP="00DC39DE">
      <w:r>
        <w:t xml:space="preserve">More than 11 towns and communities were devastated by the biological disaster in </w:t>
      </w:r>
      <w:r w:rsidR="008E312D" w:rsidRPr="008E312D">
        <w:rPr>
          <w:rStyle w:val="Guidance"/>
        </w:rPr>
        <w:t>[date]</w:t>
      </w:r>
      <w:r>
        <w:t xml:space="preserve">. In </w:t>
      </w:r>
      <w:r w:rsidR="008E312D" w:rsidRPr="008E312D">
        <w:rPr>
          <w:rStyle w:val="Guidance"/>
        </w:rPr>
        <w:t>[date]</w:t>
      </w:r>
      <w:r>
        <w:t xml:space="preserve">, the Victorian Government approved the establishment of the Biological Disaster Fund under section 19(1) of the </w:t>
      </w:r>
      <w:r w:rsidRPr="005B4836">
        <w:rPr>
          <w:i/>
          <w:iCs/>
        </w:rPr>
        <w:t>Financial Management Act 1994</w:t>
      </w:r>
      <w:r>
        <w:t>.</w:t>
      </w:r>
    </w:p>
    <w:p w14:paraId="76C74C5C" w14:textId="77777777" w:rsidR="003719CD" w:rsidRDefault="003719CD" w:rsidP="00DC39DE">
      <w:r>
        <w:t>The purpose of this trust fund is for the receipt of donations and other contributions, and their disbursement to assist individuals and communities in towns and rural areas affected by the biological disaster.</w:t>
      </w:r>
    </w:p>
    <w:p w14:paraId="56C95583" w14:textId="77777777" w:rsidR="003719CD" w:rsidRDefault="003719CD" w:rsidP="00DC39DE">
      <w:r>
        <w:t>Monies from the fund are distributed to individuals and communities through the Department at the direction of an independent advisory panel. Members of the advisory panel were appointed by the Victorian Government. The advisory panel was required to set rules and criteria for the making of payments from the trust fund. The advisory panel’s responsibilities are to guide, account for and report on the disbursement of monies from the trust fund.</w:t>
      </w:r>
    </w:p>
    <w:p w14:paraId="3324902A" w14:textId="77777777" w:rsidR="006146B3" w:rsidRDefault="006146B3" w:rsidP="00DC39DE"/>
    <w:p w14:paraId="04E2789B" w14:textId="77777777" w:rsidR="003719CD" w:rsidRDefault="003719CD" w:rsidP="007D536F">
      <w:pPr>
        <w:pStyle w:val="Caption"/>
      </w:pPr>
      <w:r>
        <w:lastRenderedPageBreak/>
        <w:t>Biological Disaster Fund</w:t>
      </w:r>
      <w:r>
        <w:tab/>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000FBD" w14:paraId="071B68A7" w14:textId="77777777" w:rsidTr="001B4DB2">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0ABA54F5" w14:textId="77777777" w:rsidR="00000FBD" w:rsidRDefault="00000FBD" w:rsidP="00000FBD">
            <w:pPr>
              <w:keepNext/>
              <w:jc w:val="left"/>
            </w:pPr>
            <w:r>
              <w:rPr>
                <w:color w:val="4472C4"/>
                <w:sz w:val="13"/>
              </w:rPr>
              <w:t>Source reference</w:t>
            </w:r>
          </w:p>
        </w:tc>
        <w:tc>
          <w:tcPr>
            <w:tcW w:w="6558" w:type="dxa"/>
          </w:tcPr>
          <w:p w14:paraId="2959F320" w14:textId="77777777" w:rsidR="00000FBD" w:rsidRDefault="00000FBD" w:rsidP="00000FBD">
            <w:pPr>
              <w:keepNext/>
              <w:jc w:val="left"/>
            </w:pPr>
          </w:p>
        </w:tc>
        <w:tc>
          <w:tcPr>
            <w:tcW w:w="866" w:type="dxa"/>
          </w:tcPr>
          <w:p w14:paraId="7AD0EE55" w14:textId="25F93F0C" w:rsidR="00000FBD" w:rsidRDefault="00000FBD" w:rsidP="00000FBD">
            <w:pPr>
              <w:keepNext/>
            </w:pPr>
            <w:r>
              <w:rPr>
                <w:iCs/>
              </w:rPr>
              <w:fldChar w:fldCharType="begin"/>
            </w:r>
            <w:r>
              <w:rPr>
                <w:i w:val="0"/>
                <w:iCs/>
              </w:rPr>
              <w:instrText>DOCPROPERTY  YearCurrent \* MERGEFORMAT</w:instrText>
            </w:r>
            <w:r>
              <w:rPr>
                <w:iCs/>
              </w:rPr>
              <w:fldChar w:fldCharType="separate"/>
            </w:r>
            <w:r>
              <w:rPr>
                <w:i w:val="0"/>
                <w:iCs/>
              </w:rPr>
              <w:t>20X2</w:t>
            </w:r>
            <w:r>
              <w:rPr>
                <w:iCs/>
              </w:rPr>
              <w:fldChar w:fldCharType="end"/>
            </w:r>
          </w:p>
        </w:tc>
        <w:tc>
          <w:tcPr>
            <w:tcW w:w="866" w:type="dxa"/>
          </w:tcPr>
          <w:p w14:paraId="3C543FAB" w14:textId="70F57E8F" w:rsidR="00000FBD" w:rsidRDefault="00000FBD" w:rsidP="00000FBD">
            <w:pPr>
              <w:keepNext/>
            </w:pPr>
            <w:r>
              <w:rPr>
                <w:iCs/>
              </w:rPr>
              <w:fldChar w:fldCharType="begin"/>
            </w:r>
            <w:r>
              <w:rPr>
                <w:i w:val="0"/>
                <w:iCs/>
              </w:rPr>
              <w:instrText>DOCPROPERTY  YearPrevious  \* MERGEFORMAT</w:instrText>
            </w:r>
            <w:r>
              <w:rPr>
                <w:iCs/>
              </w:rPr>
              <w:fldChar w:fldCharType="separate"/>
            </w:r>
            <w:r>
              <w:rPr>
                <w:i w:val="0"/>
                <w:iCs/>
              </w:rPr>
              <w:t>20X1</w:t>
            </w:r>
            <w:r>
              <w:rPr>
                <w:iCs/>
              </w:rPr>
              <w:fldChar w:fldCharType="end"/>
            </w:r>
          </w:p>
        </w:tc>
      </w:tr>
      <w:tr w:rsidR="006146B3" w14:paraId="4D7A7227" w14:textId="77777777" w:rsidTr="007F717E">
        <w:trPr>
          <w:trHeight w:val="304"/>
        </w:trPr>
        <w:tc>
          <w:tcPr>
            <w:tcW w:w="1349" w:type="dxa"/>
            <w:vMerge w:val="restart"/>
          </w:tcPr>
          <w:p w14:paraId="418A86DD" w14:textId="296DE306" w:rsidR="006146B3" w:rsidRDefault="006146B3">
            <w:pPr>
              <w:jc w:val="left"/>
            </w:pPr>
            <w:r>
              <w:rPr>
                <w:color w:val="4472C4"/>
                <w:sz w:val="13"/>
              </w:rPr>
              <w:t xml:space="preserve">Based on recommendation 6 in PAEC Report on the 2011 - 12 Budget Estimates – </w:t>
            </w:r>
            <w:r w:rsidR="00F66494">
              <w:rPr>
                <w:color w:val="4472C4"/>
                <w:sz w:val="13"/>
              </w:rPr>
              <w:t>Part one</w:t>
            </w:r>
          </w:p>
        </w:tc>
        <w:tc>
          <w:tcPr>
            <w:tcW w:w="6558" w:type="dxa"/>
          </w:tcPr>
          <w:p w14:paraId="7A64AEF6" w14:textId="77777777" w:rsidR="006146B3" w:rsidRDefault="006146B3">
            <w:pPr>
              <w:jc w:val="left"/>
            </w:pPr>
            <w:r>
              <w:t>Cash at bank</w:t>
            </w:r>
          </w:p>
        </w:tc>
        <w:tc>
          <w:tcPr>
            <w:tcW w:w="866" w:type="dxa"/>
          </w:tcPr>
          <w:p w14:paraId="03991C0A" w14:textId="77777777" w:rsidR="006146B3" w:rsidRDefault="006146B3">
            <w:r>
              <w:t>113</w:t>
            </w:r>
          </w:p>
        </w:tc>
        <w:tc>
          <w:tcPr>
            <w:tcW w:w="866" w:type="dxa"/>
          </w:tcPr>
          <w:p w14:paraId="23D56B19" w14:textId="77777777" w:rsidR="006146B3" w:rsidRDefault="006146B3">
            <w:r>
              <w:t>249</w:t>
            </w:r>
          </w:p>
        </w:tc>
      </w:tr>
      <w:tr w:rsidR="006146B3" w14:paraId="2F770AA4" w14:textId="77777777" w:rsidTr="001B4DB2">
        <w:tc>
          <w:tcPr>
            <w:tcW w:w="1349" w:type="dxa"/>
            <w:vMerge/>
          </w:tcPr>
          <w:p w14:paraId="6D7A145D" w14:textId="77777777" w:rsidR="006146B3" w:rsidRDefault="006146B3">
            <w:pPr>
              <w:jc w:val="left"/>
            </w:pPr>
          </w:p>
        </w:tc>
        <w:tc>
          <w:tcPr>
            <w:tcW w:w="6558" w:type="dxa"/>
          </w:tcPr>
          <w:p w14:paraId="7F6C1796" w14:textId="77777777" w:rsidR="006146B3" w:rsidRDefault="006146B3">
            <w:pPr>
              <w:jc w:val="left"/>
            </w:pPr>
            <w:r>
              <w:t>Less amounts pending payments</w:t>
            </w:r>
          </w:p>
        </w:tc>
        <w:tc>
          <w:tcPr>
            <w:tcW w:w="866" w:type="dxa"/>
          </w:tcPr>
          <w:p w14:paraId="70D1D398" w14:textId="77777777" w:rsidR="006146B3" w:rsidRDefault="006146B3">
            <w:r>
              <w:t>(2)</w:t>
            </w:r>
          </w:p>
        </w:tc>
        <w:tc>
          <w:tcPr>
            <w:tcW w:w="866" w:type="dxa"/>
          </w:tcPr>
          <w:p w14:paraId="3CAF6308" w14:textId="77777777" w:rsidR="006146B3" w:rsidRDefault="006146B3">
            <w:r>
              <w:t>(10)</w:t>
            </w:r>
          </w:p>
        </w:tc>
      </w:tr>
      <w:tr w:rsidR="006146B3" w14:paraId="44DCBC4C" w14:textId="77777777" w:rsidTr="001B4DB2">
        <w:tc>
          <w:tcPr>
            <w:tcW w:w="1349" w:type="dxa"/>
            <w:vMerge/>
          </w:tcPr>
          <w:p w14:paraId="04DFFC2A" w14:textId="73ED27D6" w:rsidR="006146B3" w:rsidRDefault="006146B3">
            <w:pPr>
              <w:jc w:val="left"/>
            </w:pPr>
          </w:p>
        </w:tc>
        <w:tc>
          <w:tcPr>
            <w:tcW w:w="6558" w:type="dxa"/>
          </w:tcPr>
          <w:p w14:paraId="1FD98EC8" w14:textId="77777777" w:rsidR="006146B3" w:rsidRDefault="006146B3">
            <w:pPr>
              <w:jc w:val="left"/>
            </w:pPr>
            <w:r>
              <w:rPr>
                <w:b/>
              </w:rPr>
              <w:t>Total funds under management</w:t>
            </w:r>
          </w:p>
        </w:tc>
        <w:tc>
          <w:tcPr>
            <w:tcW w:w="866" w:type="dxa"/>
          </w:tcPr>
          <w:p w14:paraId="784758FB" w14:textId="77777777" w:rsidR="006146B3" w:rsidRDefault="006146B3">
            <w:r>
              <w:rPr>
                <w:b/>
              </w:rPr>
              <w:t>111</w:t>
            </w:r>
          </w:p>
        </w:tc>
        <w:tc>
          <w:tcPr>
            <w:tcW w:w="866" w:type="dxa"/>
          </w:tcPr>
          <w:p w14:paraId="642D9C94" w14:textId="77777777" w:rsidR="006146B3" w:rsidRDefault="006146B3">
            <w:r>
              <w:rPr>
                <w:b/>
              </w:rPr>
              <w:t>239</w:t>
            </w:r>
          </w:p>
        </w:tc>
      </w:tr>
      <w:tr w:rsidR="006146B3" w14:paraId="6E4460A5" w14:textId="77777777" w:rsidTr="001B4DB2">
        <w:tc>
          <w:tcPr>
            <w:tcW w:w="1349" w:type="dxa"/>
            <w:vMerge/>
          </w:tcPr>
          <w:p w14:paraId="633083FA" w14:textId="77777777" w:rsidR="006146B3" w:rsidRDefault="006146B3">
            <w:pPr>
              <w:jc w:val="left"/>
            </w:pPr>
          </w:p>
        </w:tc>
        <w:tc>
          <w:tcPr>
            <w:tcW w:w="6558" w:type="dxa"/>
          </w:tcPr>
          <w:p w14:paraId="5743FBE4" w14:textId="77777777" w:rsidR="006146B3" w:rsidRDefault="006146B3">
            <w:pPr>
              <w:jc w:val="left"/>
            </w:pPr>
            <w:r>
              <w:t xml:space="preserve">Donations and other contributions </w:t>
            </w:r>
            <w:r>
              <w:rPr>
                <w:vertAlign w:val="superscript"/>
              </w:rPr>
              <w:t>(a)</w:t>
            </w:r>
          </w:p>
        </w:tc>
        <w:tc>
          <w:tcPr>
            <w:tcW w:w="866" w:type="dxa"/>
          </w:tcPr>
          <w:p w14:paraId="66232D25" w14:textId="77777777" w:rsidR="006146B3" w:rsidRDefault="006146B3">
            <w:r>
              <w:t>142</w:t>
            </w:r>
          </w:p>
        </w:tc>
        <w:tc>
          <w:tcPr>
            <w:tcW w:w="866" w:type="dxa"/>
          </w:tcPr>
          <w:p w14:paraId="6E87E40B" w14:textId="77777777" w:rsidR="006146B3" w:rsidRDefault="006146B3">
            <w:r>
              <w:t>500</w:t>
            </w:r>
          </w:p>
        </w:tc>
      </w:tr>
      <w:tr w:rsidR="006146B3" w14:paraId="5E7F6A10" w14:textId="77777777" w:rsidTr="001B4DB2">
        <w:tc>
          <w:tcPr>
            <w:tcW w:w="1349" w:type="dxa"/>
            <w:vMerge/>
          </w:tcPr>
          <w:p w14:paraId="503C9473" w14:textId="77777777" w:rsidR="006146B3" w:rsidRDefault="006146B3">
            <w:pPr>
              <w:jc w:val="left"/>
            </w:pPr>
          </w:p>
        </w:tc>
        <w:tc>
          <w:tcPr>
            <w:tcW w:w="6558" w:type="dxa"/>
          </w:tcPr>
          <w:p w14:paraId="3F17D904" w14:textId="77777777" w:rsidR="006146B3" w:rsidRDefault="006146B3">
            <w:pPr>
              <w:jc w:val="left"/>
            </w:pPr>
            <w:r>
              <w:t xml:space="preserve">Interest earned </w:t>
            </w:r>
            <w:r>
              <w:rPr>
                <w:vertAlign w:val="superscript"/>
              </w:rPr>
              <w:t>(b)</w:t>
            </w:r>
          </w:p>
        </w:tc>
        <w:tc>
          <w:tcPr>
            <w:tcW w:w="866" w:type="dxa"/>
          </w:tcPr>
          <w:p w14:paraId="10ED551C" w14:textId="77777777" w:rsidR="006146B3" w:rsidRDefault="006146B3">
            <w:r>
              <w:t>4</w:t>
            </w:r>
          </w:p>
        </w:tc>
        <w:tc>
          <w:tcPr>
            <w:tcW w:w="866" w:type="dxa"/>
          </w:tcPr>
          <w:p w14:paraId="7BE6C0CD" w14:textId="77777777" w:rsidR="006146B3" w:rsidRDefault="006146B3">
            <w:r>
              <w:t>11</w:t>
            </w:r>
          </w:p>
        </w:tc>
      </w:tr>
      <w:tr w:rsidR="00182709" w14:paraId="42AEC269" w14:textId="77777777" w:rsidTr="001B4DB2">
        <w:tc>
          <w:tcPr>
            <w:tcW w:w="1349" w:type="dxa"/>
          </w:tcPr>
          <w:p w14:paraId="5914CFBD" w14:textId="77777777" w:rsidR="00182709" w:rsidRDefault="00182709">
            <w:pPr>
              <w:jc w:val="left"/>
            </w:pPr>
          </w:p>
        </w:tc>
        <w:tc>
          <w:tcPr>
            <w:tcW w:w="6558" w:type="dxa"/>
          </w:tcPr>
          <w:p w14:paraId="0E725D08" w14:textId="77777777" w:rsidR="00182709" w:rsidRDefault="0044097C">
            <w:pPr>
              <w:jc w:val="left"/>
            </w:pPr>
            <w:r>
              <w:rPr>
                <w:b/>
              </w:rPr>
              <w:t>Total receipts</w:t>
            </w:r>
          </w:p>
        </w:tc>
        <w:tc>
          <w:tcPr>
            <w:tcW w:w="866" w:type="dxa"/>
          </w:tcPr>
          <w:p w14:paraId="5467A770" w14:textId="77777777" w:rsidR="00182709" w:rsidRDefault="0044097C">
            <w:r>
              <w:rPr>
                <w:b/>
              </w:rPr>
              <w:t>146</w:t>
            </w:r>
          </w:p>
        </w:tc>
        <w:tc>
          <w:tcPr>
            <w:tcW w:w="866" w:type="dxa"/>
          </w:tcPr>
          <w:p w14:paraId="278F61FC" w14:textId="77777777" w:rsidR="00182709" w:rsidRDefault="0044097C">
            <w:r>
              <w:rPr>
                <w:b/>
              </w:rPr>
              <w:t>511</w:t>
            </w:r>
          </w:p>
        </w:tc>
      </w:tr>
      <w:tr w:rsidR="00182709" w14:paraId="14133499" w14:textId="77777777" w:rsidTr="001B4DB2">
        <w:tc>
          <w:tcPr>
            <w:tcW w:w="1349" w:type="dxa"/>
          </w:tcPr>
          <w:p w14:paraId="45650305" w14:textId="77777777" w:rsidR="00182709" w:rsidRDefault="00182709">
            <w:pPr>
              <w:jc w:val="left"/>
            </w:pPr>
          </w:p>
        </w:tc>
        <w:tc>
          <w:tcPr>
            <w:tcW w:w="6558" w:type="dxa"/>
          </w:tcPr>
          <w:p w14:paraId="4F31BE97" w14:textId="77777777" w:rsidR="00182709" w:rsidRDefault="0044097C">
            <w:pPr>
              <w:jc w:val="left"/>
            </w:pPr>
            <w:r>
              <w:t>Payments to businesses</w:t>
            </w:r>
          </w:p>
        </w:tc>
        <w:tc>
          <w:tcPr>
            <w:tcW w:w="866" w:type="dxa"/>
          </w:tcPr>
          <w:p w14:paraId="426996A6" w14:textId="77777777" w:rsidR="00182709" w:rsidRDefault="0044097C">
            <w:r>
              <w:t>7</w:t>
            </w:r>
          </w:p>
        </w:tc>
        <w:tc>
          <w:tcPr>
            <w:tcW w:w="866" w:type="dxa"/>
          </w:tcPr>
          <w:p w14:paraId="67C53871" w14:textId="77777777" w:rsidR="00182709" w:rsidRDefault="0044097C">
            <w:r>
              <w:t>23</w:t>
            </w:r>
          </w:p>
        </w:tc>
      </w:tr>
      <w:tr w:rsidR="00182709" w14:paraId="1F3F9FF1" w14:textId="77777777" w:rsidTr="001B4DB2">
        <w:tc>
          <w:tcPr>
            <w:tcW w:w="1349" w:type="dxa"/>
          </w:tcPr>
          <w:p w14:paraId="3FD59A7D" w14:textId="77777777" w:rsidR="00182709" w:rsidRDefault="00182709">
            <w:pPr>
              <w:jc w:val="left"/>
            </w:pPr>
          </w:p>
        </w:tc>
        <w:tc>
          <w:tcPr>
            <w:tcW w:w="6558" w:type="dxa"/>
          </w:tcPr>
          <w:p w14:paraId="00947D23" w14:textId="77777777" w:rsidR="00182709" w:rsidRDefault="0044097C">
            <w:pPr>
              <w:jc w:val="left"/>
            </w:pPr>
            <w:r>
              <w:t>Payments to community groups</w:t>
            </w:r>
          </w:p>
        </w:tc>
        <w:tc>
          <w:tcPr>
            <w:tcW w:w="866" w:type="dxa"/>
          </w:tcPr>
          <w:p w14:paraId="5B916561" w14:textId="77777777" w:rsidR="00182709" w:rsidRDefault="0044097C">
            <w:r>
              <w:t>5</w:t>
            </w:r>
          </w:p>
        </w:tc>
        <w:tc>
          <w:tcPr>
            <w:tcW w:w="866" w:type="dxa"/>
          </w:tcPr>
          <w:p w14:paraId="73EB26E2" w14:textId="77777777" w:rsidR="00182709" w:rsidRDefault="0044097C">
            <w:r>
              <w:t>35</w:t>
            </w:r>
          </w:p>
        </w:tc>
      </w:tr>
      <w:tr w:rsidR="00182709" w14:paraId="5C345064" w14:textId="77777777" w:rsidTr="001B4DB2">
        <w:tc>
          <w:tcPr>
            <w:tcW w:w="1349" w:type="dxa"/>
          </w:tcPr>
          <w:p w14:paraId="66E7B37F" w14:textId="77777777" w:rsidR="00182709" w:rsidRDefault="00182709">
            <w:pPr>
              <w:jc w:val="left"/>
            </w:pPr>
          </w:p>
        </w:tc>
        <w:tc>
          <w:tcPr>
            <w:tcW w:w="6558" w:type="dxa"/>
          </w:tcPr>
          <w:p w14:paraId="61DDEBE5" w14:textId="77777777" w:rsidR="00182709" w:rsidRDefault="0044097C">
            <w:pPr>
              <w:jc w:val="left"/>
            </w:pPr>
            <w:r>
              <w:t>Payments to individuals</w:t>
            </w:r>
          </w:p>
        </w:tc>
        <w:tc>
          <w:tcPr>
            <w:tcW w:w="866" w:type="dxa"/>
          </w:tcPr>
          <w:p w14:paraId="19AFAB73" w14:textId="77777777" w:rsidR="00182709" w:rsidRDefault="0044097C">
            <w:r>
              <w:t>11</w:t>
            </w:r>
          </w:p>
        </w:tc>
        <w:tc>
          <w:tcPr>
            <w:tcW w:w="866" w:type="dxa"/>
          </w:tcPr>
          <w:p w14:paraId="03512CE7" w14:textId="77777777" w:rsidR="00182709" w:rsidRDefault="0044097C">
            <w:r>
              <w:t>86</w:t>
            </w:r>
          </w:p>
        </w:tc>
      </w:tr>
      <w:tr w:rsidR="00182709" w14:paraId="26C26A04" w14:textId="77777777" w:rsidTr="001B4DB2">
        <w:tc>
          <w:tcPr>
            <w:tcW w:w="1349" w:type="dxa"/>
          </w:tcPr>
          <w:p w14:paraId="5DFCE831" w14:textId="77777777" w:rsidR="00182709" w:rsidRDefault="00182709">
            <w:pPr>
              <w:jc w:val="left"/>
            </w:pPr>
          </w:p>
        </w:tc>
        <w:tc>
          <w:tcPr>
            <w:tcW w:w="6558" w:type="dxa"/>
          </w:tcPr>
          <w:p w14:paraId="4A6484CE" w14:textId="77777777" w:rsidR="00182709" w:rsidRDefault="0044097C">
            <w:pPr>
              <w:jc w:val="left"/>
            </w:pPr>
            <w:r>
              <w:t>Payments on state‑owned assets</w:t>
            </w:r>
          </w:p>
        </w:tc>
        <w:tc>
          <w:tcPr>
            <w:tcW w:w="866" w:type="dxa"/>
          </w:tcPr>
          <w:p w14:paraId="0D47A6FC" w14:textId="77777777" w:rsidR="00182709" w:rsidRDefault="0044097C">
            <w:r>
              <w:t>12</w:t>
            </w:r>
          </w:p>
        </w:tc>
        <w:tc>
          <w:tcPr>
            <w:tcW w:w="866" w:type="dxa"/>
          </w:tcPr>
          <w:p w14:paraId="10DDC45A" w14:textId="77777777" w:rsidR="00182709" w:rsidRDefault="0044097C">
            <w:r>
              <w:t>128</w:t>
            </w:r>
          </w:p>
        </w:tc>
      </w:tr>
      <w:tr w:rsidR="00182709" w14:paraId="51F9242F" w14:textId="77777777" w:rsidTr="001B4DB2">
        <w:tc>
          <w:tcPr>
            <w:tcW w:w="1349" w:type="dxa"/>
          </w:tcPr>
          <w:p w14:paraId="0B69F393" w14:textId="77777777" w:rsidR="00182709" w:rsidRDefault="00182709">
            <w:pPr>
              <w:jc w:val="left"/>
            </w:pPr>
          </w:p>
        </w:tc>
        <w:tc>
          <w:tcPr>
            <w:tcW w:w="6558" w:type="dxa"/>
            <w:tcBorders>
              <w:bottom w:val="single" w:sz="12" w:space="0" w:color="auto"/>
            </w:tcBorders>
          </w:tcPr>
          <w:p w14:paraId="7AB1F2E4" w14:textId="77777777" w:rsidR="00182709" w:rsidRDefault="0044097C">
            <w:pPr>
              <w:jc w:val="left"/>
            </w:pPr>
            <w:r>
              <w:rPr>
                <w:b/>
              </w:rPr>
              <w:t>Total payments</w:t>
            </w:r>
          </w:p>
        </w:tc>
        <w:tc>
          <w:tcPr>
            <w:tcW w:w="866" w:type="dxa"/>
            <w:tcBorders>
              <w:bottom w:val="single" w:sz="12" w:space="0" w:color="auto"/>
            </w:tcBorders>
          </w:tcPr>
          <w:p w14:paraId="17C00047" w14:textId="77777777" w:rsidR="00182709" w:rsidRDefault="0044097C">
            <w:r>
              <w:rPr>
                <w:b/>
              </w:rPr>
              <w:t>35</w:t>
            </w:r>
          </w:p>
        </w:tc>
        <w:tc>
          <w:tcPr>
            <w:tcW w:w="866" w:type="dxa"/>
            <w:tcBorders>
              <w:bottom w:val="single" w:sz="12" w:space="0" w:color="auto"/>
            </w:tcBorders>
          </w:tcPr>
          <w:p w14:paraId="3BD7698D" w14:textId="77777777" w:rsidR="00182709" w:rsidRDefault="0044097C">
            <w:r>
              <w:rPr>
                <w:b/>
              </w:rPr>
              <w:t>272</w:t>
            </w:r>
          </w:p>
        </w:tc>
      </w:tr>
      <w:tr w:rsidR="00671D55" w14:paraId="037B8251" w14:textId="77777777" w:rsidTr="001B4DB2">
        <w:tc>
          <w:tcPr>
            <w:tcW w:w="1349" w:type="dxa"/>
            <w:tcBorders>
              <w:bottom w:val="nil"/>
            </w:tcBorders>
          </w:tcPr>
          <w:p w14:paraId="5DEDF05F" w14:textId="77777777" w:rsidR="00182709" w:rsidRDefault="00182709">
            <w:pPr>
              <w:jc w:val="left"/>
            </w:pPr>
          </w:p>
        </w:tc>
        <w:tc>
          <w:tcPr>
            <w:tcW w:w="6558" w:type="dxa"/>
          </w:tcPr>
          <w:p w14:paraId="0C2B496D" w14:textId="77777777" w:rsidR="00182709" w:rsidRDefault="0044097C">
            <w:pPr>
              <w:jc w:val="left"/>
            </w:pPr>
            <w:r>
              <w:rPr>
                <w:b/>
              </w:rPr>
              <w:t>Balance carried forward</w:t>
            </w:r>
            <w:r>
              <w:rPr>
                <w:b/>
                <w:vertAlign w:val="superscript"/>
              </w:rPr>
              <w:t xml:space="preserve"> (c)</w:t>
            </w:r>
          </w:p>
        </w:tc>
        <w:tc>
          <w:tcPr>
            <w:tcW w:w="866" w:type="dxa"/>
          </w:tcPr>
          <w:p w14:paraId="73AC9710" w14:textId="77777777" w:rsidR="00182709" w:rsidRDefault="0044097C">
            <w:r>
              <w:rPr>
                <w:b/>
              </w:rPr>
              <w:t>111</w:t>
            </w:r>
          </w:p>
        </w:tc>
        <w:tc>
          <w:tcPr>
            <w:tcW w:w="866" w:type="dxa"/>
          </w:tcPr>
          <w:p w14:paraId="3F2C310E" w14:textId="77777777" w:rsidR="00182709" w:rsidRDefault="0044097C">
            <w:r>
              <w:rPr>
                <w:b/>
              </w:rPr>
              <w:t>239</w:t>
            </w:r>
          </w:p>
        </w:tc>
      </w:tr>
    </w:tbl>
    <w:p w14:paraId="1FEC0B45" w14:textId="77777777" w:rsidR="003719CD" w:rsidRDefault="003719CD" w:rsidP="007D536F">
      <w:pPr>
        <w:pStyle w:val="Note"/>
      </w:pPr>
      <w:r>
        <w:t>Notes:</w:t>
      </w:r>
    </w:p>
    <w:p w14:paraId="3D7915D5" w14:textId="77777777" w:rsidR="003719CD" w:rsidRDefault="003719CD" w:rsidP="007D536F">
      <w:pPr>
        <w:pStyle w:val="Note"/>
      </w:pPr>
      <w:r>
        <w:t>(a)</w:t>
      </w:r>
      <w:r>
        <w:tab/>
        <w:t xml:space="preserve">Contributions, inter alia, include funds provided by the Victorian Government, Commonwealth, other Australian and international jurisdictions, as well as the general public, for the purpose described above. </w:t>
      </w:r>
    </w:p>
    <w:p w14:paraId="694755F5" w14:textId="77777777" w:rsidR="003719CD" w:rsidRDefault="003719CD" w:rsidP="007D536F">
      <w:pPr>
        <w:pStyle w:val="Note"/>
      </w:pPr>
      <w:r>
        <w:t>(b)</w:t>
      </w:r>
      <w:r>
        <w:tab/>
        <w:t xml:space="preserve">The investment, pursuant to section 21 of the </w:t>
      </w:r>
      <w:r w:rsidRPr="00000FBD">
        <w:rPr>
          <w:i w:val="0"/>
          <w:iCs/>
        </w:rPr>
        <w:t>Financial Management Act 1994</w:t>
      </w:r>
      <w:r>
        <w:t>, of any monies from the biological disaster fund has been invested as allowed under the Trustee Act 1958. Interest earned is credited to the trust account.</w:t>
      </w:r>
    </w:p>
    <w:p w14:paraId="70B98014" w14:textId="77777777" w:rsidR="003719CD" w:rsidRDefault="003719CD" w:rsidP="007D536F">
      <w:pPr>
        <w:pStyle w:val="Note"/>
      </w:pPr>
      <w:r>
        <w:t>(c)</w:t>
      </w:r>
      <w:r>
        <w:tab/>
        <w:t>[This expanded disclosure is only necessary for third-party funds under management that are of significance in regards to public interest.]</w:t>
      </w:r>
    </w:p>
    <w:p w14:paraId="17736492" w14:textId="77777777" w:rsidR="003719CD" w:rsidRDefault="003719CD" w:rsidP="00DC39DE"/>
    <w:p w14:paraId="40E5FEB2" w14:textId="77777777" w:rsidR="003719CD" w:rsidRDefault="003719CD" w:rsidP="007D536F">
      <w:pPr>
        <w:pStyle w:val="Caption"/>
      </w:pPr>
      <w:r>
        <w:t>Other third-party funds under management</w:t>
      </w:r>
      <w:r>
        <w:tab/>
        <w:t>($ million)</w:t>
      </w:r>
    </w:p>
    <w:tbl>
      <w:tblPr>
        <w:tblStyle w:val="DTFTable"/>
        <w:tblW w:w="9639" w:type="dxa"/>
        <w:tblLayout w:type="fixed"/>
        <w:tblLook w:val="06A0" w:firstRow="1" w:lastRow="0" w:firstColumn="1" w:lastColumn="0" w:noHBand="1" w:noVBand="1"/>
      </w:tblPr>
      <w:tblGrid>
        <w:gridCol w:w="7825"/>
        <w:gridCol w:w="907"/>
        <w:gridCol w:w="907"/>
      </w:tblGrid>
      <w:tr w:rsidR="00000FBD" w14:paraId="5DF9F93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70FF320B" w14:textId="77777777" w:rsidR="00000FBD" w:rsidRDefault="00000FBD" w:rsidP="00000FBD">
            <w:pPr>
              <w:keepNext/>
            </w:pPr>
          </w:p>
        </w:tc>
        <w:tc>
          <w:tcPr>
            <w:tcW w:w="907" w:type="dxa"/>
          </w:tcPr>
          <w:p w14:paraId="092FB946" w14:textId="0E463546" w:rsidR="00000FBD" w:rsidRPr="00000FBD" w:rsidRDefault="00000FBD" w:rsidP="00000FBD">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000FBD">
                <w:t>20X2</w:t>
              </w:r>
            </w:fldSimple>
          </w:p>
        </w:tc>
        <w:tc>
          <w:tcPr>
            <w:tcW w:w="907" w:type="dxa"/>
          </w:tcPr>
          <w:p w14:paraId="06E36DDA" w14:textId="7A193626" w:rsidR="00000FBD" w:rsidRPr="00000FBD" w:rsidRDefault="00000FBD" w:rsidP="00000FBD">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000FBD">
                <w:t>20X1</w:t>
              </w:r>
            </w:fldSimple>
          </w:p>
        </w:tc>
      </w:tr>
      <w:tr w:rsidR="008E5233" w14:paraId="62BF60DE" w14:textId="77777777">
        <w:tc>
          <w:tcPr>
            <w:cnfStyle w:val="001000000000" w:firstRow="0" w:lastRow="0" w:firstColumn="1" w:lastColumn="0" w:oddVBand="0" w:evenVBand="0" w:oddHBand="0" w:evenHBand="0" w:firstRowFirstColumn="0" w:firstRowLastColumn="0" w:lastRowFirstColumn="0" w:lastRowLastColumn="0"/>
            <w:tcW w:w="7825" w:type="dxa"/>
          </w:tcPr>
          <w:p w14:paraId="59DBB070" w14:textId="6DF603EB" w:rsidR="008E5233" w:rsidRDefault="005648A9">
            <w:r>
              <w:t>eTechnology Fund</w:t>
            </w:r>
            <w:r>
              <w:rPr>
                <w:vertAlign w:val="superscript"/>
              </w:rPr>
              <w:t xml:space="preserve"> (a)</w:t>
            </w:r>
          </w:p>
        </w:tc>
        <w:tc>
          <w:tcPr>
            <w:tcW w:w="907" w:type="dxa"/>
          </w:tcPr>
          <w:p w14:paraId="5C0CAEA0"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6D940637" w14:textId="77777777" w:rsidR="008E5233" w:rsidRDefault="005648A9">
            <w:pPr>
              <w:cnfStyle w:val="000000000000" w:firstRow="0" w:lastRow="0" w:firstColumn="0" w:lastColumn="0" w:oddVBand="0" w:evenVBand="0" w:oddHBand="0" w:evenHBand="0" w:firstRowFirstColumn="0" w:firstRowLastColumn="0" w:lastRowFirstColumn="0" w:lastRowLastColumn="0"/>
            </w:pPr>
            <w:r>
              <w:t>46</w:t>
            </w:r>
          </w:p>
        </w:tc>
      </w:tr>
      <w:tr w:rsidR="008E5233" w14:paraId="5FA38159"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62F40C46" w14:textId="77777777" w:rsidR="008E5233" w:rsidRDefault="005648A9">
            <w:r>
              <w:t>International Network Association Fund</w:t>
            </w:r>
            <w:r>
              <w:rPr>
                <w:vertAlign w:val="superscript"/>
              </w:rPr>
              <w:t xml:space="preserve"> (b)</w:t>
            </w:r>
          </w:p>
        </w:tc>
        <w:tc>
          <w:tcPr>
            <w:tcW w:w="907" w:type="dxa"/>
            <w:tcBorders>
              <w:bottom w:val="single" w:sz="12" w:space="0" w:color="auto"/>
            </w:tcBorders>
          </w:tcPr>
          <w:p w14:paraId="4787BB49" w14:textId="77777777" w:rsidR="008E5233" w:rsidRDefault="005648A9">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12" w:space="0" w:color="auto"/>
            </w:tcBorders>
          </w:tcPr>
          <w:p w14:paraId="3D28C1E7" w14:textId="77777777" w:rsidR="008E5233" w:rsidRDefault="005648A9">
            <w:pPr>
              <w:cnfStyle w:val="000000000000" w:firstRow="0" w:lastRow="0" w:firstColumn="0" w:lastColumn="0" w:oddVBand="0" w:evenVBand="0" w:oddHBand="0" w:evenHBand="0" w:firstRowFirstColumn="0" w:firstRowLastColumn="0" w:lastRowFirstColumn="0" w:lastRowLastColumn="0"/>
            </w:pPr>
            <w:r>
              <w:t>2</w:t>
            </w:r>
          </w:p>
        </w:tc>
      </w:tr>
      <w:tr w:rsidR="00671D55" w14:paraId="0B17892A"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EA629A5" w14:textId="77777777" w:rsidR="008E5233" w:rsidRDefault="005648A9">
            <w:r>
              <w:rPr>
                <w:b/>
              </w:rPr>
              <w:t>Total funds under management</w:t>
            </w:r>
          </w:p>
        </w:tc>
        <w:tc>
          <w:tcPr>
            <w:tcW w:w="907" w:type="dxa"/>
          </w:tcPr>
          <w:p w14:paraId="6798718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23</w:t>
            </w:r>
          </w:p>
        </w:tc>
        <w:tc>
          <w:tcPr>
            <w:tcW w:w="907" w:type="dxa"/>
          </w:tcPr>
          <w:p w14:paraId="5E478EDF"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48</w:t>
            </w:r>
          </w:p>
        </w:tc>
      </w:tr>
    </w:tbl>
    <w:p w14:paraId="6587AEC4" w14:textId="77777777" w:rsidR="003719CD" w:rsidRDefault="003719CD" w:rsidP="007D536F">
      <w:pPr>
        <w:pStyle w:val="Note"/>
      </w:pPr>
      <w:r>
        <w:t>Notes:</w:t>
      </w:r>
    </w:p>
    <w:p w14:paraId="214894E2" w14:textId="77777777" w:rsidR="003719CD" w:rsidRDefault="003719CD" w:rsidP="007D536F">
      <w:pPr>
        <w:pStyle w:val="Note"/>
      </w:pPr>
      <w:r>
        <w:t>(a)</w:t>
      </w:r>
      <w:r>
        <w:tab/>
        <w:t xml:space="preserve">The e-Technology Fund was established by the Victorian Government in 2009 in partnership with the Commonwealth Government to receive contributions and disburse monies to businesses, non-government organisations and registered individuals compliant with the international agreement on e-Technology signed by Australia in February 2009. </w:t>
      </w:r>
    </w:p>
    <w:p w14:paraId="7884695B" w14:textId="77777777" w:rsidR="003719CD" w:rsidRDefault="003719CD" w:rsidP="007D536F">
      <w:pPr>
        <w:pStyle w:val="Note"/>
      </w:pPr>
      <w:r>
        <w:t>(b)</w:t>
      </w:r>
      <w:r>
        <w:tab/>
        <w:t>The International Network Association Fund was established in 2011 in partnership with the International Association of Networks. The Victorian Government manages, under trust, donations and bequests from members of the International Association of Networks for disbursement to eligible beneficiaries.</w:t>
      </w:r>
    </w:p>
    <w:p w14:paraId="1B951800" w14:textId="204E8EF1" w:rsidR="00C71296" w:rsidRDefault="00C71296" w:rsidP="007C037E"/>
    <w:p w14:paraId="1EF3355D" w14:textId="0BE1F87B" w:rsidR="003719CD" w:rsidRDefault="003719CD" w:rsidP="007D536F">
      <w:pPr>
        <w:pStyle w:val="GuidanceBlockHeading"/>
      </w:pPr>
      <w:r>
        <w:t xml:space="preserve">Guidance – Third-party funds under management </w:t>
      </w:r>
    </w:p>
    <w:p w14:paraId="7352FCC2" w14:textId="77777777" w:rsidR="003719CD" w:rsidRPr="00C53A2B" w:rsidRDefault="003719CD" w:rsidP="007D536F">
      <w:pPr>
        <w:rPr>
          <w:rStyle w:val="Guidance"/>
        </w:rPr>
      </w:pPr>
      <w:r w:rsidRPr="00C53A2B">
        <w:rPr>
          <w:rStyle w:val="Guidance"/>
        </w:rPr>
        <w:t xml:space="preserve">Third party funds under management are funds that are collected and managed by a government entity acting as an ‘agent’, on behalf of the ‘principal’. These funds are usually not available for general use by the ‘agent’ entity, either due to legislative restrictions over the funds or various other circumstances that impose restrictions on the use of the funds. </w:t>
      </w:r>
    </w:p>
    <w:p w14:paraId="51B7A5B9" w14:textId="77777777" w:rsidR="003719CD" w:rsidRPr="00C53A2B" w:rsidRDefault="003719CD" w:rsidP="007D536F">
      <w:pPr>
        <w:pStyle w:val="GuidanceHeading"/>
        <w:rPr>
          <w:rStyle w:val="Guidance"/>
        </w:rPr>
      </w:pPr>
      <w:r w:rsidRPr="00C53A2B">
        <w:rPr>
          <w:rStyle w:val="Guidance"/>
        </w:rPr>
        <w:t xml:space="preserve">Determining whether an entity is acting as a principal or as an agent </w:t>
      </w:r>
    </w:p>
    <w:p w14:paraId="0D5D7ECE" w14:textId="77777777" w:rsidR="003719CD" w:rsidRPr="00C53A2B" w:rsidRDefault="003719CD" w:rsidP="007D536F">
      <w:pPr>
        <w:rPr>
          <w:rStyle w:val="Guidance"/>
        </w:rPr>
      </w:pPr>
      <w:r w:rsidRPr="00C53A2B">
        <w:rPr>
          <w:rStyle w:val="Guidance"/>
        </w:rPr>
        <w:t>Determining whether an entity is acting as a principal or as an agent requires judgement and consideration of all relevant facts and circumstances. Guidance is provided below.</w:t>
      </w:r>
    </w:p>
    <w:p w14:paraId="56D65B15" w14:textId="5C02E5C3" w:rsidR="003719CD" w:rsidRPr="00C53A2B" w:rsidRDefault="003719CD" w:rsidP="007D536F">
      <w:pPr>
        <w:pStyle w:val="GuidanceHeading"/>
        <w:rPr>
          <w:rStyle w:val="Guidance"/>
        </w:rPr>
      </w:pPr>
      <w:r w:rsidRPr="00C53A2B">
        <w:rPr>
          <w:rStyle w:val="Guidance"/>
        </w:rPr>
        <w:t xml:space="preserve">Principal </w:t>
      </w:r>
      <w:r w:rsidRPr="00C53A2B">
        <w:rPr>
          <w:rStyle w:val="Reference"/>
        </w:rPr>
        <w:t xml:space="preserve">[AASB </w:t>
      </w:r>
      <w:r w:rsidR="000861FE">
        <w:rPr>
          <w:rStyle w:val="Reference"/>
        </w:rPr>
        <w:t>15</w:t>
      </w:r>
      <w:r w:rsidRPr="00C53A2B">
        <w:rPr>
          <w:rStyle w:val="Reference"/>
        </w:rPr>
        <w:t>.</w:t>
      </w:r>
      <w:r w:rsidR="000861FE">
        <w:rPr>
          <w:rStyle w:val="Reference"/>
        </w:rPr>
        <w:t>B35</w:t>
      </w:r>
      <w:r w:rsidRPr="00C53A2B">
        <w:rPr>
          <w:rStyle w:val="Reference"/>
        </w:rPr>
        <w:t>]</w:t>
      </w:r>
    </w:p>
    <w:p w14:paraId="4B895FF0" w14:textId="0B5FA424" w:rsidR="00757033" w:rsidRPr="003B43E6" w:rsidRDefault="00757033" w:rsidP="00757033">
      <w:r w:rsidRPr="00757033">
        <w:rPr>
          <w:rStyle w:val="Guidance"/>
        </w:rPr>
        <w:t>An entity is a principal if it controls the specified good or service before that good or service is transferred to a customer. An entity that is a principal may satisfy its performance obligation to provide the specified good or service itself or it may engage another party (for example, a subcontractor) to satisfy some or all of the performance obligation on its behalf</w:t>
      </w:r>
      <w:r w:rsidR="00E2622B">
        <w:rPr>
          <w:rStyle w:val="Guidance"/>
        </w:rPr>
        <w:t>.</w:t>
      </w:r>
      <w:r w:rsidRPr="00757033" w:rsidDel="00757033">
        <w:rPr>
          <w:rStyle w:val="Guidance"/>
        </w:rPr>
        <w:t xml:space="preserve"> </w:t>
      </w:r>
    </w:p>
    <w:p w14:paraId="40AB19A5" w14:textId="3D96DA6E" w:rsidR="003719CD" w:rsidRPr="00C53A2B" w:rsidRDefault="003719CD" w:rsidP="007D536F">
      <w:pPr>
        <w:pStyle w:val="GuidanceHeading"/>
        <w:rPr>
          <w:rStyle w:val="Guidance"/>
        </w:rPr>
      </w:pPr>
      <w:r w:rsidRPr="00C53A2B">
        <w:rPr>
          <w:rStyle w:val="Guidance"/>
        </w:rPr>
        <w:t xml:space="preserve">Agent </w:t>
      </w:r>
      <w:r w:rsidRPr="004F012D">
        <w:rPr>
          <w:rStyle w:val="Reference"/>
        </w:rPr>
        <w:t>[AASB 1</w:t>
      </w:r>
      <w:r w:rsidR="000861FE">
        <w:rPr>
          <w:rStyle w:val="Reference"/>
        </w:rPr>
        <w:t>5</w:t>
      </w:r>
      <w:r w:rsidRPr="004F012D">
        <w:rPr>
          <w:rStyle w:val="Reference"/>
        </w:rPr>
        <w:t>.</w:t>
      </w:r>
      <w:r w:rsidR="000861FE">
        <w:rPr>
          <w:rStyle w:val="Reference"/>
        </w:rPr>
        <w:t>B36</w:t>
      </w:r>
      <w:r w:rsidRPr="004F012D">
        <w:rPr>
          <w:rStyle w:val="Reference"/>
        </w:rPr>
        <w:t>]</w:t>
      </w:r>
    </w:p>
    <w:p w14:paraId="7F039512" w14:textId="0683A198" w:rsidR="003719CD" w:rsidRPr="00D77C82" w:rsidRDefault="007F6064" w:rsidP="00D77C82">
      <w:pPr>
        <w:pStyle w:val="GuidanceHeading"/>
        <w:rPr>
          <w:rStyle w:val="Guidance"/>
          <w:b w:val="0"/>
          <w:sz w:val="18"/>
        </w:rPr>
      </w:pPr>
      <w:r w:rsidRPr="007F6064">
        <w:rPr>
          <w:rStyle w:val="Guidance"/>
          <w:b w:val="0"/>
          <w:sz w:val="18"/>
        </w:rPr>
        <w:t>An entity that is an agent does not control the specified good or service provided by another party before that good or service is transferred to the customer. When (or as) an entity that is an agent satisfies a performance obligation, the entity recognises revenue in the amount of any fee or commission to which it expects to be entitled in exchange for arranging for the specified goods or services to be provided by the other party. An entity’s fee or commission might be the net amount of consideration that the entity retains after paying the other party the consideration</w:t>
      </w:r>
      <w:r>
        <w:rPr>
          <w:rStyle w:val="Guidance"/>
          <w:b w:val="0"/>
          <w:sz w:val="18"/>
        </w:rPr>
        <w:t xml:space="preserve"> </w:t>
      </w:r>
      <w:r w:rsidRPr="007F6064">
        <w:rPr>
          <w:rStyle w:val="Guidance"/>
          <w:b w:val="0"/>
          <w:sz w:val="18"/>
        </w:rPr>
        <w:t>received in exchange for the goods or services to be provided by that party.</w:t>
      </w:r>
    </w:p>
    <w:p w14:paraId="44F7A9D7" w14:textId="77777777" w:rsidR="000B6AAB" w:rsidRDefault="000B6AAB">
      <w:pPr>
        <w:keepLines w:val="0"/>
        <w:rPr>
          <w:rFonts w:cstheme="minorHAnsi"/>
          <w:color w:val="4472C4" w:themeColor="accent1"/>
        </w:rPr>
      </w:pPr>
      <w:r>
        <w:rPr>
          <w:rFonts w:cstheme="minorHAnsi"/>
          <w:color w:val="4472C4" w:themeColor="accent1"/>
        </w:rPr>
        <w:br w:type="page"/>
      </w:r>
    </w:p>
    <w:p w14:paraId="1C309593" w14:textId="7940C5F8" w:rsidR="00EC23AD" w:rsidRPr="00A87414" w:rsidRDefault="00182EDE" w:rsidP="00EC23AD">
      <w:pPr>
        <w:keepLines w:val="0"/>
        <w:autoSpaceDE w:val="0"/>
        <w:autoSpaceDN w:val="0"/>
        <w:adjustRightInd w:val="0"/>
        <w:spacing w:before="0" w:after="0" w:line="240" w:lineRule="auto"/>
        <w:rPr>
          <w:rFonts w:cstheme="minorHAnsi"/>
          <w:color w:val="4472C4" w:themeColor="accent1"/>
        </w:rPr>
      </w:pPr>
      <w:r w:rsidRPr="00A87414">
        <w:rPr>
          <w:rFonts w:cstheme="minorHAnsi"/>
          <w:color w:val="4472C4" w:themeColor="accent1"/>
        </w:rPr>
        <w:lastRenderedPageBreak/>
        <w:t>I</w:t>
      </w:r>
      <w:r w:rsidR="00EC23AD" w:rsidRPr="00A87414">
        <w:rPr>
          <w:rFonts w:cstheme="minorHAnsi"/>
          <w:color w:val="4472C4" w:themeColor="accent1"/>
        </w:rPr>
        <w:t>ndicators that an entity controls the specified good or service before it is transferred to the customer (and is therefore a principal include, but are not limited to,</w:t>
      </w:r>
      <w:r w:rsidR="009A295B">
        <w:rPr>
          <w:rFonts w:cstheme="minorHAnsi"/>
          <w:color w:val="4472C4" w:themeColor="accent1"/>
        </w:rPr>
        <w:t xml:space="preserve"> when</w:t>
      </w:r>
      <w:r w:rsidR="00EC23AD" w:rsidRPr="00A87414">
        <w:rPr>
          <w:rFonts w:cstheme="minorHAnsi"/>
          <w:color w:val="4472C4" w:themeColor="accent1"/>
        </w:rPr>
        <w:t>:</w:t>
      </w:r>
    </w:p>
    <w:p w14:paraId="1A241E7C" w14:textId="795D1511" w:rsidR="009A295B" w:rsidRPr="000B6AAB" w:rsidRDefault="00EC23AD" w:rsidP="000B6AAB">
      <w:pPr>
        <w:pStyle w:val="ListBullet"/>
        <w:rPr>
          <w:rStyle w:val="Guidance"/>
        </w:rPr>
      </w:pPr>
      <w:r w:rsidRPr="000B6AAB">
        <w:rPr>
          <w:rStyle w:val="Guidance"/>
        </w:rPr>
        <w:t>the entity is primarily responsible for fulfilling the promise to provide the specified good or service. This typically includes responsibility for the acceptability of the specified good or service (</w:t>
      </w:r>
      <w:r w:rsidR="00C96EB2" w:rsidRPr="000B6AAB">
        <w:rPr>
          <w:rStyle w:val="Guidance"/>
        </w:rPr>
        <w:t>e.g.</w:t>
      </w:r>
      <w:r w:rsidRPr="000B6AAB">
        <w:rPr>
          <w:rStyle w:val="Guidance"/>
        </w:rPr>
        <w:t xml:space="preserve"> primary responsibility for the good or service meeting customer specifications). If the entity is primarily responsible for fulfilling the promise to provide the specified good or service, this may indicate that the other party involved in providing the specified good or service is acting on the entity’s behalf</w:t>
      </w:r>
    </w:p>
    <w:p w14:paraId="4AD8A98A" w14:textId="6D4AA688" w:rsidR="00EC23AD" w:rsidRPr="000B6AAB" w:rsidRDefault="00EC23AD" w:rsidP="000B6AAB">
      <w:pPr>
        <w:pStyle w:val="ListBullet"/>
        <w:rPr>
          <w:rStyle w:val="Guidance"/>
        </w:rPr>
      </w:pPr>
      <w:r w:rsidRPr="000B6AAB">
        <w:rPr>
          <w:rStyle w:val="Guidance"/>
        </w:rPr>
        <w:t>the entity has inventory risk before the specified good or service has been transferred to a customer or after transfer of control to the customer (</w:t>
      </w:r>
      <w:r w:rsidR="00C96EB2" w:rsidRPr="000B6AAB">
        <w:rPr>
          <w:rStyle w:val="Guidance"/>
        </w:rPr>
        <w:t>e.g.</w:t>
      </w:r>
      <w:r w:rsidRPr="000B6AAB">
        <w:rPr>
          <w:rStyle w:val="Guidance"/>
        </w:rPr>
        <w:t xml:space="preserve"> if the customer has a right of return). For example, if the entity obtains, or commits itself to obtain, the specified good or service before obtaining a contract with a customer, that may indicate that the entity has the ability to direct the use of, and obtain substantially all of the remaining benefits from, the good or service before it is transferred to the customer</w:t>
      </w:r>
    </w:p>
    <w:p w14:paraId="74ECDEF5" w14:textId="2C19D013" w:rsidR="00EC23AD" w:rsidRPr="000B6AAB" w:rsidRDefault="00EC23AD" w:rsidP="000B6AAB">
      <w:pPr>
        <w:pStyle w:val="ListBullet"/>
        <w:rPr>
          <w:rStyle w:val="Guidance"/>
        </w:rPr>
      </w:pPr>
      <w:r w:rsidRPr="000B6AAB">
        <w:rPr>
          <w:rStyle w:val="Guidance"/>
        </w:rPr>
        <w:t>the entity has discretion in establishing the price for the specified good or service. Establishing the price that the customer pays for the specified good or service may indicate that the entity has the ability to direct the use of that good or service and obtain substantially all of the remaining benefits. However, an agent can have discretion in establishing prices in some cases. For example, an agent may have some flexibility in setting prices in order to generate additional revenue from its service of arranging for goods or services to be provided by other parties to customers.</w:t>
      </w:r>
    </w:p>
    <w:p w14:paraId="2C2617E6" w14:textId="3E92457D" w:rsidR="00EC23AD" w:rsidRPr="00A87414" w:rsidRDefault="00C51AEB" w:rsidP="00EC23AD">
      <w:pPr>
        <w:keepLines w:val="0"/>
        <w:autoSpaceDE w:val="0"/>
        <w:autoSpaceDN w:val="0"/>
        <w:adjustRightInd w:val="0"/>
        <w:spacing w:before="0" w:after="0" w:line="240" w:lineRule="auto"/>
        <w:rPr>
          <w:rFonts w:cstheme="minorHAnsi"/>
          <w:color w:val="4472C4" w:themeColor="accent1"/>
        </w:rPr>
      </w:pPr>
      <w:r w:rsidRPr="00A87414">
        <w:rPr>
          <w:rFonts w:cstheme="minorHAnsi"/>
          <w:color w:val="4472C4" w:themeColor="accent1"/>
        </w:rPr>
        <w:t>It should be note</w:t>
      </w:r>
      <w:r w:rsidR="009A295B">
        <w:rPr>
          <w:rFonts w:cstheme="minorHAnsi"/>
          <w:color w:val="4472C4" w:themeColor="accent1"/>
        </w:rPr>
        <w:t>d</w:t>
      </w:r>
      <w:r w:rsidRPr="00A87414">
        <w:rPr>
          <w:rFonts w:cstheme="minorHAnsi"/>
          <w:color w:val="4472C4" w:themeColor="accent1"/>
        </w:rPr>
        <w:t xml:space="preserve"> that th</w:t>
      </w:r>
      <w:r w:rsidR="00EC23AD" w:rsidRPr="00A87414">
        <w:rPr>
          <w:rFonts w:cstheme="minorHAnsi"/>
          <w:color w:val="4472C4" w:themeColor="accent1"/>
        </w:rPr>
        <w:t xml:space="preserve">e indicators </w:t>
      </w:r>
      <w:r w:rsidR="00BF3E48" w:rsidRPr="00A87414">
        <w:rPr>
          <w:rFonts w:cstheme="minorHAnsi"/>
          <w:color w:val="4472C4" w:themeColor="accent1"/>
        </w:rPr>
        <w:t xml:space="preserve">listed above </w:t>
      </w:r>
      <w:r w:rsidR="00EC23AD" w:rsidRPr="00A87414">
        <w:rPr>
          <w:rFonts w:cstheme="minorHAnsi"/>
          <w:color w:val="4472C4" w:themeColor="accent1"/>
        </w:rPr>
        <w:t>may be more or less relevant to the assessment of control</w:t>
      </w:r>
      <w:r w:rsidR="009A295B">
        <w:rPr>
          <w:rFonts w:cstheme="minorHAnsi"/>
          <w:color w:val="4472C4" w:themeColor="accent1"/>
        </w:rPr>
        <w:t>,</w:t>
      </w:r>
      <w:r w:rsidR="00EC23AD" w:rsidRPr="00A87414">
        <w:rPr>
          <w:rFonts w:cstheme="minorHAnsi"/>
          <w:color w:val="4472C4" w:themeColor="accent1"/>
        </w:rPr>
        <w:t xml:space="preserve"> depending on the nature of the specified good or service and the terms and conditions of the contract. In addition, different indicators may provide more persuasive evidence in different contracts.</w:t>
      </w:r>
    </w:p>
    <w:p w14:paraId="477AD457" w14:textId="77777777" w:rsidR="003719CD" w:rsidRPr="00C53A2B" w:rsidRDefault="003719CD" w:rsidP="007D536F">
      <w:pPr>
        <w:pStyle w:val="GuidanceHeading"/>
        <w:rPr>
          <w:rStyle w:val="Guidance"/>
        </w:rPr>
      </w:pPr>
      <w:r w:rsidRPr="00C53A2B">
        <w:rPr>
          <w:rStyle w:val="Guidance"/>
        </w:rPr>
        <w:t xml:space="preserve">Information to be disclosed </w:t>
      </w:r>
      <w:r w:rsidRPr="004F012D">
        <w:rPr>
          <w:rStyle w:val="Reference"/>
        </w:rPr>
        <w:t>[AASB 107.48]</w:t>
      </w:r>
    </w:p>
    <w:p w14:paraId="4E30F0BC" w14:textId="77777777" w:rsidR="003719CD" w:rsidRPr="00C53A2B" w:rsidRDefault="003719CD" w:rsidP="007D536F">
      <w:pPr>
        <w:rPr>
          <w:rStyle w:val="Guidance"/>
        </w:rPr>
      </w:pPr>
      <w:r w:rsidRPr="00C53A2B">
        <w:rPr>
          <w:rStyle w:val="Guidance"/>
        </w:rPr>
        <w:t>An entity shall disclose, together with a commentary by management, the amount of significant cash and cash equivalent balances held by the entity that are not available for use by the group.</w:t>
      </w:r>
    </w:p>
    <w:p w14:paraId="4690420D" w14:textId="63E3AF89" w:rsidR="003719CD" w:rsidRPr="00C53A2B" w:rsidRDefault="003719CD" w:rsidP="007D536F">
      <w:pPr>
        <w:pStyle w:val="GuidanceHeading"/>
        <w:rPr>
          <w:rStyle w:val="Guidance"/>
        </w:rPr>
      </w:pPr>
      <w:r w:rsidRPr="00C53A2B">
        <w:rPr>
          <w:rStyle w:val="Guidance"/>
        </w:rPr>
        <w:t xml:space="preserve">Natural disasters </w:t>
      </w:r>
      <w:r w:rsidRPr="004F012D">
        <w:rPr>
          <w:rStyle w:val="Reference"/>
        </w:rPr>
        <w:t xml:space="preserve">[PAEC Report </w:t>
      </w:r>
      <w:r w:rsidR="001302E4">
        <w:rPr>
          <w:rStyle w:val="Reference"/>
        </w:rPr>
        <w:t>on the 2011-12 Budget Estimate</w:t>
      </w:r>
      <w:r w:rsidR="0058137D">
        <w:rPr>
          <w:rStyle w:val="Reference"/>
        </w:rPr>
        <w:t>s</w:t>
      </w:r>
      <w:r w:rsidR="001302E4">
        <w:rPr>
          <w:rStyle w:val="Reference"/>
        </w:rPr>
        <w:t xml:space="preserve"> -</w:t>
      </w:r>
      <w:r w:rsidR="001302E4" w:rsidRPr="004F012D">
        <w:rPr>
          <w:rStyle w:val="Reference"/>
        </w:rPr>
        <w:t xml:space="preserve"> </w:t>
      </w:r>
      <w:r w:rsidR="00F66494">
        <w:rPr>
          <w:rStyle w:val="Reference"/>
        </w:rPr>
        <w:t>Part one</w:t>
      </w:r>
      <w:r w:rsidRPr="004F012D">
        <w:rPr>
          <w:rStyle w:val="Reference"/>
        </w:rPr>
        <w:t xml:space="preserve"> recommendation 6]</w:t>
      </w:r>
    </w:p>
    <w:p w14:paraId="2742B9D3" w14:textId="77777777" w:rsidR="003719CD" w:rsidRPr="00C53A2B" w:rsidRDefault="003719CD" w:rsidP="007D536F">
      <w:pPr>
        <w:rPr>
          <w:rStyle w:val="Guidance"/>
        </w:rPr>
      </w:pPr>
      <w:r w:rsidRPr="00C53A2B">
        <w:rPr>
          <w:rStyle w:val="Guidance"/>
        </w:rPr>
        <w:t>Departments are required to demonstrate high standards of transparency and accountability when reporting on the effectiveness of how funding allocated to natural disaster relief was managed. It is expected that this note disclosure include the level of funding spent on individuals, state-owned assets, businesses and community groups affected as a result of a natural disaster.</w:t>
      </w:r>
    </w:p>
    <w:p w14:paraId="45DFA9F8" w14:textId="77777777" w:rsidR="003719CD" w:rsidRPr="00C53A2B" w:rsidRDefault="003719CD" w:rsidP="007D536F">
      <w:pPr>
        <w:pStyle w:val="GuidanceHeading"/>
        <w:rPr>
          <w:rStyle w:val="Guidance"/>
        </w:rPr>
      </w:pPr>
      <w:r w:rsidRPr="00C53A2B">
        <w:rPr>
          <w:rStyle w:val="Guidance"/>
        </w:rPr>
        <w:t xml:space="preserve">Income and payments from trust funds or funds held outside public account </w:t>
      </w:r>
    </w:p>
    <w:p w14:paraId="30887286" w14:textId="77777777" w:rsidR="003719CD" w:rsidRPr="00C53A2B" w:rsidRDefault="003719CD" w:rsidP="007D536F">
      <w:pPr>
        <w:rPr>
          <w:rStyle w:val="Guidance"/>
        </w:rPr>
      </w:pPr>
      <w:r w:rsidRPr="00C53A2B">
        <w:rPr>
          <w:rStyle w:val="Guidance"/>
        </w:rPr>
        <w:t xml:space="preserve">Income from trust funds or funds held outside the public account may ultimately be used for a broad range of purposes and may not be readily determinable at the time of receipt and when the income is recognised. </w:t>
      </w:r>
    </w:p>
    <w:p w14:paraId="7D9E59F0" w14:textId="77777777" w:rsidR="003719CD" w:rsidRPr="00C53A2B" w:rsidRDefault="003719CD" w:rsidP="007D536F">
      <w:pPr>
        <w:rPr>
          <w:rStyle w:val="Guidance"/>
        </w:rPr>
      </w:pPr>
      <w:r w:rsidRPr="00C53A2B">
        <w:rPr>
          <w:rStyle w:val="Guidance"/>
        </w:rPr>
        <w:t xml:space="preserve">In general, payments out of controlled funds outside the public account are typically for the delivery of outputs or for the acquisition of assets, whereas payments out of administered funds are typically for payments made on behalf of the State. </w:t>
      </w:r>
      <w:r w:rsidRPr="004F012D">
        <w:rPr>
          <w:rStyle w:val="Reference"/>
        </w:rPr>
        <w:t>[recommendations 30 and 32, PAEC Report on the 2015-16 Budget Estimates]</w:t>
      </w:r>
    </w:p>
    <w:p w14:paraId="3EED5588" w14:textId="77777777" w:rsidR="003719CD" w:rsidRDefault="003719CD" w:rsidP="007D536F">
      <w:pPr>
        <w:pStyle w:val="GuidanceEnd"/>
      </w:pPr>
    </w:p>
    <w:p w14:paraId="4C15BB09" w14:textId="77777777" w:rsidR="000B6AAB" w:rsidRDefault="000B6AAB">
      <w:pPr>
        <w:keepLines w:val="0"/>
        <w:rPr>
          <w:rFonts w:asciiTheme="majorHAnsi" w:eastAsiaTheme="majorEastAsia" w:hAnsiTheme="majorHAnsi" w:cstheme="majorBidi"/>
          <w:b/>
          <w:sz w:val="26"/>
          <w:szCs w:val="26"/>
        </w:rPr>
      </w:pPr>
      <w:bookmarkStart w:id="106" w:name="_Toc96704978"/>
      <w:bookmarkStart w:id="107" w:name="_Toc130225987"/>
      <w:bookmarkStart w:id="108" w:name="_Toc64983171"/>
      <w:bookmarkStart w:id="109" w:name="_Hlk63429185"/>
      <w:r>
        <w:br w:type="page"/>
      </w:r>
    </w:p>
    <w:p w14:paraId="31F71A4C" w14:textId="52CE36B6" w:rsidR="003719CD" w:rsidRDefault="003719CD" w:rsidP="00A80494">
      <w:pPr>
        <w:pStyle w:val="Heading2numbered"/>
      </w:pPr>
      <w:r>
        <w:lastRenderedPageBreak/>
        <w:t>Commitments for expenditure</w:t>
      </w:r>
      <w:bookmarkEnd w:id="106"/>
      <w:bookmarkEnd w:id="107"/>
      <w:bookmarkEnd w:id="108"/>
    </w:p>
    <w:p w14:paraId="6FB8B1EB" w14:textId="30D1FC8D" w:rsidR="003719CD" w:rsidRDefault="003719CD" w:rsidP="00DC39DE">
      <w:r>
        <w:t xml:space="preserve">Commitments for future expenditure include operating and capital commitments arising from contracts. These commitments are recorded at their nominal value and inclusive of GST. Where it is considered appropriate and provides additional relevant information to users, the net present values of significant individual projects are stated. These future expenditures cease to be disclosed as commitments once the related liabilities are recognised in the balance sheet. </w:t>
      </w:r>
      <w:r w:rsidRPr="00D76CF7">
        <w:rPr>
          <w:rStyle w:val="Reference"/>
        </w:rPr>
        <w:t xml:space="preserve">[AASB 116.74(c), </w:t>
      </w:r>
      <w:r w:rsidR="009E082F">
        <w:rPr>
          <w:rStyle w:val="Reference"/>
        </w:rPr>
        <w:t>(</w:t>
      </w:r>
      <w:r w:rsidRPr="00D76CF7">
        <w:rPr>
          <w:rStyle w:val="Reference"/>
        </w:rPr>
        <w:t xml:space="preserve">AASB </w:t>
      </w:r>
      <w:r w:rsidR="003F3A79">
        <w:rPr>
          <w:rStyle w:val="Reference"/>
        </w:rPr>
        <w:t>16</w:t>
      </w:r>
      <w:r w:rsidR="00F0292A">
        <w:rPr>
          <w:rStyle w:val="Reference"/>
        </w:rPr>
        <w:t>.55</w:t>
      </w:r>
      <w:r w:rsidRPr="00D76CF7">
        <w:rPr>
          <w:rStyle w:val="Reference"/>
        </w:rPr>
        <w:t xml:space="preserve">), </w:t>
      </w:r>
      <w:r w:rsidR="008B34C2" w:rsidRPr="008B34C2">
        <w:rPr>
          <w:rStyle w:val="Reference"/>
        </w:rPr>
        <w:t>AASB16</w:t>
      </w:r>
      <w:r w:rsidR="00CE6AD4">
        <w:rPr>
          <w:rStyle w:val="Reference"/>
        </w:rPr>
        <w:t>.</w:t>
      </w:r>
      <w:r w:rsidR="008B34C2" w:rsidRPr="008B34C2">
        <w:rPr>
          <w:rStyle w:val="Reference"/>
        </w:rPr>
        <w:t>5</w:t>
      </w:r>
      <w:r w:rsidR="00CE6AD4">
        <w:rPr>
          <w:rStyle w:val="Reference"/>
        </w:rPr>
        <w:t>8</w:t>
      </w:r>
      <w:r w:rsidR="008B34C2">
        <w:rPr>
          <w:rStyle w:val="Reference"/>
        </w:rPr>
        <w:t>,</w:t>
      </w:r>
      <w:r w:rsidRPr="00D76CF7">
        <w:rPr>
          <w:rStyle w:val="Reference"/>
        </w:rPr>
        <w:t xml:space="preserve"> AASB 138.122(e), AASB 12.23(a)]</w:t>
      </w:r>
    </w:p>
    <w:p w14:paraId="1B8E7C2F" w14:textId="77777777" w:rsidR="003719CD" w:rsidRDefault="003719CD" w:rsidP="00A80494">
      <w:pPr>
        <w:pStyle w:val="Heading3numbered"/>
      </w:pPr>
      <w:bookmarkStart w:id="110" w:name="_Hlk63413301"/>
      <w:r>
        <w:t xml:space="preserve">Total commitments payable </w:t>
      </w:r>
    </w:p>
    <w:p w14:paraId="443EDBA2"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701"/>
        <w:gridCol w:w="4478"/>
        <w:gridCol w:w="865"/>
        <w:gridCol w:w="865"/>
        <w:gridCol w:w="865"/>
        <w:gridCol w:w="865"/>
      </w:tblGrid>
      <w:tr w:rsidR="00182709" w14:paraId="4BFDD720"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FFFFFF" w:themeFill="background1"/>
          </w:tcPr>
          <w:p w14:paraId="277173D7" w14:textId="77777777" w:rsidR="00182709" w:rsidRDefault="0044097C">
            <w:pPr>
              <w:keepNext/>
              <w:jc w:val="left"/>
            </w:pPr>
            <w:r>
              <w:rPr>
                <w:color w:val="4472C4"/>
                <w:sz w:val="13"/>
              </w:rPr>
              <w:t>Source reference</w:t>
            </w:r>
          </w:p>
        </w:tc>
        <w:tc>
          <w:tcPr>
            <w:tcW w:w="4478" w:type="dxa"/>
          </w:tcPr>
          <w:p w14:paraId="4675C743" w14:textId="77777777" w:rsidR="00182709" w:rsidRDefault="0044097C">
            <w:pPr>
              <w:keepNext/>
              <w:jc w:val="left"/>
            </w:pPr>
            <w:r>
              <w:t>Nominal amounts</w:t>
            </w:r>
          </w:p>
        </w:tc>
        <w:tc>
          <w:tcPr>
            <w:tcW w:w="865" w:type="dxa"/>
          </w:tcPr>
          <w:p w14:paraId="2F6A2C1C" w14:textId="77777777" w:rsidR="00182709" w:rsidRDefault="0044097C">
            <w:pPr>
              <w:keepNext/>
            </w:pPr>
            <w:r>
              <w:t>Less than</w:t>
            </w:r>
          </w:p>
        </w:tc>
        <w:tc>
          <w:tcPr>
            <w:tcW w:w="865" w:type="dxa"/>
          </w:tcPr>
          <w:p w14:paraId="172AEEB0" w14:textId="77777777" w:rsidR="00182709" w:rsidRDefault="0044097C">
            <w:pPr>
              <w:keepNext/>
            </w:pPr>
            <w:r>
              <w:t>1–5</w:t>
            </w:r>
          </w:p>
        </w:tc>
        <w:tc>
          <w:tcPr>
            <w:tcW w:w="865" w:type="dxa"/>
          </w:tcPr>
          <w:p w14:paraId="65139879" w14:textId="77777777" w:rsidR="00182709" w:rsidRDefault="0044097C">
            <w:pPr>
              <w:keepNext/>
            </w:pPr>
            <w:r>
              <w:t>5+</w:t>
            </w:r>
          </w:p>
        </w:tc>
        <w:tc>
          <w:tcPr>
            <w:tcW w:w="865" w:type="dxa"/>
          </w:tcPr>
          <w:p w14:paraId="3BCD3F30" w14:textId="77777777" w:rsidR="00182709" w:rsidRDefault="0044097C">
            <w:pPr>
              <w:keepNext/>
            </w:pPr>
            <w:r>
              <w:t>Total</w:t>
            </w:r>
          </w:p>
        </w:tc>
      </w:tr>
      <w:tr w:rsidR="00182709" w14:paraId="376DBCC6"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FFFFFF" w:themeFill="background1"/>
          </w:tcPr>
          <w:p w14:paraId="6432B36D" w14:textId="77777777" w:rsidR="00182709" w:rsidRDefault="00182709">
            <w:pPr>
              <w:keepNext/>
              <w:jc w:val="left"/>
            </w:pPr>
          </w:p>
        </w:tc>
        <w:tc>
          <w:tcPr>
            <w:tcW w:w="4478" w:type="dxa"/>
          </w:tcPr>
          <w:p w14:paraId="081A3D69" w14:textId="16AA6CEA" w:rsidR="00182709" w:rsidRDefault="000B6AAB">
            <w:pPr>
              <w:keepNext/>
              <w:jc w:val="left"/>
            </w:pPr>
            <w:fldSimple w:instr="DOCPROPERTY  YearCurrent \* MERGEFORMAT">
              <w:r>
                <w:t>20X2</w:t>
              </w:r>
            </w:fldSimple>
          </w:p>
        </w:tc>
        <w:tc>
          <w:tcPr>
            <w:tcW w:w="865" w:type="dxa"/>
          </w:tcPr>
          <w:p w14:paraId="71B28C54" w14:textId="77777777" w:rsidR="00182709" w:rsidRDefault="0044097C">
            <w:pPr>
              <w:keepNext/>
            </w:pPr>
            <w:r>
              <w:t>1 year</w:t>
            </w:r>
          </w:p>
        </w:tc>
        <w:tc>
          <w:tcPr>
            <w:tcW w:w="865" w:type="dxa"/>
          </w:tcPr>
          <w:p w14:paraId="69BE72A4" w14:textId="77777777" w:rsidR="00182709" w:rsidRDefault="0044097C">
            <w:pPr>
              <w:keepNext/>
            </w:pPr>
            <w:r>
              <w:t>years</w:t>
            </w:r>
          </w:p>
        </w:tc>
        <w:tc>
          <w:tcPr>
            <w:tcW w:w="865" w:type="dxa"/>
          </w:tcPr>
          <w:p w14:paraId="4A40EECB" w14:textId="77777777" w:rsidR="00182709" w:rsidRDefault="0044097C">
            <w:pPr>
              <w:keepNext/>
            </w:pPr>
            <w:r>
              <w:t>years</w:t>
            </w:r>
          </w:p>
        </w:tc>
        <w:tc>
          <w:tcPr>
            <w:tcW w:w="865" w:type="dxa"/>
          </w:tcPr>
          <w:p w14:paraId="3815CD32" w14:textId="77777777" w:rsidR="00182709" w:rsidRDefault="00182709">
            <w:pPr>
              <w:keepNext/>
            </w:pPr>
          </w:p>
        </w:tc>
      </w:tr>
      <w:tr w:rsidR="00182709" w14:paraId="48694040" w14:textId="77777777" w:rsidTr="005B452C">
        <w:tc>
          <w:tcPr>
            <w:tcW w:w="1701" w:type="dxa"/>
          </w:tcPr>
          <w:p w14:paraId="07EFC7F5" w14:textId="77777777" w:rsidR="00182709" w:rsidRDefault="00182709">
            <w:pPr>
              <w:jc w:val="left"/>
            </w:pPr>
          </w:p>
        </w:tc>
        <w:tc>
          <w:tcPr>
            <w:tcW w:w="4478" w:type="dxa"/>
          </w:tcPr>
          <w:p w14:paraId="14D6B52F" w14:textId="74C50014" w:rsidR="00182709" w:rsidRDefault="002A02C0">
            <w:pPr>
              <w:jc w:val="left"/>
            </w:pPr>
            <w:r>
              <w:t>SCA</w:t>
            </w:r>
            <w:r w:rsidR="0044097C">
              <w:t xml:space="preserve"> commitments (See 7.5.2)</w:t>
            </w:r>
          </w:p>
        </w:tc>
        <w:tc>
          <w:tcPr>
            <w:tcW w:w="865" w:type="dxa"/>
          </w:tcPr>
          <w:p w14:paraId="0BF181E0" w14:textId="77777777" w:rsidR="00182709" w:rsidRDefault="0044097C">
            <w:r>
              <w:t>5 600</w:t>
            </w:r>
          </w:p>
        </w:tc>
        <w:tc>
          <w:tcPr>
            <w:tcW w:w="865" w:type="dxa"/>
          </w:tcPr>
          <w:p w14:paraId="4B1031E3" w14:textId="77777777" w:rsidR="00182709" w:rsidRDefault="0044097C">
            <w:r>
              <w:t>5 190</w:t>
            </w:r>
          </w:p>
        </w:tc>
        <w:tc>
          <w:tcPr>
            <w:tcW w:w="865" w:type="dxa"/>
          </w:tcPr>
          <w:p w14:paraId="47569E31" w14:textId="77777777" w:rsidR="00182709" w:rsidRDefault="0044097C">
            <w:r>
              <w:t>18 036</w:t>
            </w:r>
          </w:p>
        </w:tc>
        <w:tc>
          <w:tcPr>
            <w:tcW w:w="865" w:type="dxa"/>
          </w:tcPr>
          <w:p w14:paraId="60FF97A3" w14:textId="77777777" w:rsidR="00182709" w:rsidRDefault="0044097C">
            <w:r>
              <w:t>28 826</w:t>
            </w:r>
          </w:p>
        </w:tc>
      </w:tr>
      <w:tr w:rsidR="00182709" w14:paraId="2ABF8291" w14:textId="77777777" w:rsidTr="005B452C">
        <w:tc>
          <w:tcPr>
            <w:tcW w:w="1701" w:type="dxa"/>
          </w:tcPr>
          <w:p w14:paraId="08D2B0A5" w14:textId="77777777" w:rsidR="00182709" w:rsidRDefault="0044097C">
            <w:pPr>
              <w:jc w:val="left"/>
            </w:pPr>
            <w:r>
              <w:rPr>
                <w:color w:val="4472C4"/>
                <w:sz w:val="13"/>
              </w:rPr>
              <w:t>AASB 116.74 (c)</w:t>
            </w:r>
          </w:p>
        </w:tc>
        <w:tc>
          <w:tcPr>
            <w:tcW w:w="4478" w:type="dxa"/>
          </w:tcPr>
          <w:p w14:paraId="15CF51CE" w14:textId="77777777" w:rsidR="00182709" w:rsidRDefault="0044097C">
            <w:pPr>
              <w:jc w:val="left"/>
            </w:pPr>
            <w:r>
              <w:t>Capital expenditure commitments payable</w:t>
            </w:r>
          </w:p>
        </w:tc>
        <w:tc>
          <w:tcPr>
            <w:tcW w:w="865" w:type="dxa"/>
          </w:tcPr>
          <w:p w14:paraId="4D821797" w14:textId="77777777" w:rsidR="00182709" w:rsidRDefault="0044097C">
            <w:r>
              <w:t>4 782</w:t>
            </w:r>
          </w:p>
        </w:tc>
        <w:tc>
          <w:tcPr>
            <w:tcW w:w="865" w:type="dxa"/>
          </w:tcPr>
          <w:p w14:paraId="12CFC7D6" w14:textId="77777777" w:rsidR="00182709" w:rsidRDefault="0044097C">
            <w:r>
              <w:t>74</w:t>
            </w:r>
          </w:p>
        </w:tc>
        <w:tc>
          <w:tcPr>
            <w:tcW w:w="865" w:type="dxa"/>
          </w:tcPr>
          <w:p w14:paraId="48321743" w14:textId="77777777" w:rsidR="00182709" w:rsidRDefault="0044097C">
            <w:r>
              <w:t>..</w:t>
            </w:r>
          </w:p>
        </w:tc>
        <w:tc>
          <w:tcPr>
            <w:tcW w:w="865" w:type="dxa"/>
          </w:tcPr>
          <w:p w14:paraId="44B339DC" w14:textId="77777777" w:rsidR="00182709" w:rsidRDefault="0044097C">
            <w:r>
              <w:t>4 856</w:t>
            </w:r>
          </w:p>
        </w:tc>
      </w:tr>
      <w:tr w:rsidR="00182709" w14:paraId="274E94B6" w14:textId="77777777" w:rsidTr="005B452C">
        <w:tc>
          <w:tcPr>
            <w:tcW w:w="1701" w:type="dxa"/>
          </w:tcPr>
          <w:p w14:paraId="1000BFC2" w14:textId="77777777" w:rsidR="00182709" w:rsidRDefault="0044097C">
            <w:pPr>
              <w:jc w:val="left"/>
            </w:pPr>
            <w:r>
              <w:rPr>
                <w:color w:val="4472C4"/>
                <w:sz w:val="13"/>
              </w:rPr>
              <w:t>AASB 138.122 (e)</w:t>
            </w:r>
          </w:p>
        </w:tc>
        <w:tc>
          <w:tcPr>
            <w:tcW w:w="4478" w:type="dxa"/>
          </w:tcPr>
          <w:p w14:paraId="07C9291B" w14:textId="77777777" w:rsidR="00182709" w:rsidRDefault="0044097C">
            <w:pPr>
              <w:jc w:val="left"/>
            </w:pPr>
            <w:r>
              <w:t>Intangible assets commitments payable</w:t>
            </w:r>
          </w:p>
        </w:tc>
        <w:tc>
          <w:tcPr>
            <w:tcW w:w="865" w:type="dxa"/>
          </w:tcPr>
          <w:p w14:paraId="4B3AAA0E" w14:textId="77777777" w:rsidR="00182709" w:rsidRDefault="0044097C">
            <w:r>
              <w:t>23</w:t>
            </w:r>
          </w:p>
        </w:tc>
        <w:tc>
          <w:tcPr>
            <w:tcW w:w="865" w:type="dxa"/>
          </w:tcPr>
          <w:p w14:paraId="249AAC3C" w14:textId="77777777" w:rsidR="00182709" w:rsidRDefault="0044097C">
            <w:r>
              <w:t>..</w:t>
            </w:r>
          </w:p>
        </w:tc>
        <w:tc>
          <w:tcPr>
            <w:tcW w:w="865" w:type="dxa"/>
          </w:tcPr>
          <w:p w14:paraId="5CCE48C5" w14:textId="77777777" w:rsidR="00182709" w:rsidRDefault="0044097C">
            <w:r>
              <w:t>20</w:t>
            </w:r>
          </w:p>
        </w:tc>
        <w:tc>
          <w:tcPr>
            <w:tcW w:w="865" w:type="dxa"/>
          </w:tcPr>
          <w:p w14:paraId="70CA98A3" w14:textId="77777777" w:rsidR="00182709" w:rsidRDefault="0044097C">
            <w:r>
              <w:t>43</w:t>
            </w:r>
          </w:p>
        </w:tc>
      </w:tr>
      <w:tr w:rsidR="00182709" w14:paraId="4E482DD5" w14:textId="77777777" w:rsidTr="005B452C">
        <w:tc>
          <w:tcPr>
            <w:tcW w:w="1701" w:type="dxa"/>
          </w:tcPr>
          <w:p w14:paraId="0CABC863" w14:textId="77777777" w:rsidR="00182709" w:rsidRDefault="0044097C">
            <w:pPr>
              <w:jc w:val="left"/>
            </w:pPr>
            <w:r>
              <w:rPr>
                <w:color w:val="4472C4"/>
                <w:sz w:val="13"/>
              </w:rPr>
              <w:t>AASB 12.23(b), B19 (a)(ii)</w:t>
            </w:r>
          </w:p>
        </w:tc>
        <w:tc>
          <w:tcPr>
            <w:tcW w:w="4478" w:type="dxa"/>
          </w:tcPr>
          <w:p w14:paraId="35332F45" w14:textId="77777777" w:rsidR="00182709" w:rsidRDefault="0044097C">
            <w:pPr>
              <w:jc w:val="left"/>
            </w:pPr>
            <w:r>
              <w:t>Share of joint ventures’ capital commitments</w:t>
            </w:r>
          </w:p>
        </w:tc>
        <w:tc>
          <w:tcPr>
            <w:tcW w:w="865" w:type="dxa"/>
          </w:tcPr>
          <w:p w14:paraId="07A9317A" w14:textId="77777777" w:rsidR="00182709" w:rsidRDefault="0044097C">
            <w:r>
              <w:t>..</w:t>
            </w:r>
          </w:p>
        </w:tc>
        <w:tc>
          <w:tcPr>
            <w:tcW w:w="865" w:type="dxa"/>
          </w:tcPr>
          <w:p w14:paraId="00DBCCC5" w14:textId="77777777" w:rsidR="00182709" w:rsidRDefault="0044097C">
            <w:r>
              <w:t>8</w:t>
            </w:r>
          </w:p>
        </w:tc>
        <w:tc>
          <w:tcPr>
            <w:tcW w:w="865" w:type="dxa"/>
          </w:tcPr>
          <w:p w14:paraId="0B4B64EE" w14:textId="77777777" w:rsidR="00182709" w:rsidRDefault="0044097C">
            <w:r>
              <w:t>13</w:t>
            </w:r>
          </w:p>
        </w:tc>
        <w:tc>
          <w:tcPr>
            <w:tcW w:w="865" w:type="dxa"/>
          </w:tcPr>
          <w:p w14:paraId="666BBD40" w14:textId="77777777" w:rsidR="00182709" w:rsidRDefault="0044097C">
            <w:r>
              <w:t>21</w:t>
            </w:r>
          </w:p>
        </w:tc>
      </w:tr>
      <w:tr w:rsidR="00182709" w14:paraId="072CE804" w14:textId="77777777" w:rsidTr="005B452C">
        <w:tc>
          <w:tcPr>
            <w:tcW w:w="1701" w:type="dxa"/>
          </w:tcPr>
          <w:p w14:paraId="421323FD" w14:textId="77777777" w:rsidR="00182709" w:rsidRDefault="00182709">
            <w:pPr>
              <w:jc w:val="left"/>
            </w:pPr>
          </w:p>
        </w:tc>
        <w:tc>
          <w:tcPr>
            <w:tcW w:w="4478" w:type="dxa"/>
            <w:tcBorders>
              <w:bottom w:val="single" w:sz="12" w:space="0" w:color="auto"/>
            </w:tcBorders>
          </w:tcPr>
          <w:p w14:paraId="7358720E" w14:textId="77777777" w:rsidR="00182709" w:rsidRDefault="0044097C">
            <w:pPr>
              <w:jc w:val="left"/>
            </w:pPr>
            <w:r>
              <w:t>Other commitments payable</w:t>
            </w:r>
          </w:p>
        </w:tc>
        <w:tc>
          <w:tcPr>
            <w:tcW w:w="865" w:type="dxa"/>
            <w:tcBorders>
              <w:bottom w:val="single" w:sz="12" w:space="0" w:color="auto"/>
            </w:tcBorders>
          </w:tcPr>
          <w:p w14:paraId="231C786D" w14:textId="77777777" w:rsidR="00182709" w:rsidRDefault="0044097C">
            <w:r>
              <w:t>56</w:t>
            </w:r>
          </w:p>
        </w:tc>
        <w:tc>
          <w:tcPr>
            <w:tcW w:w="865" w:type="dxa"/>
            <w:tcBorders>
              <w:bottom w:val="single" w:sz="12" w:space="0" w:color="auto"/>
            </w:tcBorders>
          </w:tcPr>
          <w:p w14:paraId="1644B276" w14:textId="77777777" w:rsidR="00182709" w:rsidRDefault="0044097C">
            <w:r>
              <w:t>112</w:t>
            </w:r>
          </w:p>
        </w:tc>
        <w:tc>
          <w:tcPr>
            <w:tcW w:w="865" w:type="dxa"/>
            <w:tcBorders>
              <w:bottom w:val="single" w:sz="12" w:space="0" w:color="auto"/>
            </w:tcBorders>
          </w:tcPr>
          <w:p w14:paraId="647F0992" w14:textId="77777777" w:rsidR="00182709" w:rsidRDefault="0044097C">
            <w:r>
              <w:t>..</w:t>
            </w:r>
          </w:p>
        </w:tc>
        <w:tc>
          <w:tcPr>
            <w:tcW w:w="865" w:type="dxa"/>
            <w:tcBorders>
              <w:bottom w:val="single" w:sz="12" w:space="0" w:color="auto"/>
            </w:tcBorders>
          </w:tcPr>
          <w:p w14:paraId="789F026C" w14:textId="77777777" w:rsidR="00182709" w:rsidRDefault="0044097C">
            <w:r>
              <w:t>168</w:t>
            </w:r>
          </w:p>
        </w:tc>
      </w:tr>
      <w:tr w:rsidR="00671D55" w14:paraId="0F06D91C" w14:textId="77777777" w:rsidTr="005B452C">
        <w:tc>
          <w:tcPr>
            <w:tcW w:w="1701" w:type="dxa"/>
          </w:tcPr>
          <w:p w14:paraId="60CDA1D1" w14:textId="77777777" w:rsidR="00182709" w:rsidRDefault="00182709">
            <w:pPr>
              <w:jc w:val="left"/>
            </w:pPr>
          </w:p>
        </w:tc>
        <w:tc>
          <w:tcPr>
            <w:tcW w:w="4478" w:type="dxa"/>
          </w:tcPr>
          <w:p w14:paraId="4BC5A9E3" w14:textId="77777777" w:rsidR="00182709" w:rsidRDefault="0044097C">
            <w:pPr>
              <w:jc w:val="left"/>
            </w:pPr>
            <w:r>
              <w:rPr>
                <w:b/>
              </w:rPr>
              <w:t>Total commitments (inclusive of GST)</w:t>
            </w:r>
          </w:p>
        </w:tc>
        <w:tc>
          <w:tcPr>
            <w:tcW w:w="865" w:type="dxa"/>
          </w:tcPr>
          <w:p w14:paraId="791356EF" w14:textId="77777777" w:rsidR="00182709" w:rsidRDefault="0044097C">
            <w:r>
              <w:rPr>
                <w:b/>
              </w:rPr>
              <w:t>10 461</w:t>
            </w:r>
          </w:p>
        </w:tc>
        <w:tc>
          <w:tcPr>
            <w:tcW w:w="865" w:type="dxa"/>
          </w:tcPr>
          <w:p w14:paraId="75FAF71F" w14:textId="77777777" w:rsidR="00182709" w:rsidRDefault="0044097C">
            <w:r>
              <w:rPr>
                <w:b/>
              </w:rPr>
              <w:t>5 384</w:t>
            </w:r>
          </w:p>
        </w:tc>
        <w:tc>
          <w:tcPr>
            <w:tcW w:w="865" w:type="dxa"/>
          </w:tcPr>
          <w:p w14:paraId="37E75A78" w14:textId="77777777" w:rsidR="00182709" w:rsidRDefault="0044097C">
            <w:r>
              <w:rPr>
                <w:b/>
              </w:rPr>
              <w:t>18 069</w:t>
            </w:r>
          </w:p>
        </w:tc>
        <w:tc>
          <w:tcPr>
            <w:tcW w:w="865" w:type="dxa"/>
          </w:tcPr>
          <w:p w14:paraId="41869153" w14:textId="77777777" w:rsidR="00182709" w:rsidRDefault="0044097C">
            <w:r>
              <w:rPr>
                <w:b/>
              </w:rPr>
              <w:t>33 914</w:t>
            </w:r>
          </w:p>
        </w:tc>
      </w:tr>
      <w:tr w:rsidR="00671D55" w14:paraId="364EE7C9" w14:textId="77777777" w:rsidTr="005B452C">
        <w:tc>
          <w:tcPr>
            <w:tcW w:w="1701" w:type="dxa"/>
          </w:tcPr>
          <w:p w14:paraId="2D916F98" w14:textId="77777777" w:rsidR="00182709" w:rsidRDefault="00182709">
            <w:pPr>
              <w:jc w:val="left"/>
            </w:pPr>
          </w:p>
        </w:tc>
        <w:tc>
          <w:tcPr>
            <w:tcW w:w="4478" w:type="dxa"/>
          </w:tcPr>
          <w:p w14:paraId="3F72F389" w14:textId="77777777" w:rsidR="00182709" w:rsidRDefault="0044097C">
            <w:pPr>
              <w:jc w:val="left"/>
            </w:pPr>
            <w:r>
              <w:t>Less GST recoverable</w:t>
            </w:r>
          </w:p>
        </w:tc>
        <w:tc>
          <w:tcPr>
            <w:tcW w:w="865" w:type="dxa"/>
          </w:tcPr>
          <w:p w14:paraId="37F59607" w14:textId="77777777" w:rsidR="00182709" w:rsidRDefault="00182709"/>
        </w:tc>
        <w:tc>
          <w:tcPr>
            <w:tcW w:w="865" w:type="dxa"/>
          </w:tcPr>
          <w:p w14:paraId="63895A6A" w14:textId="77777777" w:rsidR="00182709" w:rsidRDefault="00182709"/>
        </w:tc>
        <w:tc>
          <w:tcPr>
            <w:tcW w:w="865" w:type="dxa"/>
          </w:tcPr>
          <w:p w14:paraId="275E867A" w14:textId="77777777" w:rsidR="00182709" w:rsidRDefault="00182709"/>
        </w:tc>
        <w:tc>
          <w:tcPr>
            <w:tcW w:w="865" w:type="dxa"/>
          </w:tcPr>
          <w:p w14:paraId="7059B45C" w14:textId="77777777" w:rsidR="00182709" w:rsidRDefault="0044097C">
            <w:r>
              <w:t>(2 586)</w:t>
            </w:r>
          </w:p>
        </w:tc>
      </w:tr>
      <w:tr w:rsidR="00671D55" w14:paraId="159FDD0C" w14:textId="77777777" w:rsidTr="005B452C">
        <w:tc>
          <w:tcPr>
            <w:tcW w:w="1701" w:type="dxa"/>
            <w:tcBorders>
              <w:bottom w:val="nil"/>
            </w:tcBorders>
          </w:tcPr>
          <w:p w14:paraId="2692CCB5" w14:textId="77777777" w:rsidR="00182709" w:rsidRDefault="00182709">
            <w:pPr>
              <w:jc w:val="left"/>
            </w:pPr>
          </w:p>
        </w:tc>
        <w:tc>
          <w:tcPr>
            <w:tcW w:w="4478" w:type="dxa"/>
          </w:tcPr>
          <w:p w14:paraId="68C3F90B" w14:textId="77777777" w:rsidR="00182709" w:rsidRDefault="0044097C">
            <w:pPr>
              <w:jc w:val="left"/>
            </w:pPr>
            <w:r>
              <w:rPr>
                <w:b/>
              </w:rPr>
              <w:t>Total commitments (exclusive of GST)</w:t>
            </w:r>
          </w:p>
        </w:tc>
        <w:tc>
          <w:tcPr>
            <w:tcW w:w="865" w:type="dxa"/>
          </w:tcPr>
          <w:p w14:paraId="41360B2A" w14:textId="77777777" w:rsidR="00182709" w:rsidRDefault="00182709"/>
        </w:tc>
        <w:tc>
          <w:tcPr>
            <w:tcW w:w="865" w:type="dxa"/>
          </w:tcPr>
          <w:p w14:paraId="515720E0" w14:textId="77777777" w:rsidR="00182709" w:rsidRDefault="00182709"/>
        </w:tc>
        <w:tc>
          <w:tcPr>
            <w:tcW w:w="865" w:type="dxa"/>
          </w:tcPr>
          <w:p w14:paraId="16950A51" w14:textId="77777777" w:rsidR="00182709" w:rsidRDefault="00182709"/>
        </w:tc>
        <w:tc>
          <w:tcPr>
            <w:tcW w:w="865" w:type="dxa"/>
          </w:tcPr>
          <w:p w14:paraId="6EB99034" w14:textId="4B8011C1" w:rsidR="00182709" w:rsidRDefault="0044097C">
            <w:r>
              <w:rPr>
                <w:b/>
              </w:rPr>
              <w:t>31 328</w:t>
            </w:r>
          </w:p>
        </w:tc>
      </w:tr>
    </w:tbl>
    <w:p w14:paraId="0D3AE062" w14:textId="77777777" w:rsidR="003719CD" w:rsidRDefault="003719CD" w:rsidP="007D536F">
      <w:pPr>
        <w:pStyle w:val="Note"/>
      </w:pPr>
    </w:p>
    <w:tbl>
      <w:tblPr>
        <w:tblStyle w:val="DTFTable"/>
        <w:tblW w:w="9639" w:type="dxa"/>
        <w:tblLayout w:type="fixed"/>
        <w:tblLook w:val="0620" w:firstRow="1" w:lastRow="0" w:firstColumn="0" w:lastColumn="0" w:noHBand="1" w:noVBand="1"/>
      </w:tblPr>
      <w:tblGrid>
        <w:gridCol w:w="1701"/>
        <w:gridCol w:w="4486"/>
        <w:gridCol w:w="863"/>
        <w:gridCol w:w="863"/>
        <w:gridCol w:w="863"/>
        <w:gridCol w:w="863"/>
      </w:tblGrid>
      <w:tr w:rsidR="00671D55" w14:paraId="7D8AA249"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nil"/>
              <w:bottom w:val="nil"/>
            </w:tcBorders>
            <w:shd w:val="clear" w:color="auto" w:fill="auto"/>
          </w:tcPr>
          <w:p w14:paraId="629AA950" w14:textId="093FF3D6" w:rsidR="00182709" w:rsidRPr="005B452C" w:rsidRDefault="005B452C">
            <w:pPr>
              <w:keepNext/>
              <w:jc w:val="left"/>
              <w:rPr>
                <w:color w:val="4472C4"/>
                <w:sz w:val="13"/>
              </w:rPr>
            </w:pPr>
            <w:r w:rsidRPr="005B452C">
              <w:rPr>
                <w:color w:val="4472C4"/>
                <w:sz w:val="13"/>
              </w:rPr>
              <w:t>Source reference</w:t>
            </w:r>
          </w:p>
        </w:tc>
        <w:tc>
          <w:tcPr>
            <w:tcW w:w="4486" w:type="dxa"/>
          </w:tcPr>
          <w:p w14:paraId="625E5F0B" w14:textId="34DF326F" w:rsidR="00182709" w:rsidRDefault="000B6AAB" w:rsidP="005B452C">
            <w:pPr>
              <w:keepNext/>
              <w:ind w:left="170" w:hanging="170"/>
              <w:jc w:val="left"/>
            </w:pPr>
            <w:fldSimple w:instr="DOCPROPERTY  YearPrevious  \* MERGEFORMAT">
              <w:r>
                <w:rPr>
                  <w:lang w:val="en-US"/>
                </w:rPr>
                <w:t>20X1</w:t>
              </w:r>
            </w:fldSimple>
          </w:p>
        </w:tc>
        <w:tc>
          <w:tcPr>
            <w:tcW w:w="863" w:type="dxa"/>
          </w:tcPr>
          <w:p w14:paraId="597101EF" w14:textId="77777777" w:rsidR="00182709" w:rsidRDefault="00182709">
            <w:pPr>
              <w:keepNext/>
            </w:pPr>
          </w:p>
        </w:tc>
        <w:tc>
          <w:tcPr>
            <w:tcW w:w="863" w:type="dxa"/>
          </w:tcPr>
          <w:p w14:paraId="5F641EF7" w14:textId="77777777" w:rsidR="00182709" w:rsidRDefault="00182709">
            <w:pPr>
              <w:keepNext/>
            </w:pPr>
          </w:p>
        </w:tc>
        <w:tc>
          <w:tcPr>
            <w:tcW w:w="863" w:type="dxa"/>
          </w:tcPr>
          <w:p w14:paraId="1F04CE36" w14:textId="77777777" w:rsidR="00182709" w:rsidRDefault="00182709">
            <w:pPr>
              <w:keepNext/>
            </w:pPr>
          </w:p>
        </w:tc>
        <w:tc>
          <w:tcPr>
            <w:tcW w:w="863" w:type="dxa"/>
          </w:tcPr>
          <w:p w14:paraId="1667B759" w14:textId="77777777" w:rsidR="00182709" w:rsidRDefault="00182709">
            <w:pPr>
              <w:keepNext/>
            </w:pPr>
          </w:p>
        </w:tc>
      </w:tr>
      <w:tr w:rsidR="00182709" w14:paraId="2241EE7A" w14:textId="77777777" w:rsidTr="005B452C">
        <w:tc>
          <w:tcPr>
            <w:tcW w:w="1701" w:type="dxa"/>
            <w:tcBorders>
              <w:bottom w:val="nil"/>
            </w:tcBorders>
          </w:tcPr>
          <w:p w14:paraId="07B99A40" w14:textId="77777777" w:rsidR="00182709" w:rsidRPr="005B452C" w:rsidRDefault="00182709">
            <w:pPr>
              <w:jc w:val="left"/>
              <w:rPr>
                <w:bCs/>
                <w:iCs/>
                <w:color w:val="4472C4"/>
                <w:sz w:val="13"/>
              </w:rPr>
            </w:pPr>
          </w:p>
        </w:tc>
        <w:tc>
          <w:tcPr>
            <w:tcW w:w="4486" w:type="dxa"/>
          </w:tcPr>
          <w:p w14:paraId="765F2D4A" w14:textId="44A0E684" w:rsidR="00182709" w:rsidRDefault="002A02C0" w:rsidP="005B452C">
            <w:pPr>
              <w:ind w:left="170" w:hanging="170"/>
              <w:jc w:val="left"/>
            </w:pPr>
            <w:r>
              <w:t>SCA</w:t>
            </w:r>
            <w:r w:rsidR="0044097C">
              <w:t xml:space="preserve"> commitments (7.5.2)</w:t>
            </w:r>
          </w:p>
        </w:tc>
        <w:tc>
          <w:tcPr>
            <w:tcW w:w="863" w:type="dxa"/>
          </w:tcPr>
          <w:p w14:paraId="3C5957E2" w14:textId="77777777" w:rsidR="00182709" w:rsidRDefault="0044097C">
            <w:r>
              <w:t>17 230</w:t>
            </w:r>
          </w:p>
        </w:tc>
        <w:tc>
          <w:tcPr>
            <w:tcW w:w="863" w:type="dxa"/>
          </w:tcPr>
          <w:p w14:paraId="4A8D5770" w14:textId="77777777" w:rsidR="00182709" w:rsidRDefault="0044097C">
            <w:r>
              <w:t>14 440</w:t>
            </w:r>
          </w:p>
        </w:tc>
        <w:tc>
          <w:tcPr>
            <w:tcW w:w="863" w:type="dxa"/>
          </w:tcPr>
          <w:p w14:paraId="2B603177" w14:textId="77777777" w:rsidR="00182709" w:rsidRDefault="0044097C">
            <w:r>
              <w:t>11 162</w:t>
            </w:r>
          </w:p>
        </w:tc>
        <w:tc>
          <w:tcPr>
            <w:tcW w:w="863" w:type="dxa"/>
          </w:tcPr>
          <w:p w14:paraId="24566A8A" w14:textId="77777777" w:rsidR="00182709" w:rsidRDefault="0044097C">
            <w:r>
              <w:t>42 832</w:t>
            </w:r>
          </w:p>
        </w:tc>
      </w:tr>
      <w:tr w:rsidR="00182709" w14:paraId="4C75EF0D" w14:textId="77777777" w:rsidTr="005B452C">
        <w:tc>
          <w:tcPr>
            <w:tcW w:w="1701" w:type="dxa"/>
            <w:tcBorders>
              <w:bottom w:val="nil"/>
            </w:tcBorders>
          </w:tcPr>
          <w:p w14:paraId="56667697" w14:textId="77777777" w:rsidR="00182709" w:rsidRPr="005B452C" w:rsidRDefault="0044097C">
            <w:pPr>
              <w:jc w:val="left"/>
              <w:rPr>
                <w:bCs/>
                <w:iCs/>
                <w:color w:val="4472C4"/>
                <w:sz w:val="13"/>
              </w:rPr>
            </w:pPr>
            <w:r w:rsidRPr="005B452C">
              <w:rPr>
                <w:bCs/>
                <w:iCs/>
                <w:color w:val="4472C4"/>
                <w:sz w:val="13"/>
              </w:rPr>
              <w:t>AASB 116.74 (c)</w:t>
            </w:r>
          </w:p>
        </w:tc>
        <w:tc>
          <w:tcPr>
            <w:tcW w:w="4486" w:type="dxa"/>
          </w:tcPr>
          <w:p w14:paraId="33E06881" w14:textId="77777777" w:rsidR="00182709" w:rsidRDefault="0044097C" w:rsidP="005B452C">
            <w:pPr>
              <w:ind w:left="170" w:hanging="170"/>
              <w:jc w:val="left"/>
            </w:pPr>
            <w:r>
              <w:t>Capital expenditure commitments payable</w:t>
            </w:r>
          </w:p>
        </w:tc>
        <w:tc>
          <w:tcPr>
            <w:tcW w:w="863" w:type="dxa"/>
          </w:tcPr>
          <w:p w14:paraId="4315FB0C" w14:textId="77777777" w:rsidR="00182709" w:rsidRDefault="0044097C">
            <w:r>
              <w:t>5 812</w:t>
            </w:r>
          </w:p>
        </w:tc>
        <w:tc>
          <w:tcPr>
            <w:tcW w:w="863" w:type="dxa"/>
          </w:tcPr>
          <w:p w14:paraId="3D4CE190" w14:textId="77777777" w:rsidR="00182709" w:rsidRDefault="0044097C">
            <w:r>
              <w:t>198</w:t>
            </w:r>
          </w:p>
        </w:tc>
        <w:tc>
          <w:tcPr>
            <w:tcW w:w="863" w:type="dxa"/>
          </w:tcPr>
          <w:p w14:paraId="497621DC" w14:textId="77777777" w:rsidR="00182709" w:rsidRDefault="0044097C">
            <w:r>
              <w:t>..</w:t>
            </w:r>
          </w:p>
        </w:tc>
        <w:tc>
          <w:tcPr>
            <w:tcW w:w="863" w:type="dxa"/>
          </w:tcPr>
          <w:p w14:paraId="53FDD8E0" w14:textId="77777777" w:rsidR="00182709" w:rsidRDefault="0044097C">
            <w:r>
              <w:t>6 010</w:t>
            </w:r>
          </w:p>
        </w:tc>
      </w:tr>
      <w:tr w:rsidR="00182709" w14:paraId="3EE683C5" w14:textId="77777777" w:rsidTr="005B452C">
        <w:tc>
          <w:tcPr>
            <w:tcW w:w="1701" w:type="dxa"/>
            <w:tcBorders>
              <w:bottom w:val="nil"/>
            </w:tcBorders>
          </w:tcPr>
          <w:p w14:paraId="6360B238" w14:textId="77777777" w:rsidR="00182709" w:rsidRPr="005B452C" w:rsidRDefault="0044097C">
            <w:pPr>
              <w:jc w:val="left"/>
              <w:rPr>
                <w:bCs/>
                <w:iCs/>
                <w:color w:val="4472C4"/>
                <w:sz w:val="13"/>
              </w:rPr>
            </w:pPr>
            <w:r w:rsidRPr="005B452C">
              <w:rPr>
                <w:bCs/>
                <w:iCs/>
                <w:color w:val="4472C4"/>
                <w:sz w:val="13"/>
              </w:rPr>
              <w:t>AASB 138.122 (e)</w:t>
            </w:r>
          </w:p>
        </w:tc>
        <w:tc>
          <w:tcPr>
            <w:tcW w:w="4486" w:type="dxa"/>
          </w:tcPr>
          <w:p w14:paraId="0FA1E8C9" w14:textId="77777777" w:rsidR="00182709" w:rsidRDefault="0044097C" w:rsidP="005B452C">
            <w:pPr>
              <w:ind w:left="170" w:hanging="170"/>
              <w:jc w:val="left"/>
            </w:pPr>
            <w:r>
              <w:t>Intangible assets commitments payable</w:t>
            </w:r>
          </w:p>
        </w:tc>
        <w:tc>
          <w:tcPr>
            <w:tcW w:w="863" w:type="dxa"/>
          </w:tcPr>
          <w:p w14:paraId="516C23B6" w14:textId="77777777" w:rsidR="00182709" w:rsidRDefault="0044097C">
            <w:r>
              <w:t>15</w:t>
            </w:r>
          </w:p>
        </w:tc>
        <w:tc>
          <w:tcPr>
            <w:tcW w:w="863" w:type="dxa"/>
          </w:tcPr>
          <w:p w14:paraId="3CA2DBE7" w14:textId="77777777" w:rsidR="00182709" w:rsidRDefault="0044097C">
            <w:r>
              <w:t>5</w:t>
            </w:r>
          </w:p>
        </w:tc>
        <w:tc>
          <w:tcPr>
            <w:tcW w:w="863" w:type="dxa"/>
          </w:tcPr>
          <w:p w14:paraId="4EDAFE24" w14:textId="77777777" w:rsidR="00182709" w:rsidRDefault="0044097C">
            <w:r>
              <w:t>..</w:t>
            </w:r>
          </w:p>
        </w:tc>
        <w:tc>
          <w:tcPr>
            <w:tcW w:w="863" w:type="dxa"/>
          </w:tcPr>
          <w:p w14:paraId="42548105" w14:textId="77777777" w:rsidR="00182709" w:rsidRDefault="0044097C">
            <w:r>
              <w:t>20</w:t>
            </w:r>
          </w:p>
        </w:tc>
      </w:tr>
      <w:tr w:rsidR="00182709" w14:paraId="2D2CF6BB" w14:textId="77777777" w:rsidTr="005B452C">
        <w:tc>
          <w:tcPr>
            <w:tcW w:w="1701" w:type="dxa"/>
            <w:tcBorders>
              <w:bottom w:val="nil"/>
            </w:tcBorders>
          </w:tcPr>
          <w:p w14:paraId="2C59E613" w14:textId="77777777" w:rsidR="00182709" w:rsidRPr="005B452C" w:rsidRDefault="0044097C">
            <w:pPr>
              <w:jc w:val="left"/>
              <w:rPr>
                <w:bCs/>
                <w:iCs/>
                <w:color w:val="4472C4"/>
                <w:sz w:val="13"/>
              </w:rPr>
            </w:pPr>
            <w:r w:rsidRPr="005B452C">
              <w:rPr>
                <w:bCs/>
                <w:iCs/>
                <w:color w:val="4472C4"/>
                <w:sz w:val="13"/>
              </w:rPr>
              <w:t>AASB 12.23(b), B19 (a)(ii)</w:t>
            </w:r>
          </w:p>
        </w:tc>
        <w:tc>
          <w:tcPr>
            <w:tcW w:w="4486" w:type="dxa"/>
          </w:tcPr>
          <w:p w14:paraId="0FDC21A6" w14:textId="77777777" w:rsidR="00182709" w:rsidRDefault="0044097C" w:rsidP="005B452C">
            <w:pPr>
              <w:ind w:left="170" w:hanging="170"/>
              <w:jc w:val="left"/>
            </w:pPr>
            <w:r>
              <w:t>Share of joint ventures’ capital commitments</w:t>
            </w:r>
          </w:p>
        </w:tc>
        <w:tc>
          <w:tcPr>
            <w:tcW w:w="863" w:type="dxa"/>
          </w:tcPr>
          <w:p w14:paraId="0B03A05E" w14:textId="77777777" w:rsidR="00182709" w:rsidRDefault="0044097C">
            <w:r>
              <w:t>..</w:t>
            </w:r>
          </w:p>
        </w:tc>
        <w:tc>
          <w:tcPr>
            <w:tcW w:w="863" w:type="dxa"/>
          </w:tcPr>
          <w:p w14:paraId="252BFF6E" w14:textId="77777777" w:rsidR="00182709" w:rsidRDefault="0044097C">
            <w:r>
              <w:t>8</w:t>
            </w:r>
          </w:p>
        </w:tc>
        <w:tc>
          <w:tcPr>
            <w:tcW w:w="863" w:type="dxa"/>
          </w:tcPr>
          <w:p w14:paraId="23F2EB2A" w14:textId="77777777" w:rsidR="00182709" w:rsidRDefault="0044097C">
            <w:r>
              <w:t>13</w:t>
            </w:r>
          </w:p>
        </w:tc>
        <w:tc>
          <w:tcPr>
            <w:tcW w:w="863" w:type="dxa"/>
          </w:tcPr>
          <w:p w14:paraId="393479AF" w14:textId="77777777" w:rsidR="00182709" w:rsidRDefault="0044097C">
            <w:r>
              <w:t>21</w:t>
            </w:r>
          </w:p>
        </w:tc>
      </w:tr>
      <w:tr w:rsidR="00182709" w14:paraId="70C72A3F" w14:textId="77777777" w:rsidTr="005B452C">
        <w:tc>
          <w:tcPr>
            <w:tcW w:w="1701" w:type="dxa"/>
            <w:tcBorders>
              <w:bottom w:val="nil"/>
            </w:tcBorders>
          </w:tcPr>
          <w:p w14:paraId="31023AB4" w14:textId="77777777" w:rsidR="00182709" w:rsidRPr="005B452C" w:rsidRDefault="00182709">
            <w:pPr>
              <w:jc w:val="left"/>
              <w:rPr>
                <w:bCs/>
                <w:iCs/>
                <w:color w:val="4472C4"/>
                <w:sz w:val="13"/>
              </w:rPr>
            </w:pPr>
          </w:p>
        </w:tc>
        <w:tc>
          <w:tcPr>
            <w:tcW w:w="4486" w:type="dxa"/>
            <w:tcBorders>
              <w:bottom w:val="single" w:sz="12" w:space="0" w:color="auto"/>
            </w:tcBorders>
          </w:tcPr>
          <w:p w14:paraId="3D92CBE8" w14:textId="77777777" w:rsidR="00182709" w:rsidRDefault="0044097C" w:rsidP="005B452C">
            <w:pPr>
              <w:ind w:left="170" w:hanging="170"/>
              <w:jc w:val="left"/>
            </w:pPr>
            <w:r>
              <w:t>Other commitments payable</w:t>
            </w:r>
          </w:p>
        </w:tc>
        <w:tc>
          <w:tcPr>
            <w:tcW w:w="863" w:type="dxa"/>
            <w:tcBorders>
              <w:bottom w:val="single" w:sz="12" w:space="0" w:color="auto"/>
            </w:tcBorders>
          </w:tcPr>
          <w:p w14:paraId="43A545D1" w14:textId="77777777" w:rsidR="00182709" w:rsidRDefault="0044097C">
            <w:r>
              <w:t>..</w:t>
            </w:r>
          </w:p>
        </w:tc>
        <w:tc>
          <w:tcPr>
            <w:tcW w:w="863" w:type="dxa"/>
            <w:tcBorders>
              <w:bottom w:val="single" w:sz="12" w:space="0" w:color="auto"/>
            </w:tcBorders>
          </w:tcPr>
          <w:p w14:paraId="36744828" w14:textId="77777777" w:rsidR="00182709" w:rsidRDefault="0044097C">
            <w:r>
              <w:t>..</w:t>
            </w:r>
          </w:p>
        </w:tc>
        <w:tc>
          <w:tcPr>
            <w:tcW w:w="863" w:type="dxa"/>
            <w:tcBorders>
              <w:bottom w:val="single" w:sz="12" w:space="0" w:color="auto"/>
            </w:tcBorders>
          </w:tcPr>
          <w:p w14:paraId="2600E938" w14:textId="77777777" w:rsidR="00182709" w:rsidRDefault="0044097C">
            <w:r>
              <w:t>..</w:t>
            </w:r>
          </w:p>
        </w:tc>
        <w:tc>
          <w:tcPr>
            <w:tcW w:w="863" w:type="dxa"/>
            <w:tcBorders>
              <w:bottom w:val="single" w:sz="12" w:space="0" w:color="auto"/>
            </w:tcBorders>
          </w:tcPr>
          <w:p w14:paraId="0BFFD626" w14:textId="77777777" w:rsidR="00182709" w:rsidRDefault="0044097C">
            <w:r>
              <w:t>..</w:t>
            </w:r>
          </w:p>
        </w:tc>
      </w:tr>
      <w:tr w:rsidR="00671D55" w14:paraId="48F0F856" w14:textId="77777777" w:rsidTr="005B452C">
        <w:tc>
          <w:tcPr>
            <w:tcW w:w="1701" w:type="dxa"/>
            <w:tcBorders>
              <w:top w:val="nil"/>
              <w:bottom w:val="nil"/>
            </w:tcBorders>
          </w:tcPr>
          <w:p w14:paraId="23ACA6CE" w14:textId="77777777" w:rsidR="00182709" w:rsidRPr="005B452C" w:rsidRDefault="00182709">
            <w:pPr>
              <w:jc w:val="left"/>
              <w:rPr>
                <w:bCs/>
                <w:iCs/>
                <w:color w:val="4472C4"/>
                <w:sz w:val="13"/>
              </w:rPr>
            </w:pPr>
          </w:p>
        </w:tc>
        <w:tc>
          <w:tcPr>
            <w:tcW w:w="4486" w:type="dxa"/>
          </w:tcPr>
          <w:p w14:paraId="3187E050" w14:textId="77777777" w:rsidR="00182709" w:rsidRDefault="0044097C" w:rsidP="005B452C">
            <w:pPr>
              <w:ind w:left="170" w:hanging="170"/>
              <w:jc w:val="left"/>
            </w:pPr>
            <w:r>
              <w:rPr>
                <w:b/>
              </w:rPr>
              <w:t>Total commitments (inclusive of GST)</w:t>
            </w:r>
          </w:p>
        </w:tc>
        <w:tc>
          <w:tcPr>
            <w:tcW w:w="863" w:type="dxa"/>
          </w:tcPr>
          <w:p w14:paraId="44B52EBC" w14:textId="77777777" w:rsidR="00182709" w:rsidRDefault="0044097C">
            <w:r>
              <w:rPr>
                <w:b/>
              </w:rPr>
              <w:t>23 057</w:t>
            </w:r>
          </w:p>
        </w:tc>
        <w:tc>
          <w:tcPr>
            <w:tcW w:w="863" w:type="dxa"/>
          </w:tcPr>
          <w:p w14:paraId="75CEBBAF" w14:textId="77777777" w:rsidR="00182709" w:rsidRDefault="0044097C">
            <w:r>
              <w:rPr>
                <w:b/>
              </w:rPr>
              <w:t>14 651</w:t>
            </w:r>
          </w:p>
        </w:tc>
        <w:tc>
          <w:tcPr>
            <w:tcW w:w="863" w:type="dxa"/>
          </w:tcPr>
          <w:p w14:paraId="17031D2A" w14:textId="77777777" w:rsidR="00182709" w:rsidRDefault="0044097C">
            <w:r>
              <w:rPr>
                <w:b/>
              </w:rPr>
              <w:t>11 175</w:t>
            </w:r>
          </w:p>
        </w:tc>
        <w:tc>
          <w:tcPr>
            <w:tcW w:w="863" w:type="dxa"/>
          </w:tcPr>
          <w:p w14:paraId="6D82A002" w14:textId="77777777" w:rsidR="00182709" w:rsidRDefault="0044097C">
            <w:r>
              <w:rPr>
                <w:b/>
              </w:rPr>
              <w:t>48 883</w:t>
            </w:r>
          </w:p>
        </w:tc>
      </w:tr>
      <w:tr w:rsidR="00671D55" w14:paraId="77979142" w14:textId="77777777" w:rsidTr="005B452C">
        <w:tc>
          <w:tcPr>
            <w:tcW w:w="1701" w:type="dxa"/>
            <w:tcBorders>
              <w:top w:val="nil"/>
              <w:bottom w:val="nil"/>
            </w:tcBorders>
          </w:tcPr>
          <w:p w14:paraId="31E8F036" w14:textId="77777777" w:rsidR="00182709" w:rsidRPr="005B452C" w:rsidRDefault="00182709">
            <w:pPr>
              <w:jc w:val="left"/>
              <w:rPr>
                <w:bCs/>
                <w:iCs/>
                <w:color w:val="4472C4"/>
                <w:sz w:val="13"/>
              </w:rPr>
            </w:pPr>
          </w:p>
        </w:tc>
        <w:tc>
          <w:tcPr>
            <w:tcW w:w="4486" w:type="dxa"/>
          </w:tcPr>
          <w:p w14:paraId="505403B6" w14:textId="77777777" w:rsidR="00182709" w:rsidRDefault="0044097C" w:rsidP="005B452C">
            <w:pPr>
              <w:ind w:left="170" w:hanging="170"/>
              <w:jc w:val="left"/>
            </w:pPr>
            <w:r>
              <w:t>Less GST recoverable from the Australian Tax Office</w:t>
            </w:r>
          </w:p>
        </w:tc>
        <w:tc>
          <w:tcPr>
            <w:tcW w:w="863" w:type="dxa"/>
          </w:tcPr>
          <w:p w14:paraId="421F2A85" w14:textId="77777777" w:rsidR="00182709" w:rsidRDefault="00182709"/>
        </w:tc>
        <w:tc>
          <w:tcPr>
            <w:tcW w:w="863" w:type="dxa"/>
          </w:tcPr>
          <w:p w14:paraId="40AEFC25" w14:textId="77777777" w:rsidR="00182709" w:rsidRDefault="00182709"/>
        </w:tc>
        <w:tc>
          <w:tcPr>
            <w:tcW w:w="863" w:type="dxa"/>
          </w:tcPr>
          <w:p w14:paraId="140BEA64" w14:textId="77777777" w:rsidR="00182709" w:rsidRDefault="00182709"/>
        </w:tc>
        <w:tc>
          <w:tcPr>
            <w:tcW w:w="863" w:type="dxa"/>
          </w:tcPr>
          <w:p w14:paraId="282BB4BA" w14:textId="77777777" w:rsidR="00182709" w:rsidRDefault="0044097C">
            <w:r>
              <w:t>(3 284)</w:t>
            </w:r>
          </w:p>
        </w:tc>
      </w:tr>
      <w:tr w:rsidR="00671D55" w14:paraId="51AF55E0" w14:textId="77777777" w:rsidTr="005B452C">
        <w:tc>
          <w:tcPr>
            <w:tcW w:w="1701" w:type="dxa"/>
            <w:tcBorders>
              <w:top w:val="nil"/>
              <w:bottom w:val="nil"/>
            </w:tcBorders>
          </w:tcPr>
          <w:p w14:paraId="1DD45F5B" w14:textId="77777777" w:rsidR="00182709" w:rsidRPr="005B452C" w:rsidRDefault="00182709">
            <w:pPr>
              <w:jc w:val="left"/>
              <w:rPr>
                <w:bCs/>
                <w:iCs/>
                <w:color w:val="4472C4"/>
                <w:sz w:val="13"/>
              </w:rPr>
            </w:pPr>
          </w:p>
        </w:tc>
        <w:tc>
          <w:tcPr>
            <w:tcW w:w="4486" w:type="dxa"/>
          </w:tcPr>
          <w:p w14:paraId="775ADC87" w14:textId="77777777" w:rsidR="00182709" w:rsidRDefault="0044097C" w:rsidP="005B452C">
            <w:pPr>
              <w:ind w:left="170" w:hanging="170"/>
              <w:jc w:val="left"/>
            </w:pPr>
            <w:r>
              <w:rPr>
                <w:b/>
              </w:rPr>
              <w:t>Total commitments (exclusive of GST)</w:t>
            </w:r>
          </w:p>
        </w:tc>
        <w:tc>
          <w:tcPr>
            <w:tcW w:w="863" w:type="dxa"/>
          </w:tcPr>
          <w:p w14:paraId="73CB2944" w14:textId="77777777" w:rsidR="00182709" w:rsidRDefault="00182709"/>
        </w:tc>
        <w:tc>
          <w:tcPr>
            <w:tcW w:w="863" w:type="dxa"/>
          </w:tcPr>
          <w:p w14:paraId="53FB0A37" w14:textId="77777777" w:rsidR="00182709" w:rsidRDefault="00182709"/>
        </w:tc>
        <w:tc>
          <w:tcPr>
            <w:tcW w:w="863" w:type="dxa"/>
          </w:tcPr>
          <w:p w14:paraId="60C3CB34" w14:textId="77777777" w:rsidR="00182709" w:rsidRDefault="00182709"/>
        </w:tc>
        <w:tc>
          <w:tcPr>
            <w:tcW w:w="863" w:type="dxa"/>
          </w:tcPr>
          <w:p w14:paraId="525760F5" w14:textId="12D4A12E" w:rsidR="00182709" w:rsidRDefault="0044097C">
            <w:r>
              <w:rPr>
                <w:b/>
              </w:rPr>
              <w:t>45 599</w:t>
            </w:r>
          </w:p>
        </w:tc>
      </w:tr>
    </w:tbl>
    <w:p w14:paraId="171A5426" w14:textId="5A515F20" w:rsidR="003719CD" w:rsidRDefault="002A02C0" w:rsidP="00A80494">
      <w:pPr>
        <w:pStyle w:val="Heading3numbered"/>
      </w:pPr>
      <w:r>
        <w:t xml:space="preserve">Service </w:t>
      </w:r>
      <w:r w:rsidR="006A1E3B">
        <w:t>c</w:t>
      </w:r>
      <w:r>
        <w:t xml:space="preserve">oncession </w:t>
      </w:r>
      <w:r w:rsidR="006A1E3B">
        <w:t>a</w:t>
      </w:r>
      <w:r>
        <w:t>rrangements</w:t>
      </w:r>
      <w:r w:rsidR="003719CD">
        <w:t xml:space="preserve"> </w:t>
      </w:r>
      <w:r>
        <w:t>(SCA)</w:t>
      </w:r>
      <w:r w:rsidR="003719CD">
        <w:t xml:space="preserve"> commitments</w:t>
      </w:r>
      <w:r w:rsidR="00E1128E">
        <w:t xml:space="preserve"> </w:t>
      </w:r>
    </w:p>
    <w:p w14:paraId="0AB2C058" w14:textId="2D60B651" w:rsidR="002A02C0" w:rsidRDefault="002A02C0" w:rsidP="002A02C0">
      <w:pPr>
        <w:keepNext/>
      </w:pPr>
      <w:r>
        <w:t>The SCA commitments table below comprises of the following:</w:t>
      </w:r>
    </w:p>
    <w:p w14:paraId="1B59A33D" w14:textId="02D288A4" w:rsidR="002A02C0" w:rsidRDefault="009A295B" w:rsidP="000B6AAB">
      <w:pPr>
        <w:pStyle w:val="ListBullet"/>
      </w:pPr>
      <w:r w:rsidRPr="00994C66">
        <w:rPr>
          <w:b/>
          <w:bCs/>
        </w:rPr>
        <w:t>C</w:t>
      </w:r>
      <w:r w:rsidR="002A02C0" w:rsidRPr="00994C66">
        <w:rPr>
          <w:b/>
          <w:bCs/>
        </w:rPr>
        <w:t>ommissioned SCAs</w:t>
      </w:r>
      <w:r w:rsidR="005439BA">
        <w:t>: O</w:t>
      </w:r>
      <w:r w:rsidR="002A02C0">
        <w:t>nly the operating and maintenance commitments of the SCA</w:t>
      </w:r>
      <w:r w:rsidR="005439BA">
        <w:t xml:space="preserve"> for the remaining term of the SCA </w:t>
      </w:r>
      <w:r w:rsidR="002A02C0">
        <w:t xml:space="preserve">are included in the commitments amounts, as the capital component (i.e. the construction of the underlying asset) is recorded as a liability on the </w:t>
      </w:r>
      <w:r w:rsidR="00562EA4">
        <w:t>D</w:t>
      </w:r>
      <w:r w:rsidR="002A02C0">
        <w:t>epartment’s balance sheet</w:t>
      </w:r>
      <w:r w:rsidR="007A1D0E">
        <w:t>.</w:t>
      </w:r>
    </w:p>
    <w:p w14:paraId="40EB23D8" w14:textId="61D09FC4" w:rsidR="002A02C0" w:rsidRDefault="009A295B" w:rsidP="000B6AAB">
      <w:pPr>
        <w:pStyle w:val="ListBullet"/>
      </w:pPr>
      <w:r w:rsidRPr="00994C66">
        <w:rPr>
          <w:b/>
          <w:bCs/>
        </w:rPr>
        <w:t>U</w:t>
      </w:r>
      <w:r w:rsidR="002A02C0" w:rsidRPr="00994C66">
        <w:rPr>
          <w:b/>
          <w:bCs/>
        </w:rPr>
        <w:t>ncommissioned SCAs</w:t>
      </w:r>
      <w:r w:rsidR="005439BA">
        <w:t>: T</w:t>
      </w:r>
      <w:r w:rsidR="002A02C0">
        <w:t xml:space="preserve">he commitments include the capital component not yet recognised on the balance sheet (i.e. the amount relating to the asset which hasn’t been constructed as yet), the </w:t>
      </w:r>
      <w:r w:rsidR="00562EA4">
        <w:t>D</w:t>
      </w:r>
      <w:r w:rsidR="002A02C0">
        <w:t>epartment’s future capital contributions as well as the operating and maintenance commitments for the SCA contract.</w:t>
      </w:r>
    </w:p>
    <w:p w14:paraId="6C587C76" w14:textId="1B8E1825" w:rsidR="009A64B5" w:rsidRDefault="009A64B5" w:rsidP="009A64B5">
      <w:pPr>
        <w:keepNext/>
      </w:pPr>
      <w:r>
        <w:t>Further information around the Department’s SCAs can be found in Note 7.5.3.</w:t>
      </w:r>
    </w:p>
    <w:p w14:paraId="40CBFC36" w14:textId="77777777" w:rsidR="000B6AAB" w:rsidRDefault="000B6AAB">
      <w:pPr>
        <w:keepLines w:val="0"/>
        <w:rPr>
          <w:b/>
          <w:iCs/>
          <w:color w:val="404040" w:themeColor="text1" w:themeTint="BF"/>
        </w:rPr>
      </w:pPr>
      <w:r>
        <w:br w:type="page"/>
      </w:r>
    </w:p>
    <w:p w14:paraId="34EBF317" w14:textId="71EA33A4" w:rsidR="009A26E2" w:rsidRDefault="00264F82" w:rsidP="005648A9">
      <w:pPr>
        <w:pStyle w:val="Caption"/>
      </w:pPr>
      <w:r>
        <w:lastRenderedPageBreak/>
        <w:t>SCA</w:t>
      </w:r>
      <w:r w:rsidR="003719CD">
        <w:t xml:space="preserve"> </w:t>
      </w:r>
      <w:r w:rsidR="00F00FAB">
        <w:t>C</w:t>
      </w:r>
      <w:r w:rsidR="003719CD">
        <w:t>ommitments</w:t>
      </w:r>
      <w:r w:rsidR="003719CD">
        <w:tab/>
        <w:t>($ thousand)</w:t>
      </w:r>
    </w:p>
    <w:tbl>
      <w:tblPr>
        <w:tblStyle w:val="DTFTable"/>
        <w:tblW w:w="9715" w:type="dxa"/>
        <w:tblLayout w:type="fixed"/>
        <w:tblCellMar>
          <w:left w:w="43" w:type="dxa"/>
          <w:right w:w="43" w:type="dxa"/>
        </w:tblCellMar>
        <w:tblLook w:val="06A0" w:firstRow="1" w:lastRow="0" w:firstColumn="1" w:lastColumn="0" w:noHBand="1" w:noVBand="1"/>
      </w:tblPr>
      <w:tblGrid>
        <w:gridCol w:w="1890"/>
        <w:gridCol w:w="810"/>
        <w:gridCol w:w="1066"/>
        <w:gridCol w:w="994"/>
        <w:gridCol w:w="1052"/>
        <w:gridCol w:w="848"/>
        <w:gridCol w:w="990"/>
        <w:gridCol w:w="1080"/>
        <w:gridCol w:w="985"/>
      </w:tblGrid>
      <w:tr w:rsidR="005648A9" w14:paraId="12D2F197" w14:textId="77777777" w:rsidTr="008D60A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90" w:type="dxa"/>
          </w:tcPr>
          <w:p w14:paraId="206A9BBF" w14:textId="77777777" w:rsidR="005648A9" w:rsidRPr="005B452C" w:rsidRDefault="005648A9">
            <w:pPr>
              <w:keepNext/>
              <w:rPr>
                <w:sz w:val="14"/>
                <w:szCs w:val="14"/>
              </w:rPr>
            </w:pPr>
          </w:p>
        </w:tc>
        <w:tc>
          <w:tcPr>
            <w:tcW w:w="3922" w:type="dxa"/>
            <w:gridSpan w:val="4"/>
          </w:tcPr>
          <w:p w14:paraId="34E5AEC0" w14:textId="7C77B637" w:rsidR="005648A9" w:rsidRPr="005B452C" w:rsidRDefault="000B6AAB" w:rsidP="005648A9">
            <w:pPr>
              <w:keepNext/>
              <w:jc w:val="center"/>
              <w:cnfStyle w:val="100000000000" w:firstRow="1" w:lastRow="0" w:firstColumn="0" w:lastColumn="0" w:oddVBand="0" w:evenVBand="0" w:oddHBand="0" w:evenHBand="0" w:firstRowFirstColumn="0" w:firstRowLastColumn="0" w:lastRowFirstColumn="0" w:lastRowLastColumn="0"/>
              <w:rPr>
                <w:sz w:val="14"/>
                <w:szCs w:val="14"/>
              </w:rPr>
            </w:pPr>
            <w:r w:rsidRPr="000B6AAB">
              <w:rPr>
                <w:sz w:val="14"/>
                <w:szCs w:val="16"/>
              </w:rPr>
              <w:fldChar w:fldCharType="begin"/>
            </w:r>
            <w:r w:rsidRPr="000B6AAB">
              <w:rPr>
                <w:sz w:val="14"/>
                <w:szCs w:val="16"/>
              </w:rPr>
              <w:instrText>DOCPROPERTY  YearCurrent \* MERGEFORMAT</w:instrText>
            </w:r>
            <w:r w:rsidRPr="000B6AAB">
              <w:rPr>
                <w:sz w:val="14"/>
                <w:szCs w:val="16"/>
              </w:rPr>
              <w:fldChar w:fldCharType="separate"/>
            </w:r>
            <w:r w:rsidRPr="000B6AAB">
              <w:rPr>
                <w:sz w:val="14"/>
                <w:szCs w:val="16"/>
              </w:rPr>
              <w:t>20X2</w:t>
            </w:r>
            <w:r w:rsidRPr="000B6AAB">
              <w:rPr>
                <w:sz w:val="14"/>
                <w:szCs w:val="16"/>
              </w:rPr>
              <w:fldChar w:fldCharType="end"/>
            </w:r>
          </w:p>
        </w:tc>
        <w:tc>
          <w:tcPr>
            <w:tcW w:w="3903" w:type="dxa"/>
            <w:gridSpan w:val="4"/>
          </w:tcPr>
          <w:p w14:paraId="6A6DD6B6" w14:textId="49445A8D" w:rsidR="005648A9" w:rsidRPr="005B452C" w:rsidRDefault="000B6AAB" w:rsidP="005648A9">
            <w:pPr>
              <w:keepNext/>
              <w:jc w:val="center"/>
              <w:cnfStyle w:val="100000000000" w:firstRow="1" w:lastRow="0" w:firstColumn="0" w:lastColumn="0" w:oddVBand="0" w:evenVBand="0" w:oddHBand="0" w:evenHBand="0" w:firstRowFirstColumn="0" w:firstRowLastColumn="0" w:lastRowFirstColumn="0" w:lastRowLastColumn="0"/>
              <w:rPr>
                <w:sz w:val="14"/>
                <w:szCs w:val="14"/>
              </w:rPr>
            </w:pPr>
            <w:r w:rsidRPr="000B6AAB">
              <w:rPr>
                <w:sz w:val="14"/>
                <w:szCs w:val="16"/>
              </w:rPr>
              <w:fldChar w:fldCharType="begin"/>
            </w:r>
            <w:r w:rsidRPr="000B6AAB">
              <w:rPr>
                <w:sz w:val="14"/>
                <w:szCs w:val="16"/>
              </w:rPr>
              <w:instrText>DOCPROPERTY  YearPrevious  \* MERGEFORMAT</w:instrText>
            </w:r>
            <w:r w:rsidRPr="000B6AAB">
              <w:rPr>
                <w:sz w:val="14"/>
                <w:szCs w:val="16"/>
              </w:rPr>
              <w:fldChar w:fldCharType="separate"/>
            </w:r>
            <w:r w:rsidRPr="000B6AAB">
              <w:rPr>
                <w:sz w:val="14"/>
                <w:szCs w:val="16"/>
                <w:lang w:val="en-US"/>
              </w:rPr>
              <w:t>20X1</w:t>
            </w:r>
            <w:r w:rsidRPr="000B6AAB">
              <w:rPr>
                <w:sz w:val="14"/>
                <w:szCs w:val="16"/>
              </w:rPr>
              <w:fldChar w:fldCharType="end"/>
            </w:r>
          </w:p>
        </w:tc>
      </w:tr>
      <w:tr w:rsidR="008E5233" w14:paraId="48D50679" w14:textId="77777777" w:rsidTr="008D60A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90" w:type="dxa"/>
          </w:tcPr>
          <w:p w14:paraId="418AEFCB" w14:textId="77777777" w:rsidR="008E5233" w:rsidRPr="005B452C" w:rsidRDefault="008E5233">
            <w:pPr>
              <w:keepNext/>
              <w:rPr>
                <w:sz w:val="14"/>
                <w:szCs w:val="14"/>
              </w:rPr>
            </w:pPr>
          </w:p>
        </w:tc>
        <w:tc>
          <w:tcPr>
            <w:tcW w:w="810" w:type="dxa"/>
          </w:tcPr>
          <w:p w14:paraId="0A1E1298"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Liability</w:t>
            </w:r>
          </w:p>
        </w:tc>
        <w:tc>
          <w:tcPr>
            <w:tcW w:w="1066" w:type="dxa"/>
          </w:tcPr>
          <w:p w14:paraId="3EBC0E83" w14:textId="30FA36E7" w:rsidR="008E5233" w:rsidRPr="0078414B" w:rsidRDefault="005648A9">
            <w:pPr>
              <w:keepNext/>
              <w:cnfStyle w:val="100000000000" w:firstRow="1" w:lastRow="0" w:firstColumn="0" w:lastColumn="0" w:oddVBand="0" w:evenVBand="0" w:oddHBand="0" w:evenHBand="0" w:firstRowFirstColumn="0" w:firstRowLastColumn="0" w:lastRowFirstColumn="0" w:lastRowLastColumn="0"/>
              <w:rPr>
                <w:sz w:val="14"/>
                <w:szCs w:val="14"/>
                <w:vertAlign w:val="superscript"/>
              </w:rPr>
            </w:pPr>
            <w:r w:rsidRPr="005B452C">
              <w:rPr>
                <w:sz w:val="14"/>
                <w:szCs w:val="14"/>
              </w:rPr>
              <w:t>Capital Contribution</w:t>
            </w:r>
            <w:r w:rsidR="0078414B" w:rsidRPr="00867F25">
              <w:rPr>
                <w:sz w:val="14"/>
                <w:szCs w:val="14"/>
                <w:vertAlign w:val="superscript"/>
              </w:rPr>
              <w:t>(a)</w:t>
            </w:r>
            <w:r w:rsidR="00776EED">
              <w:rPr>
                <w:sz w:val="14"/>
                <w:szCs w:val="14"/>
              </w:rPr>
              <w:t xml:space="preserve"> </w:t>
            </w:r>
          </w:p>
        </w:tc>
        <w:tc>
          <w:tcPr>
            <w:tcW w:w="994" w:type="dxa"/>
          </w:tcPr>
          <w:p w14:paraId="4F858165"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Other commitments</w:t>
            </w:r>
          </w:p>
        </w:tc>
        <w:tc>
          <w:tcPr>
            <w:tcW w:w="1052" w:type="dxa"/>
          </w:tcPr>
          <w:p w14:paraId="4FC1D64F"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Commitments</w:t>
            </w:r>
          </w:p>
        </w:tc>
        <w:tc>
          <w:tcPr>
            <w:tcW w:w="848" w:type="dxa"/>
          </w:tcPr>
          <w:p w14:paraId="5A476DA3"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Liability</w:t>
            </w:r>
          </w:p>
        </w:tc>
        <w:tc>
          <w:tcPr>
            <w:tcW w:w="990" w:type="dxa"/>
          </w:tcPr>
          <w:p w14:paraId="0145F75C" w14:textId="1E3BD86A"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Capital Contribution</w:t>
            </w:r>
            <w:r w:rsidR="0078414B" w:rsidRPr="00867F25">
              <w:rPr>
                <w:sz w:val="14"/>
                <w:szCs w:val="14"/>
                <w:vertAlign w:val="superscript"/>
              </w:rPr>
              <w:t>(a)</w:t>
            </w:r>
          </w:p>
        </w:tc>
        <w:tc>
          <w:tcPr>
            <w:tcW w:w="1080" w:type="dxa"/>
          </w:tcPr>
          <w:p w14:paraId="742F4289"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Other commitments</w:t>
            </w:r>
          </w:p>
        </w:tc>
        <w:tc>
          <w:tcPr>
            <w:tcW w:w="985" w:type="dxa"/>
          </w:tcPr>
          <w:p w14:paraId="541871D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Commitments</w:t>
            </w:r>
          </w:p>
        </w:tc>
      </w:tr>
      <w:tr w:rsidR="008E5233" w14:paraId="23338653" w14:textId="77777777" w:rsidTr="008D60A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90" w:type="dxa"/>
          </w:tcPr>
          <w:p w14:paraId="2F662BF8" w14:textId="77777777" w:rsidR="008E5233" w:rsidRPr="005B452C" w:rsidRDefault="008E5233">
            <w:pPr>
              <w:keepNext/>
              <w:rPr>
                <w:sz w:val="14"/>
                <w:szCs w:val="14"/>
              </w:rPr>
            </w:pPr>
          </w:p>
        </w:tc>
        <w:tc>
          <w:tcPr>
            <w:tcW w:w="810" w:type="dxa"/>
          </w:tcPr>
          <w:p w14:paraId="7DB1A507"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Discounted value</w:t>
            </w:r>
          </w:p>
        </w:tc>
        <w:tc>
          <w:tcPr>
            <w:tcW w:w="1066" w:type="dxa"/>
          </w:tcPr>
          <w:p w14:paraId="2314F8E1" w14:textId="77777777" w:rsidR="008E5233" w:rsidRPr="005B452C" w:rsidRDefault="008E5233">
            <w:pPr>
              <w:keepNext/>
              <w:cnfStyle w:val="100000000000" w:firstRow="1" w:lastRow="0" w:firstColumn="0" w:lastColumn="0" w:oddVBand="0" w:evenVBand="0" w:oddHBand="0" w:evenHBand="0" w:firstRowFirstColumn="0" w:firstRowLastColumn="0" w:lastRowFirstColumn="0" w:lastRowLastColumn="0"/>
              <w:rPr>
                <w:sz w:val="14"/>
                <w:szCs w:val="14"/>
              </w:rPr>
            </w:pPr>
          </w:p>
        </w:tc>
        <w:tc>
          <w:tcPr>
            <w:tcW w:w="994" w:type="dxa"/>
          </w:tcPr>
          <w:p w14:paraId="769C829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Present value</w:t>
            </w:r>
          </w:p>
        </w:tc>
        <w:tc>
          <w:tcPr>
            <w:tcW w:w="1052" w:type="dxa"/>
          </w:tcPr>
          <w:p w14:paraId="6D4BA7AF"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Nominal value</w:t>
            </w:r>
          </w:p>
        </w:tc>
        <w:tc>
          <w:tcPr>
            <w:tcW w:w="848" w:type="dxa"/>
          </w:tcPr>
          <w:p w14:paraId="0A6CDF16"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Discounted value</w:t>
            </w:r>
          </w:p>
        </w:tc>
        <w:tc>
          <w:tcPr>
            <w:tcW w:w="990" w:type="dxa"/>
          </w:tcPr>
          <w:p w14:paraId="0DB701DF" w14:textId="77777777" w:rsidR="008E5233" w:rsidRPr="005B452C" w:rsidRDefault="008E5233">
            <w:pPr>
              <w:keepNext/>
              <w:cnfStyle w:val="100000000000" w:firstRow="1" w:lastRow="0" w:firstColumn="0" w:lastColumn="0" w:oddVBand="0" w:evenVBand="0" w:oddHBand="0" w:evenHBand="0" w:firstRowFirstColumn="0" w:firstRowLastColumn="0" w:lastRowFirstColumn="0" w:lastRowLastColumn="0"/>
              <w:rPr>
                <w:sz w:val="14"/>
                <w:szCs w:val="14"/>
              </w:rPr>
            </w:pPr>
          </w:p>
        </w:tc>
        <w:tc>
          <w:tcPr>
            <w:tcW w:w="1080" w:type="dxa"/>
          </w:tcPr>
          <w:p w14:paraId="40CF884D"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Present value</w:t>
            </w:r>
          </w:p>
        </w:tc>
        <w:tc>
          <w:tcPr>
            <w:tcW w:w="985" w:type="dxa"/>
          </w:tcPr>
          <w:p w14:paraId="74ACC5F7" w14:textId="77777777" w:rsidR="008E5233" w:rsidRPr="005B452C" w:rsidRDefault="005648A9">
            <w:pPr>
              <w:keepNext/>
              <w:cnfStyle w:val="100000000000" w:firstRow="1" w:lastRow="0" w:firstColumn="0" w:lastColumn="0" w:oddVBand="0" w:evenVBand="0" w:oddHBand="0" w:evenHBand="0" w:firstRowFirstColumn="0" w:firstRowLastColumn="0" w:lastRowFirstColumn="0" w:lastRowLastColumn="0"/>
              <w:rPr>
                <w:sz w:val="14"/>
                <w:szCs w:val="14"/>
              </w:rPr>
            </w:pPr>
            <w:r w:rsidRPr="005B452C">
              <w:rPr>
                <w:sz w:val="14"/>
                <w:szCs w:val="14"/>
              </w:rPr>
              <w:t>Nominal value</w:t>
            </w:r>
          </w:p>
        </w:tc>
      </w:tr>
      <w:tr w:rsidR="008E5233" w14:paraId="2DF571AB" w14:textId="77777777" w:rsidTr="008D60A4">
        <w:tc>
          <w:tcPr>
            <w:cnfStyle w:val="001000000000" w:firstRow="0" w:lastRow="0" w:firstColumn="1" w:lastColumn="0" w:oddVBand="0" w:evenVBand="0" w:oddHBand="0" w:evenHBand="0" w:firstRowFirstColumn="0" w:firstRowLastColumn="0" w:lastRowFirstColumn="0" w:lastRowLastColumn="0"/>
            <w:tcW w:w="1890" w:type="dxa"/>
          </w:tcPr>
          <w:p w14:paraId="0AB4DFB8" w14:textId="78A72A4C" w:rsidR="008E5233" w:rsidRPr="005B452C" w:rsidRDefault="00264F82">
            <w:pPr>
              <w:rPr>
                <w:sz w:val="14"/>
                <w:szCs w:val="14"/>
              </w:rPr>
            </w:pPr>
            <w:r>
              <w:rPr>
                <w:b/>
                <w:sz w:val="14"/>
                <w:szCs w:val="14"/>
              </w:rPr>
              <w:t xml:space="preserve">Financial liability model </w:t>
            </w:r>
            <w:r w:rsidR="008D60A4">
              <w:rPr>
                <w:b/>
                <w:sz w:val="14"/>
                <w:szCs w:val="14"/>
              </w:rPr>
              <w:t>–</w:t>
            </w:r>
            <w:r>
              <w:rPr>
                <w:b/>
                <w:sz w:val="14"/>
                <w:szCs w:val="14"/>
              </w:rPr>
              <w:t xml:space="preserve"> </w:t>
            </w:r>
            <w:r w:rsidR="005648A9" w:rsidRPr="005B452C">
              <w:rPr>
                <w:b/>
                <w:sz w:val="14"/>
                <w:szCs w:val="14"/>
              </w:rPr>
              <w:t>Commissioned</w:t>
            </w:r>
            <w:r w:rsidR="009A64B5">
              <w:rPr>
                <w:b/>
                <w:sz w:val="14"/>
                <w:szCs w:val="14"/>
              </w:rPr>
              <w:t xml:space="preserve"> SCAs</w:t>
            </w:r>
            <w:r w:rsidR="006547AF">
              <w:rPr>
                <w:b/>
                <w:sz w:val="14"/>
                <w:szCs w:val="14"/>
              </w:rPr>
              <w:t> </w:t>
            </w:r>
            <w:r w:rsidR="00254225">
              <w:rPr>
                <w:b/>
                <w:sz w:val="14"/>
                <w:szCs w:val="14"/>
                <w:vertAlign w:val="superscript"/>
              </w:rPr>
              <w:t>(b)(</w:t>
            </w:r>
            <w:r w:rsidR="005648A9" w:rsidRPr="005B452C">
              <w:rPr>
                <w:b/>
                <w:sz w:val="14"/>
                <w:szCs w:val="14"/>
                <w:vertAlign w:val="superscript"/>
              </w:rPr>
              <w:t>c)(d)</w:t>
            </w:r>
            <w:r w:rsidR="0078414B">
              <w:rPr>
                <w:b/>
                <w:sz w:val="14"/>
                <w:szCs w:val="14"/>
                <w:vertAlign w:val="superscript"/>
              </w:rPr>
              <w:t>(e)</w:t>
            </w:r>
          </w:p>
        </w:tc>
        <w:tc>
          <w:tcPr>
            <w:tcW w:w="810" w:type="dxa"/>
          </w:tcPr>
          <w:p w14:paraId="57F746D9"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66" w:type="dxa"/>
          </w:tcPr>
          <w:p w14:paraId="4465C4B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4" w:type="dxa"/>
          </w:tcPr>
          <w:p w14:paraId="0F3901DE"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2" w:type="dxa"/>
          </w:tcPr>
          <w:p w14:paraId="19096383"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48" w:type="dxa"/>
          </w:tcPr>
          <w:p w14:paraId="183B657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Pr>
          <w:p w14:paraId="39B06E02"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tcPr>
          <w:p w14:paraId="40790C2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85" w:type="dxa"/>
          </w:tcPr>
          <w:p w14:paraId="7ED434A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r>
      <w:tr w:rsidR="008E5233" w14:paraId="56A037AB" w14:textId="77777777" w:rsidTr="008D60A4">
        <w:tc>
          <w:tcPr>
            <w:cnfStyle w:val="001000000000" w:firstRow="0" w:lastRow="0" w:firstColumn="1" w:lastColumn="0" w:oddVBand="0" w:evenVBand="0" w:oddHBand="0" w:evenHBand="0" w:firstRowFirstColumn="0" w:firstRowLastColumn="0" w:lastRowFirstColumn="0" w:lastRowLastColumn="0"/>
            <w:tcW w:w="1890" w:type="dxa"/>
          </w:tcPr>
          <w:p w14:paraId="3C16762D" w14:textId="400EA763" w:rsidR="008E5233" w:rsidRPr="005B452C" w:rsidRDefault="005648A9">
            <w:pPr>
              <w:rPr>
                <w:sz w:val="14"/>
                <w:szCs w:val="14"/>
              </w:rPr>
            </w:pPr>
            <w:r w:rsidRPr="005B452C">
              <w:rPr>
                <w:sz w:val="14"/>
                <w:szCs w:val="14"/>
              </w:rPr>
              <w:t xml:space="preserve">IT&amp;T system development </w:t>
            </w:r>
            <w:r w:rsidRPr="005B452C">
              <w:rPr>
                <w:sz w:val="14"/>
                <w:szCs w:val="14"/>
                <w:vertAlign w:val="superscript"/>
              </w:rPr>
              <w:t>(</w:t>
            </w:r>
            <w:r w:rsidR="0078414B">
              <w:rPr>
                <w:sz w:val="14"/>
                <w:szCs w:val="14"/>
                <w:vertAlign w:val="superscript"/>
              </w:rPr>
              <w:t>f</w:t>
            </w:r>
            <w:r w:rsidRPr="005B452C">
              <w:rPr>
                <w:sz w:val="14"/>
                <w:szCs w:val="14"/>
                <w:vertAlign w:val="superscript"/>
              </w:rPr>
              <w:t>)</w:t>
            </w:r>
          </w:p>
        </w:tc>
        <w:tc>
          <w:tcPr>
            <w:tcW w:w="810" w:type="dxa"/>
          </w:tcPr>
          <w:p w14:paraId="44C07A0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66" w:type="dxa"/>
          </w:tcPr>
          <w:p w14:paraId="27157A8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Pr>
          <w:p w14:paraId="7E09E0F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4 605</w:t>
            </w:r>
          </w:p>
        </w:tc>
        <w:tc>
          <w:tcPr>
            <w:tcW w:w="1052" w:type="dxa"/>
          </w:tcPr>
          <w:p w14:paraId="5C0904E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5 334</w:t>
            </w:r>
          </w:p>
        </w:tc>
        <w:tc>
          <w:tcPr>
            <w:tcW w:w="848" w:type="dxa"/>
          </w:tcPr>
          <w:p w14:paraId="610D03C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Pr>
          <w:p w14:paraId="4B56D38A"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80" w:type="dxa"/>
          </w:tcPr>
          <w:p w14:paraId="5CFE44B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11 449</w:t>
            </w:r>
          </w:p>
        </w:tc>
        <w:tc>
          <w:tcPr>
            <w:tcW w:w="985" w:type="dxa"/>
          </w:tcPr>
          <w:p w14:paraId="219E72A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13 737</w:t>
            </w:r>
          </w:p>
        </w:tc>
      </w:tr>
      <w:tr w:rsidR="008E5233" w14:paraId="7DFCF5A0" w14:textId="77777777" w:rsidTr="008D60A4">
        <w:tc>
          <w:tcPr>
            <w:cnfStyle w:val="001000000000" w:firstRow="0" w:lastRow="0" w:firstColumn="1" w:lastColumn="0" w:oddVBand="0" w:evenVBand="0" w:oddHBand="0" w:evenHBand="0" w:firstRowFirstColumn="0" w:firstRowLastColumn="0" w:lastRowFirstColumn="0" w:lastRowLastColumn="0"/>
            <w:tcW w:w="1890" w:type="dxa"/>
          </w:tcPr>
          <w:p w14:paraId="5B848944" w14:textId="0D384B86" w:rsidR="008E5233" w:rsidRPr="005B452C" w:rsidRDefault="005648A9">
            <w:pPr>
              <w:rPr>
                <w:sz w:val="14"/>
                <w:szCs w:val="14"/>
              </w:rPr>
            </w:pPr>
            <w:r w:rsidRPr="005B452C">
              <w:rPr>
                <w:sz w:val="14"/>
                <w:szCs w:val="14"/>
              </w:rPr>
              <w:t xml:space="preserve">Biotech Research Centre </w:t>
            </w:r>
            <w:r w:rsidRPr="005B452C">
              <w:rPr>
                <w:sz w:val="14"/>
                <w:szCs w:val="14"/>
                <w:vertAlign w:val="superscript"/>
              </w:rPr>
              <w:t>(</w:t>
            </w:r>
            <w:r w:rsidR="0078414B">
              <w:rPr>
                <w:sz w:val="14"/>
                <w:szCs w:val="14"/>
                <w:vertAlign w:val="superscript"/>
              </w:rPr>
              <w:t>f</w:t>
            </w:r>
            <w:r w:rsidRPr="005B452C">
              <w:rPr>
                <w:sz w:val="14"/>
                <w:szCs w:val="14"/>
                <w:vertAlign w:val="superscript"/>
              </w:rPr>
              <w:t>)</w:t>
            </w:r>
          </w:p>
        </w:tc>
        <w:tc>
          <w:tcPr>
            <w:tcW w:w="810" w:type="dxa"/>
          </w:tcPr>
          <w:p w14:paraId="0692CF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66" w:type="dxa"/>
          </w:tcPr>
          <w:p w14:paraId="4942186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Pr>
          <w:p w14:paraId="07AE9B5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3 069</w:t>
            </w:r>
          </w:p>
        </w:tc>
        <w:tc>
          <w:tcPr>
            <w:tcW w:w="1052" w:type="dxa"/>
          </w:tcPr>
          <w:p w14:paraId="508AC28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3 556</w:t>
            </w:r>
          </w:p>
        </w:tc>
        <w:tc>
          <w:tcPr>
            <w:tcW w:w="848" w:type="dxa"/>
          </w:tcPr>
          <w:p w14:paraId="7655B86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0" w:type="dxa"/>
          </w:tcPr>
          <w:p w14:paraId="518FBE2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80" w:type="dxa"/>
          </w:tcPr>
          <w:p w14:paraId="127DBDC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7 632</w:t>
            </w:r>
          </w:p>
        </w:tc>
        <w:tc>
          <w:tcPr>
            <w:tcW w:w="985" w:type="dxa"/>
          </w:tcPr>
          <w:p w14:paraId="7CE5265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9 159</w:t>
            </w:r>
          </w:p>
        </w:tc>
      </w:tr>
      <w:tr w:rsidR="008E5233" w14:paraId="62B10E70" w14:textId="77777777" w:rsidTr="008D60A4">
        <w:tc>
          <w:tcPr>
            <w:cnfStyle w:val="001000000000" w:firstRow="0" w:lastRow="0" w:firstColumn="1" w:lastColumn="0" w:oddVBand="0" w:evenVBand="0" w:oddHBand="0" w:evenHBand="0" w:firstRowFirstColumn="0" w:firstRowLastColumn="0" w:lastRowFirstColumn="0" w:lastRowLastColumn="0"/>
            <w:tcW w:w="1890" w:type="dxa"/>
            <w:tcBorders>
              <w:bottom w:val="single" w:sz="12" w:space="0" w:color="auto"/>
            </w:tcBorders>
          </w:tcPr>
          <w:p w14:paraId="6C67FE79" w14:textId="77777777" w:rsidR="008E5233" w:rsidRPr="005B452C" w:rsidRDefault="005648A9">
            <w:pPr>
              <w:rPr>
                <w:sz w:val="14"/>
                <w:szCs w:val="14"/>
              </w:rPr>
            </w:pPr>
            <w:r w:rsidRPr="005B452C">
              <w:rPr>
                <w:sz w:val="14"/>
                <w:szCs w:val="14"/>
              </w:rPr>
              <w:t>Construction of data centre to store medical records</w:t>
            </w:r>
          </w:p>
        </w:tc>
        <w:tc>
          <w:tcPr>
            <w:tcW w:w="810" w:type="dxa"/>
            <w:tcBorders>
              <w:bottom w:val="single" w:sz="12" w:space="0" w:color="auto"/>
            </w:tcBorders>
          </w:tcPr>
          <w:p w14:paraId="6C9A51D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66" w:type="dxa"/>
            <w:tcBorders>
              <w:bottom w:val="single" w:sz="12" w:space="0" w:color="auto"/>
            </w:tcBorders>
          </w:tcPr>
          <w:p w14:paraId="7742252D"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Borders>
              <w:bottom w:val="single" w:sz="12" w:space="0" w:color="auto"/>
            </w:tcBorders>
          </w:tcPr>
          <w:p w14:paraId="3F99369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52" w:type="dxa"/>
            <w:tcBorders>
              <w:bottom w:val="single" w:sz="12" w:space="0" w:color="auto"/>
            </w:tcBorders>
          </w:tcPr>
          <w:p w14:paraId="73D039C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60 255</w:t>
            </w:r>
          </w:p>
        </w:tc>
        <w:tc>
          <w:tcPr>
            <w:tcW w:w="848" w:type="dxa"/>
            <w:tcBorders>
              <w:bottom w:val="single" w:sz="12" w:space="0" w:color="auto"/>
            </w:tcBorders>
          </w:tcPr>
          <w:p w14:paraId="1646BD2D"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Borders>
              <w:bottom w:val="single" w:sz="12" w:space="0" w:color="auto"/>
            </w:tcBorders>
          </w:tcPr>
          <w:p w14:paraId="32D42E4E"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80" w:type="dxa"/>
            <w:tcBorders>
              <w:bottom w:val="single" w:sz="12" w:space="0" w:color="auto"/>
            </w:tcBorders>
          </w:tcPr>
          <w:p w14:paraId="110140B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85" w:type="dxa"/>
            <w:tcBorders>
              <w:bottom w:val="single" w:sz="12" w:space="0" w:color="auto"/>
            </w:tcBorders>
          </w:tcPr>
          <w:p w14:paraId="781BEF1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61 285</w:t>
            </w:r>
          </w:p>
        </w:tc>
      </w:tr>
      <w:tr w:rsidR="00671D55" w14:paraId="60413480" w14:textId="77777777" w:rsidTr="008D60A4">
        <w:tc>
          <w:tcPr>
            <w:cnfStyle w:val="001000000000" w:firstRow="0" w:lastRow="0" w:firstColumn="1" w:lastColumn="0" w:oddVBand="0" w:evenVBand="0" w:oddHBand="0" w:evenHBand="0" w:firstRowFirstColumn="0" w:firstRowLastColumn="0" w:lastRowFirstColumn="0" w:lastRowLastColumn="0"/>
            <w:tcW w:w="1890" w:type="dxa"/>
          </w:tcPr>
          <w:p w14:paraId="3D83D5E6" w14:textId="77777777" w:rsidR="008E5233" w:rsidRPr="005B452C" w:rsidRDefault="005648A9">
            <w:pPr>
              <w:rPr>
                <w:sz w:val="14"/>
                <w:szCs w:val="14"/>
              </w:rPr>
            </w:pPr>
            <w:r w:rsidRPr="005B452C">
              <w:rPr>
                <w:b/>
                <w:sz w:val="14"/>
                <w:szCs w:val="14"/>
              </w:rPr>
              <w:t>Subtotal</w:t>
            </w:r>
          </w:p>
        </w:tc>
        <w:tc>
          <w:tcPr>
            <w:tcW w:w="810" w:type="dxa"/>
          </w:tcPr>
          <w:p w14:paraId="05B1B206"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1066" w:type="dxa"/>
          </w:tcPr>
          <w:p w14:paraId="0D073F0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994" w:type="dxa"/>
          </w:tcPr>
          <w:p w14:paraId="6A091DB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7 674</w:t>
            </w:r>
          </w:p>
        </w:tc>
        <w:tc>
          <w:tcPr>
            <w:tcW w:w="1052" w:type="dxa"/>
          </w:tcPr>
          <w:p w14:paraId="7AC60E8E"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69 145</w:t>
            </w:r>
          </w:p>
        </w:tc>
        <w:tc>
          <w:tcPr>
            <w:tcW w:w="848" w:type="dxa"/>
          </w:tcPr>
          <w:p w14:paraId="1B29615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990" w:type="dxa"/>
          </w:tcPr>
          <w:p w14:paraId="1D86FA2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w:t>
            </w:r>
          </w:p>
        </w:tc>
        <w:tc>
          <w:tcPr>
            <w:tcW w:w="1080" w:type="dxa"/>
          </w:tcPr>
          <w:p w14:paraId="5E36831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19 081</w:t>
            </w:r>
          </w:p>
        </w:tc>
        <w:tc>
          <w:tcPr>
            <w:tcW w:w="985" w:type="dxa"/>
          </w:tcPr>
          <w:p w14:paraId="6C4F6DD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84 181</w:t>
            </w:r>
          </w:p>
        </w:tc>
      </w:tr>
      <w:tr w:rsidR="00671D55" w14:paraId="3DE0C4F8" w14:textId="77777777" w:rsidTr="008D60A4">
        <w:tc>
          <w:tcPr>
            <w:cnfStyle w:val="001000000000" w:firstRow="0" w:lastRow="0" w:firstColumn="1" w:lastColumn="0" w:oddVBand="0" w:evenVBand="0" w:oddHBand="0" w:evenHBand="0" w:firstRowFirstColumn="0" w:firstRowLastColumn="0" w:lastRowFirstColumn="0" w:lastRowLastColumn="0"/>
            <w:tcW w:w="1890" w:type="dxa"/>
          </w:tcPr>
          <w:p w14:paraId="44DC185A" w14:textId="43B5FCE4" w:rsidR="008E5233" w:rsidRPr="005B452C" w:rsidRDefault="00264F82">
            <w:pPr>
              <w:rPr>
                <w:sz w:val="14"/>
                <w:szCs w:val="14"/>
              </w:rPr>
            </w:pPr>
            <w:r>
              <w:rPr>
                <w:b/>
                <w:sz w:val="14"/>
                <w:szCs w:val="14"/>
              </w:rPr>
              <w:t xml:space="preserve">Financial liability model </w:t>
            </w:r>
            <w:r w:rsidR="006547AF">
              <w:rPr>
                <w:b/>
                <w:sz w:val="14"/>
                <w:szCs w:val="14"/>
              </w:rPr>
              <w:t>–</w:t>
            </w:r>
            <w:r>
              <w:rPr>
                <w:b/>
                <w:sz w:val="14"/>
                <w:szCs w:val="14"/>
              </w:rPr>
              <w:t xml:space="preserve"> </w:t>
            </w:r>
            <w:r w:rsidR="005648A9" w:rsidRPr="005B452C">
              <w:rPr>
                <w:b/>
                <w:sz w:val="14"/>
                <w:szCs w:val="14"/>
              </w:rPr>
              <w:t>Uncommissioned</w:t>
            </w:r>
            <w:r w:rsidR="009A64B5">
              <w:rPr>
                <w:b/>
                <w:sz w:val="14"/>
                <w:szCs w:val="14"/>
              </w:rPr>
              <w:t xml:space="preserve"> SCAs</w:t>
            </w:r>
            <w:r w:rsidR="005648A9" w:rsidRPr="005B452C">
              <w:rPr>
                <w:b/>
                <w:sz w:val="14"/>
                <w:szCs w:val="14"/>
              </w:rPr>
              <w:t xml:space="preserve"> </w:t>
            </w:r>
            <w:r w:rsidR="005648A9" w:rsidRPr="005B452C">
              <w:rPr>
                <w:b/>
                <w:sz w:val="14"/>
                <w:szCs w:val="14"/>
                <w:vertAlign w:val="superscript"/>
              </w:rPr>
              <w:t>(g)</w:t>
            </w:r>
          </w:p>
        </w:tc>
        <w:tc>
          <w:tcPr>
            <w:tcW w:w="810" w:type="dxa"/>
          </w:tcPr>
          <w:p w14:paraId="4A9F1E0B"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66" w:type="dxa"/>
          </w:tcPr>
          <w:p w14:paraId="555074AC"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4" w:type="dxa"/>
          </w:tcPr>
          <w:p w14:paraId="0A98BAD0"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52" w:type="dxa"/>
          </w:tcPr>
          <w:p w14:paraId="20436640"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848" w:type="dxa"/>
          </w:tcPr>
          <w:p w14:paraId="54B670ED"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Pr>
          <w:p w14:paraId="76171F7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tcPr>
          <w:p w14:paraId="701F2398"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c>
          <w:tcPr>
            <w:tcW w:w="985" w:type="dxa"/>
          </w:tcPr>
          <w:p w14:paraId="75A578B9" w14:textId="77777777" w:rsidR="008E5233" w:rsidRPr="005B452C" w:rsidRDefault="008E5233">
            <w:pPr>
              <w:cnfStyle w:val="000000000000" w:firstRow="0" w:lastRow="0" w:firstColumn="0" w:lastColumn="0" w:oddVBand="0" w:evenVBand="0" w:oddHBand="0" w:evenHBand="0" w:firstRowFirstColumn="0" w:firstRowLastColumn="0" w:lastRowFirstColumn="0" w:lastRowLastColumn="0"/>
              <w:rPr>
                <w:sz w:val="14"/>
                <w:szCs w:val="14"/>
              </w:rPr>
            </w:pPr>
          </w:p>
        </w:tc>
      </w:tr>
      <w:tr w:rsidR="008E5233" w14:paraId="19415E68" w14:textId="77777777" w:rsidTr="008D60A4">
        <w:tc>
          <w:tcPr>
            <w:cnfStyle w:val="001000000000" w:firstRow="0" w:lastRow="0" w:firstColumn="1" w:lastColumn="0" w:oddVBand="0" w:evenVBand="0" w:oddHBand="0" w:evenHBand="0" w:firstRowFirstColumn="0" w:firstRowLastColumn="0" w:lastRowFirstColumn="0" w:lastRowLastColumn="0"/>
            <w:tcW w:w="1890" w:type="dxa"/>
          </w:tcPr>
          <w:p w14:paraId="14C9FBEE" w14:textId="7E320841" w:rsidR="008E5233" w:rsidRPr="005B452C" w:rsidRDefault="005648A9">
            <w:pPr>
              <w:rPr>
                <w:sz w:val="14"/>
                <w:szCs w:val="14"/>
              </w:rPr>
            </w:pPr>
            <w:r w:rsidRPr="005B452C">
              <w:rPr>
                <w:sz w:val="14"/>
                <w:szCs w:val="14"/>
              </w:rPr>
              <w:t>IT training schools</w:t>
            </w:r>
          </w:p>
        </w:tc>
        <w:tc>
          <w:tcPr>
            <w:tcW w:w="810" w:type="dxa"/>
          </w:tcPr>
          <w:p w14:paraId="23D28E10"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3 329</w:t>
            </w:r>
          </w:p>
        </w:tc>
        <w:tc>
          <w:tcPr>
            <w:tcW w:w="1066" w:type="dxa"/>
          </w:tcPr>
          <w:p w14:paraId="5FA0C2E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200</w:t>
            </w:r>
          </w:p>
        </w:tc>
        <w:tc>
          <w:tcPr>
            <w:tcW w:w="994" w:type="dxa"/>
          </w:tcPr>
          <w:p w14:paraId="356299A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1 569</w:t>
            </w:r>
          </w:p>
        </w:tc>
        <w:tc>
          <w:tcPr>
            <w:tcW w:w="1052" w:type="dxa"/>
          </w:tcPr>
          <w:p w14:paraId="22AE2F55"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11 901</w:t>
            </w:r>
          </w:p>
        </w:tc>
        <w:tc>
          <w:tcPr>
            <w:tcW w:w="848" w:type="dxa"/>
          </w:tcPr>
          <w:p w14:paraId="0F5A8D2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3 329</w:t>
            </w:r>
          </w:p>
        </w:tc>
        <w:tc>
          <w:tcPr>
            <w:tcW w:w="990" w:type="dxa"/>
          </w:tcPr>
          <w:p w14:paraId="1FE69AC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200</w:t>
            </w:r>
          </w:p>
        </w:tc>
        <w:tc>
          <w:tcPr>
            <w:tcW w:w="1080" w:type="dxa"/>
          </w:tcPr>
          <w:p w14:paraId="6CCD0D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1 458</w:t>
            </w:r>
          </w:p>
        </w:tc>
        <w:tc>
          <w:tcPr>
            <w:tcW w:w="985" w:type="dxa"/>
          </w:tcPr>
          <w:p w14:paraId="119EEEF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11 901</w:t>
            </w:r>
          </w:p>
        </w:tc>
      </w:tr>
      <w:tr w:rsidR="008E5233" w14:paraId="6DA1388B" w14:textId="77777777" w:rsidTr="008D60A4">
        <w:tc>
          <w:tcPr>
            <w:cnfStyle w:val="001000000000" w:firstRow="0" w:lastRow="0" w:firstColumn="1" w:lastColumn="0" w:oddVBand="0" w:evenVBand="0" w:oddHBand="0" w:evenHBand="0" w:firstRowFirstColumn="0" w:firstRowLastColumn="0" w:lastRowFirstColumn="0" w:lastRowLastColumn="0"/>
            <w:tcW w:w="1890" w:type="dxa"/>
            <w:tcBorders>
              <w:bottom w:val="single" w:sz="12" w:space="0" w:color="auto"/>
            </w:tcBorders>
          </w:tcPr>
          <w:p w14:paraId="7BCF80DD" w14:textId="6073B39A" w:rsidR="008E5233" w:rsidRPr="005B452C" w:rsidRDefault="005648A9">
            <w:pPr>
              <w:rPr>
                <w:sz w:val="14"/>
                <w:szCs w:val="14"/>
              </w:rPr>
            </w:pPr>
            <w:r w:rsidRPr="005B452C">
              <w:rPr>
                <w:sz w:val="14"/>
                <w:szCs w:val="14"/>
              </w:rPr>
              <w:t xml:space="preserve">Climate Change Research Centre </w:t>
            </w:r>
            <w:r w:rsidRPr="005B452C">
              <w:rPr>
                <w:sz w:val="14"/>
                <w:szCs w:val="14"/>
                <w:vertAlign w:val="superscript"/>
              </w:rPr>
              <w:t>(</w:t>
            </w:r>
            <w:r w:rsidR="00776EED">
              <w:rPr>
                <w:sz w:val="14"/>
                <w:szCs w:val="14"/>
                <w:vertAlign w:val="superscript"/>
              </w:rPr>
              <w:t>h)</w:t>
            </w:r>
          </w:p>
        </w:tc>
        <w:tc>
          <w:tcPr>
            <w:tcW w:w="810" w:type="dxa"/>
            <w:tcBorders>
              <w:bottom w:val="single" w:sz="12" w:space="0" w:color="auto"/>
            </w:tcBorders>
          </w:tcPr>
          <w:p w14:paraId="628F8A4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1 685</w:t>
            </w:r>
          </w:p>
        </w:tc>
        <w:tc>
          <w:tcPr>
            <w:tcW w:w="1066" w:type="dxa"/>
            <w:tcBorders>
              <w:bottom w:val="single" w:sz="12" w:space="0" w:color="auto"/>
            </w:tcBorders>
          </w:tcPr>
          <w:p w14:paraId="37B7D61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994" w:type="dxa"/>
            <w:tcBorders>
              <w:bottom w:val="single" w:sz="12" w:space="0" w:color="auto"/>
            </w:tcBorders>
          </w:tcPr>
          <w:p w14:paraId="229C7769"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579</w:t>
            </w:r>
          </w:p>
        </w:tc>
        <w:tc>
          <w:tcPr>
            <w:tcW w:w="1052" w:type="dxa"/>
            <w:tcBorders>
              <w:bottom w:val="single" w:sz="12" w:space="0" w:color="auto"/>
            </w:tcBorders>
          </w:tcPr>
          <w:p w14:paraId="679DCF2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8 035</w:t>
            </w:r>
          </w:p>
        </w:tc>
        <w:tc>
          <w:tcPr>
            <w:tcW w:w="848" w:type="dxa"/>
            <w:tcBorders>
              <w:bottom w:val="single" w:sz="12" w:space="0" w:color="auto"/>
            </w:tcBorders>
          </w:tcPr>
          <w:p w14:paraId="2C22285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1 685</w:t>
            </w:r>
          </w:p>
        </w:tc>
        <w:tc>
          <w:tcPr>
            <w:tcW w:w="990" w:type="dxa"/>
            <w:tcBorders>
              <w:bottom w:val="single" w:sz="12" w:space="0" w:color="auto"/>
            </w:tcBorders>
          </w:tcPr>
          <w:p w14:paraId="3571C15C"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w:t>
            </w:r>
          </w:p>
        </w:tc>
        <w:tc>
          <w:tcPr>
            <w:tcW w:w="1080" w:type="dxa"/>
            <w:tcBorders>
              <w:bottom w:val="single" w:sz="12" w:space="0" w:color="auto"/>
            </w:tcBorders>
          </w:tcPr>
          <w:p w14:paraId="6813ABA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534</w:t>
            </w:r>
          </w:p>
        </w:tc>
        <w:tc>
          <w:tcPr>
            <w:tcW w:w="985" w:type="dxa"/>
            <w:tcBorders>
              <w:bottom w:val="single" w:sz="12" w:space="0" w:color="auto"/>
            </w:tcBorders>
          </w:tcPr>
          <w:p w14:paraId="55AD1F9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sz w:val="14"/>
                <w:szCs w:val="14"/>
              </w:rPr>
              <w:t>8 035</w:t>
            </w:r>
          </w:p>
        </w:tc>
      </w:tr>
      <w:tr w:rsidR="00671D55" w14:paraId="2C23B02D" w14:textId="77777777" w:rsidTr="008D60A4">
        <w:tc>
          <w:tcPr>
            <w:cnfStyle w:val="001000000000" w:firstRow="0" w:lastRow="0" w:firstColumn="1" w:lastColumn="0" w:oddVBand="0" w:evenVBand="0" w:oddHBand="0" w:evenHBand="0" w:firstRowFirstColumn="0" w:firstRowLastColumn="0" w:lastRowFirstColumn="0" w:lastRowLastColumn="0"/>
            <w:tcW w:w="1890" w:type="dxa"/>
          </w:tcPr>
          <w:p w14:paraId="5D032D26" w14:textId="77777777" w:rsidR="008E5233" w:rsidRPr="005B452C" w:rsidRDefault="005648A9">
            <w:pPr>
              <w:rPr>
                <w:sz w:val="14"/>
                <w:szCs w:val="14"/>
              </w:rPr>
            </w:pPr>
            <w:r w:rsidRPr="005B452C">
              <w:rPr>
                <w:b/>
                <w:sz w:val="14"/>
                <w:szCs w:val="14"/>
              </w:rPr>
              <w:t>Subtotal</w:t>
            </w:r>
          </w:p>
        </w:tc>
        <w:tc>
          <w:tcPr>
            <w:tcW w:w="810" w:type="dxa"/>
          </w:tcPr>
          <w:p w14:paraId="5DE7DFF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1066" w:type="dxa"/>
          </w:tcPr>
          <w:p w14:paraId="238927A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994" w:type="dxa"/>
          </w:tcPr>
          <w:p w14:paraId="5FC23E34"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2 148</w:t>
            </w:r>
          </w:p>
        </w:tc>
        <w:tc>
          <w:tcPr>
            <w:tcW w:w="1052" w:type="dxa"/>
          </w:tcPr>
          <w:p w14:paraId="39D92E41"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19 936</w:t>
            </w:r>
          </w:p>
        </w:tc>
        <w:tc>
          <w:tcPr>
            <w:tcW w:w="848" w:type="dxa"/>
          </w:tcPr>
          <w:p w14:paraId="5BD03387"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990" w:type="dxa"/>
          </w:tcPr>
          <w:p w14:paraId="5D55998F"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1080" w:type="dxa"/>
          </w:tcPr>
          <w:p w14:paraId="37F0E2C9"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1 992</w:t>
            </w:r>
          </w:p>
        </w:tc>
        <w:tc>
          <w:tcPr>
            <w:tcW w:w="985" w:type="dxa"/>
          </w:tcPr>
          <w:p w14:paraId="2F38F8B6"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19 936</w:t>
            </w:r>
          </w:p>
        </w:tc>
      </w:tr>
      <w:tr w:rsidR="00671D55" w14:paraId="2A4A3006" w14:textId="77777777" w:rsidTr="008D60A4">
        <w:tc>
          <w:tcPr>
            <w:cnfStyle w:val="001000000000" w:firstRow="0" w:lastRow="0" w:firstColumn="1" w:lastColumn="0" w:oddVBand="0" w:evenVBand="0" w:oddHBand="0" w:evenHBand="0" w:firstRowFirstColumn="0" w:firstRowLastColumn="0" w:lastRowFirstColumn="0" w:lastRowLastColumn="0"/>
            <w:tcW w:w="1890" w:type="dxa"/>
          </w:tcPr>
          <w:p w14:paraId="14B66BC5" w14:textId="197945B0" w:rsidR="008E5233" w:rsidRPr="005B452C" w:rsidRDefault="005648A9">
            <w:pPr>
              <w:rPr>
                <w:sz w:val="14"/>
                <w:szCs w:val="14"/>
              </w:rPr>
            </w:pPr>
            <w:r w:rsidRPr="005B452C">
              <w:rPr>
                <w:b/>
                <w:sz w:val="14"/>
                <w:szCs w:val="14"/>
              </w:rPr>
              <w:t xml:space="preserve">Total commitments for </w:t>
            </w:r>
            <w:r w:rsidR="00264F82">
              <w:rPr>
                <w:b/>
                <w:sz w:val="14"/>
                <w:szCs w:val="14"/>
              </w:rPr>
              <w:t>SCA</w:t>
            </w:r>
            <w:r w:rsidRPr="005B452C">
              <w:rPr>
                <w:b/>
                <w:sz w:val="14"/>
                <w:szCs w:val="14"/>
              </w:rPr>
              <w:t>s</w:t>
            </w:r>
          </w:p>
        </w:tc>
        <w:tc>
          <w:tcPr>
            <w:tcW w:w="810" w:type="dxa"/>
          </w:tcPr>
          <w:p w14:paraId="3551232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1066" w:type="dxa"/>
          </w:tcPr>
          <w:p w14:paraId="04BD9C88"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994" w:type="dxa"/>
          </w:tcPr>
          <w:p w14:paraId="792AC453"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9 822</w:t>
            </w:r>
          </w:p>
        </w:tc>
        <w:tc>
          <w:tcPr>
            <w:tcW w:w="1052" w:type="dxa"/>
          </w:tcPr>
          <w:p w14:paraId="78BAA9D2"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89 081</w:t>
            </w:r>
          </w:p>
        </w:tc>
        <w:tc>
          <w:tcPr>
            <w:tcW w:w="848" w:type="dxa"/>
          </w:tcPr>
          <w:p w14:paraId="2C11DF4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5 014</w:t>
            </w:r>
          </w:p>
        </w:tc>
        <w:tc>
          <w:tcPr>
            <w:tcW w:w="990" w:type="dxa"/>
          </w:tcPr>
          <w:p w14:paraId="44AFF96B"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200</w:t>
            </w:r>
          </w:p>
        </w:tc>
        <w:tc>
          <w:tcPr>
            <w:tcW w:w="1080" w:type="dxa"/>
          </w:tcPr>
          <w:p w14:paraId="2E00480D" w14:textId="77777777"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21 073</w:t>
            </w:r>
          </w:p>
        </w:tc>
        <w:tc>
          <w:tcPr>
            <w:tcW w:w="985" w:type="dxa"/>
          </w:tcPr>
          <w:p w14:paraId="5BD8EDD1" w14:textId="337B19CD" w:rsidR="008E5233" w:rsidRPr="005B452C" w:rsidRDefault="005648A9">
            <w:pPr>
              <w:cnfStyle w:val="000000000000" w:firstRow="0" w:lastRow="0" w:firstColumn="0" w:lastColumn="0" w:oddVBand="0" w:evenVBand="0" w:oddHBand="0" w:evenHBand="0" w:firstRowFirstColumn="0" w:firstRowLastColumn="0" w:lastRowFirstColumn="0" w:lastRowLastColumn="0"/>
              <w:rPr>
                <w:sz w:val="14"/>
                <w:szCs w:val="14"/>
              </w:rPr>
            </w:pPr>
            <w:r w:rsidRPr="005B452C">
              <w:rPr>
                <w:b/>
                <w:sz w:val="14"/>
                <w:szCs w:val="14"/>
              </w:rPr>
              <w:t>104 117</w:t>
            </w:r>
          </w:p>
        </w:tc>
      </w:tr>
    </w:tbl>
    <w:p w14:paraId="28A6528B" w14:textId="1E3F71D6" w:rsidR="003719CD" w:rsidRDefault="003719CD" w:rsidP="00E74307">
      <w:pPr>
        <w:pStyle w:val="Note"/>
      </w:pPr>
      <w:r>
        <w:t>Notes:</w:t>
      </w:r>
      <w:r>
        <w:tab/>
      </w:r>
    </w:p>
    <w:p w14:paraId="441717E0" w14:textId="51BDFCE0" w:rsidR="00D70EF9" w:rsidRDefault="00D70EF9" w:rsidP="00D70EF9">
      <w:pPr>
        <w:pStyle w:val="Note"/>
      </w:pPr>
      <w:r>
        <w:t>(a)</w:t>
      </w:r>
      <w:r>
        <w:tab/>
        <w:t>Capital contribution is measured at nominal value.</w:t>
      </w:r>
    </w:p>
    <w:p w14:paraId="0FB95EDD" w14:textId="009B06BA" w:rsidR="003719CD" w:rsidRDefault="003719CD" w:rsidP="007D536F">
      <w:pPr>
        <w:pStyle w:val="Note"/>
      </w:pPr>
      <w:r>
        <w:t>(</w:t>
      </w:r>
      <w:r w:rsidR="00D70EF9">
        <w:t>b</w:t>
      </w:r>
      <w:r>
        <w:t>)</w:t>
      </w:r>
      <w:r>
        <w:tab/>
        <w:t>The year-on-year reduction in the nominal amounts of the other commitments reflects the payments made.</w:t>
      </w:r>
    </w:p>
    <w:p w14:paraId="5578F8E2" w14:textId="565DCFE1" w:rsidR="003719CD" w:rsidRDefault="003719CD" w:rsidP="007D536F">
      <w:pPr>
        <w:pStyle w:val="Note"/>
      </w:pPr>
      <w:r>
        <w:t>(</w:t>
      </w:r>
      <w:r w:rsidR="00D70EF9">
        <w:t>c</w:t>
      </w:r>
      <w:r>
        <w:t>)</w:t>
      </w:r>
      <w:r>
        <w:tab/>
        <w:t>The year-on-year reduction in the present values of other commitments reflects payments, offset by the impact of one fewer year used for discounting.</w:t>
      </w:r>
    </w:p>
    <w:p w14:paraId="60574056" w14:textId="67FCE16C" w:rsidR="003719CD" w:rsidRDefault="003719CD" w:rsidP="005439BA">
      <w:pPr>
        <w:pStyle w:val="Note"/>
      </w:pPr>
      <w:r>
        <w:t>(</w:t>
      </w:r>
      <w:r w:rsidR="00D70EF9">
        <w:t>d</w:t>
      </w:r>
      <w:r>
        <w:t>)</w:t>
      </w:r>
      <w:r>
        <w:tab/>
        <w:t>The table discloses only other operating and maintenance commitments for the IT</w:t>
      </w:r>
      <w:r w:rsidR="007A1D0E">
        <w:t xml:space="preserve"> </w:t>
      </w:r>
      <w:r>
        <w:t xml:space="preserve">system project and the Biotech Research Centre project. </w:t>
      </w:r>
    </w:p>
    <w:p w14:paraId="1912A86F" w14:textId="6B60ED1C" w:rsidR="003719CD" w:rsidRDefault="003719CD" w:rsidP="005439BA">
      <w:pPr>
        <w:pStyle w:val="Note"/>
      </w:pPr>
      <w:r>
        <w:t>(</w:t>
      </w:r>
      <w:r w:rsidR="00D70EF9">
        <w:t>e</w:t>
      </w:r>
      <w:r>
        <w:t>)</w:t>
      </w:r>
      <w:r>
        <w:tab/>
        <w:t>The year-on-year increase in the present values of the other commitments for uncommissioned projects is due to one less year used for discounting.</w:t>
      </w:r>
    </w:p>
    <w:p w14:paraId="7BD47420" w14:textId="00753533" w:rsidR="003719CD" w:rsidRDefault="003719CD" w:rsidP="007D536F">
      <w:pPr>
        <w:pStyle w:val="Note"/>
      </w:pPr>
      <w:r>
        <w:t>(</w:t>
      </w:r>
      <w:r w:rsidR="00D70EF9">
        <w:t>f</w:t>
      </w:r>
      <w:r>
        <w:t>)</w:t>
      </w:r>
      <w:r>
        <w:tab/>
        <w:t xml:space="preserve">On 16 September </w:t>
      </w:r>
      <w:fldSimple w:instr="DOCPROPERTY  YearPrevious  \* MERGEFORMAT">
        <w:r w:rsidR="00A545BA">
          <w:t>20X1</w:t>
        </w:r>
      </w:fldSimple>
      <w:r>
        <w:t>, the Department entered into a contract with IT Solutions Ltd to construct and maintain new IT training schools. The contract term is 30 years.</w:t>
      </w:r>
    </w:p>
    <w:p w14:paraId="33BCCF40" w14:textId="29384FBB" w:rsidR="003719CD" w:rsidRDefault="003719CD" w:rsidP="007D536F">
      <w:pPr>
        <w:pStyle w:val="Note"/>
      </w:pPr>
      <w:r>
        <w:t>(</w:t>
      </w:r>
      <w:r w:rsidR="005439BA">
        <w:t>g</w:t>
      </w:r>
      <w:r>
        <w:t>)</w:t>
      </w:r>
      <w:r>
        <w:tab/>
        <w:t xml:space="preserve">For uncommissioned </w:t>
      </w:r>
      <w:r w:rsidR="00264F82">
        <w:t>SCA</w:t>
      </w:r>
      <w:r>
        <w:t>s relating to service concessions, the asset and liability are recognised progressively during the construction term and therefore not recognised in the table above.</w:t>
      </w:r>
    </w:p>
    <w:p w14:paraId="6D679507" w14:textId="0CB09F89" w:rsidR="003719CD" w:rsidRDefault="003719CD" w:rsidP="007D536F">
      <w:pPr>
        <w:pStyle w:val="Note"/>
      </w:pPr>
      <w:r>
        <w:t>(</w:t>
      </w:r>
      <w:r w:rsidR="005439BA">
        <w:t>h</w:t>
      </w:r>
      <w:r>
        <w:t>)</w:t>
      </w:r>
      <w:r>
        <w:tab/>
        <w:t xml:space="preserve">On 1 March </w:t>
      </w:r>
      <w:fldSimple w:instr="DOCPROPERTY  YearPrevious  \* MERGEFORMAT">
        <w:r w:rsidR="00A545BA">
          <w:t>20X1</w:t>
        </w:r>
      </w:fldSimple>
      <w:r>
        <w:t>, the Department entered into a contract with Plenary Environment Ltd to construct and maintain a Climate Change Research Centre. The contract term is 15 years.</w:t>
      </w:r>
    </w:p>
    <w:p w14:paraId="39CD1206" w14:textId="77777777" w:rsidR="003719CD" w:rsidRDefault="003719CD" w:rsidP="007D536F">
      <w:pPr>
        <w:pStyle w:val="GuidanceBlockHeading"/>
      </w:pPr>
      <w:r>
        <w:t>Guidance – Commitments for expenditure</w:t>
      </w:r>
    </w:p>
    <w:p w14:paraId="0B3939FD" w14:textId="6EE510D3" w:rsidR="003719CD" w:rsidRPr="00206B63" w:rsidRDefault="003719CD" w:rsidP="007D536F">
      <w:pPr>
        <w:pStyle w:val="GuidanceHeading"/>
        <w:rPr>
          <w:rStyle w:val="Guidance"/>
        </w:rPr>
      </w:pPr>
      <w:r w:rsidRPr="00206B63">
        <w:rPr>
          <w:rStyle w:val="Guidance"/>
        </w:rPr>
        <w:t xml:space="preserve">Specific guidance for </w:t>
      </w:r>
      <w:r w:rsidR="00264F82">
        <w:rPr>
          <w:rStyle w:val="Guidance"/>
        </w:rPr>
        <w:t>SCA</w:t>
      </w:r>
      <w:r w:rsidRPr="00206B63">
        <w:rPr>
          <w:rStyle w:val="Guidance"/>
        </w:rPr>
        <w:t>s</w:t>
      </w:r>
    </w:p>
    <w:p w14:paraId="2D724F2A" w14:textId="782AA617" w:rsidR="003719CD" w:rsidRPr="00206B63" w:rsidRDefault="003719CD" w:rsidP="007D536F">
      <w:pPr>
        <w:rPr>
          <w:rStyle w:val="Guidance"/>
        </w:rPr>
      </w:pPr>
      <w:r w:rsidRPr="006B53A0">
        <w:rPr>
          <w:rStyle w:val="Guidance"/>
          <w:b/>
          <w:bCs/>
        </w:rPr>
        <w:t xml:space="preserve">Commissioned and uncommissioned </w:t>
      </w:r>
      <w:r w:rsidR="00264F82">
        <w:rPr>
          <w:rStyle w:val="Guidance"/>
          <w:b/>
          <w:bCs/>
        </w:rPr>
        <w:t>SCA</w:t>
      </w:r>
      <w:r w:rsidRPr="006B53A0">
        <w:rPr>
          <w:rStyle w:val="Guidance"/>
          <w:b/>
          <w:bCs/>
        </w:rPr>
        <w:t>s</w:t>
      </w:r>
      <w:r w:rsidRPr="00206B63">
        <w:rPr>
          <w:rStyle w:val="Guidance"/>
        </w:rPr>
        <w:t xml:space="preserve">: </w:t>
      </w:r>
      <w:r w:rsidR="009A295B">
        <w:rPr>
          <w:rStyle w:val="Guidance"/>
        </w:rPr>
        <w:t>C</w:t>
      </w:r>
      <w:r w:rsidRPr="00206B63">
        <w:rPr>
          <w:rStyle w:val="Guidance"/>
        </w:rPr>
        <w:t xml:space="preserve">ommissioned </w:t>
      </w:r>
      <w:r w:rsidR="00264F82">
        <w:rPr>
          <w:rStyle w:val="Guidance"/>
        </w:rPr>
        <w:t>SCA</w:t>
      </w:r>
      <w:r w:rsidRPr="00206B63">
        <w:rPr>
          <w:rStyle w:val="Guidance"/>
        </w:rPr>
        <w:t xml:space="preserve">s are construction projects that are completed as per government requirements and are ready for operation, which generally occurs from commercial acceptance. </w:t>
      </w:r>
    </w:p>
    <w:p w14:paraId="1553D733" w14:textId="77A2F036" w:rsidR="003719CD" w:rsidRPr="00206B63" w:rsidRDefault="003719CD" w:rsidP="007D536F">
      <w:pPr>
        <w:rPr>
          <w:rStyle w:val="Guidance"/>
        </w:rPr>
      </w:pPr>
      <w:r w:rsidRPr="00206B63">
        <w:rPr>
          <w:rStyle w:val="Guidance"/>
        </w:rPr>
        <w:t xml:space="preserve">Uncommissioned </w:t>
      </w:r>
      <w:r w:rsidR="00264F82">
        <w:rPr>
          <w:rStyle w:val="Guidance"/>
        </w:rPr>
        <w:t>SCA</w:t>
      </w:r>
      <w:r w:rsidRPr="00206B63">
        <w:rPr>
          <w:rStyle w:val="Guidance"/>
        </w:rPr>
        <w:t xml:space="preserve">s are construction projects that are yet to commence or are still in progress. Arrangements that are accounted for </w:t>
      </w:r>
      <w:r w:rsidR="009A295B">
        <w:rPr>
          <w:rStyle w:val="Guidance"/>
        </w:rPr>
        <w:t xml:space="preserve">under </w:t>
      </w:r>
      <w:r w:rsidRPr="00206B63">
        <w:rPr>
          <w:rStyle w:val="Guidance"/>
        </w:rPr>
        <w:t>AASB 1059 are recognised progressively on the balance sheet</w:t>
      </w:r>
      <w:r w:rsidR="004E2022">
        <w:rPr>
          <w:rStyle w:val="Guidance"/>
        </w:rPr>
        <w:t>,</w:t>
      </w:r>
      <w:r w:rsidRPr="00206B63">
        <w:rPr>
          <w:rStyle w:val="Guidance"/>
        </w:rPr>
        <w:t xml:space="preserve"> provided the grantor has control over the service concession asset </w:t>
      </w:r>
      <w:r w:rsidR="009A295B">
        <w:rPr>
          <w:rStyle w:val="Guidance"/>
        </w:rPr>
        <w:t xml:space="preserve">during </w:t>
      </w:r>
      <w:r w:rsidRPr="00206B63">
        <w:rPr>
          <w:rStyle w:val="Guidance"/>
        </w:rPr>
        <w:t xml:space="preserve">the construction period and therefore should not be included as uncommissioned projects. </w:t>
      </w:r>
    </w:p>
    <w:p w14:paraId="4C738A4E" w14:textId="2921DC0D" w:rsidR="003719CD" w:rsidRPr="00206B63" w:rsidRDefault="003719CD" w:rsidP="007D536F">
      <w:pPr>
        <w:rPr>
          <w:rStyle w:val="Guidance"/>
        </w:rPr>
      </w:pPr>
      <w:r w:rsidRPr="00206B63">
        <w:rPr>
          <w:rStyle w:val="Guidance"/>
        </w:rPr>
        <w:t xml:space="preserve">Commissioned and uncommissioned </w:t>
      </w:r>
      <w:r w:rsidR="00264F82">
        <w:rPr>
          <w:rStyle w:val="Guidance"/>
        </w:rPr>
        <w:t>SCA</w:t>
      </w:r>
      <w:r w:rsidRPr="00206B63">
        <w:rPr>
          <w:rStyle w:val="Guidance"/>
        </w:rPr>
        <w:t xml:space="preserve">s need to be disclosed separately. For commissioned </w:t>
      </w:r>
      <w:r w:rsidR="00264F82">
        <w:rPr>
          <w:rStyle w:val="Guidance"/>
        </w:rPr>
        <w:t>SCA</w:t>
      </w:r>
      <w:r w:rsidRPr="00206B63">
        <w:rPr>
          <w:rStyle w:val="Guidance"/>
        </w:rPr>
        <w:t xml:space="preserve">s, the expenditure component relating to capital/finance is a service concession arrangement on the balance sheet, and only the future service-related component is recognised as an ‘other commitment’ and disclosed in the commitment note. </w:t>
      </w:r>
    </w:p>
    <w:p w14:paraId="078DB6D2" w14:textId="5DE67F0F" w:rsidR="003719CD" w:rsidRPr="00206B63" w:rsidRDefault="003719CD" w:rsidP="007D536F">
      <w:pPr>
        <w:rPr>
          <w:rStyle w:val="Guidance"/>
        </w:rPr>
      </w:pPr>
      <w:r w:rsidRPr="00206B63">
        <w:rPr>
          <w:rStyle w:val="Guidance"/>
        </w:rPr>
        <w:t xml:space="preserve">In contrast, for uncommissioned </w:t>
      </w:r>
      <w:r w:rsidR="00264F82">
        <w:rPr>
          <w:rStyle w:val="Guidance"/>
        </w:rPr>
        <w:t>SCA</w:t>
      </w:r>
      <w:r w:rsidRPr="00206B63">
        <w:rPr>
          <w:rStyle w:val="Guidance"/>
        </w:rPr>
        <w:t xml:space="preserve">s, both the </w:t>
      </w:r>
      <w:r w:rsidR="007A1D0E">
        <w:rPr>
          <w:rStyle w:val="Guidance"/>
        </w:rPr>
        <w:t>‘</w:t>
      </w:r>
      <w:r w:rsidRPr="00206B63">
        <w:rPr>
          <w:rStyle w:val="Guidance"/>
        </w:rPr>
        <w:t>capital finance component</w:t>
      </w:r>
      <w:r w:rsidR="007A1D0E">
        <w:rPr>
          <w:rStyle w:val="Guidance"/>
        </w:rPr>
        <w:t>’</w:t>
      </w:r>
      <w:r w:rsidR="00F00FAB">
        <w:rPr>
          <w:rStyle w:val="Guidance"/>
        </w:rPr>
        <w:t xml:space="preserve"> </w:t>
      </w:r>
      <w:r w:rsidRPr="00206B63">
        <w:rPr>
          <w:rStyle w:val="Guidance"/>
        </w:rPr>
        <w:t>and the ‘other commitments’ component are disclosed in the commitments note.</w:t>
      </w:r>
    </w:p>
    <w:p w14:paraId="62AB39A7" w14:textId="78058BBC" w:rsidR="003719CD" w:rsidRPr="00206B63" w:rsidRDefault="003719CD" w:rsidP="007D536F">
      <w:pPr>
        <w:rPr>
          <w:rStyle w:val="Guidance"/>
        </w:rPr>
      </w:pPr>
      <w:r w:rsidRPr="006B53A0">
        <w:rPr>
          <w:rStyle w:val="Guidance"/>
          <w:b/>
          <w:bCs/>
        </w:rPr>
        <w:t xml:space="preserve">Outstanding </w:t>
      </w:r>
      <w:r w:rsidR="00264F82">
        <w:rPr>
          <w:rStyle w:val="Guidance"/>
          <w:b/>
          <w:bCs/>
        </w:rPr>
        <w:t>SCA</w:t>
      </w:r>
      <w:r w:rsidRPr="006B53A0">
        <w:rPr>
          <w:rStyle w:val="Guidance"/>
          <w:b/>
          <w:bCs/>
        </w:rPr>
        <w:t xml:space="preserve"> contractual payments</w:t>
      </w:r>
      <w:r w:rsidRPr="00206B63">
        <w:rPr>
          <w:rStyle w:val="Guidance"/>
        </w:rPr>
        <w:t xml:space="preserve">: </w:t>
      </w:r>
      <w:r w:rsidR="00E43E4D">
        <w:rPr>
          <w:rStyle w:val="Guidance"/>
        </w:rPr>
        <w:t>T</w:t>
      </w:r>
      <w:r w:rsidRPr="00206B63">
        <w:rPr>
          <w:rStyle w:val="Guidance"/>
        </w:rPr>
        <w:t xml:space="preserve">he purpose of the commitment note is to provide users with discounted or present value information about outstanding </w:t>
      </w:r>
      <w:r w:rsidR="00264F82">
        <w:rPr>
          <w:rStyle w:val="Guidance"/>
        </w:rPr>
        <w:t>SCA</w:t>
      </w:r>
      <w:r w:rsidRPr="00206B63">
        <w:rPr>
          <w:rStyle w:val="Guidance"/>
        </w:rPr>
        <w:t xml:space="preserve"> contractual payments for individual projects not recognised as liabilities on the balance sheet. Contractual payment streams often comprise several components and are paid as a bundle through quarterly service payments (QSPs). Typically, QSPs may include payments related to operating and maintenance contracts, asset upgrades and contingent rentals.</w:t>
      </w:r>
    </w:p>
    <w:p w14:paraId="5DCFB1AE" w14:textId="07CE9F5D" w:rsidR="003719CD" w:rsidRPr="00206B63" w:rsidRDefault="003719CD" w:rsidP="007D536F">
      <w:pPr>
        <w:rPr>
          <w:rStyle w:val="Guidance"/>
        </w:rPr>
      </w:pPr>
      <w:r w:rsidRPr="00206B63">
        <w:rPr>
          <w:rStyle w:val="Guidance"/>
        </w:rPr>
        <w:t>Where a contract and QSPs may relate to several like assets</w:t>
      </w:r>
      <w:r w:rsidR="004E2022">
        <w:rPr>
          <w:rStyle w:val="Guidance"/>
        </w:rPr>
        <w:t xml:space="preserve"> such as</w:t>
      </w:r>
      <w:r w:rsidR="004E2022" w:rsidRPr="00206B63">
        <w:rPr>
          <w:rStyle w:val="Guidance"/>
        </w:rPr>
        <w:t xml:space="preserve"> </w:t>
      </w:r>
      <w:r w:rsidR="004E2022">
        <w:rPr>
          <w:rStyle w:val="Guidance"/>
        </w:rPr>
        <w:t xml:space="preserve">the </w:t>
      </w:r>
      <w:r w:rsidR="004E2022" w:rsidRPr="00206B63">
        <w:rPr>
          <w:rStyle w:val="Guidance"/>
        </w:rPr>
        <w:t>upgrade</w:t>
      </w:r>
      <w:r w:rsidRPr="00206B63">
        <w:rPr>
          <w:rStyle w:val="Guidance"/>
        </w:rPr>
        <w:t xml:space="preserve"> </w:t>
      </w:r>
      <w:r w:rsidR="004E2022">
        <w:rPr>
          <w:rStyle w:val="Guidance"/>
        </w:rPr>
        <w:t xml:space="preserve">and </w:t>
      </w:r>
      <w:r w:rsidRPr="00206B63">
        <w:rPr>
          <w:rStyle w:val="Guidance"/>
        </w:rPr>
        <w:t xml:space="preserve">maintenance of several schools, disclosure would not be expected at the individual school level. Confirmation of individual </w:t>
      </w:r>
      <w:r w:rsidR="00264F82">
        <w:rPr>
          <w:rStyle w:val="Guidance"/>
        </w:rPr>
        <w:t>SCA</w:t>
      </w:r>
      <w:r w:rsidRPr="00206B63">
        <w:rPr>
          <w:rStyle w:val="Guidance"/>
        </w:rPr>
        <w:t xml:space="preserve"> projects for separate disclosure, either commissioned or uncommissioned, that are controlled by the entity at the reporting and/or comparative reporting date, should be confirmed with the relevant Commercial Advisory Services team of the Department of Treasury and Finance (DTF).</w:t>
      </w:r>
    </w:p>
    <w:p w14:paraId="1EE31B2F" w14:textId="4BAA1CE3" w:rsidR="003719CD" w:rsidRPr="00206B63" w:rsidRDefault="003719CD" w:rsidP="007D536F">
      <w:pPr>
        <w:rPr>
          <w:rStyle w:val="Guidance"/>
        </w:rPr>
      </w:pPr>
      <w:r w:rsidRPr="006B53A0">
        <w:rPr>
          <w:rStyle w:val="Guidance"/>
          <w:b/>
          <w:bCs/>
        </w:rPr>
        <w:t>Discount dates</w:t>
      </w:r>
      <w:r w:rsidRPr="00206B63">
        <w:rPr>
          <w:rStyle w:val="Guidance"/>
        </w:rPr>
        <w:t xml:space="preserve">: </w:t>
      </w:r>
      <w:r w:rsidR="00E43E4D">
        <w:rPr>
          <w:rStyle w:val="Guidance"/>
        </w:rPr>
        <w:t>I</w:t>
      </w:r>
      <w:r w:rsidRPr="00206B63">
        <w:rPr>
          <w:rStyle w:val="Guidance"/>
        </w:rPr>
        <w:t xml:space="preserve">n calculating the discounted value of the </w:t>
      </w:r>
      <w:r w:rsidR="007A1D0E">
        <w:rPr>
          <w:rStyle w:val="Guidance"/>
        </w:rPr>
        <w:t xml:space="preserve">‘capital finance component’ </w:t>
      </w:r>
      <w:r w:rsidRPr="00206B63">
        <w:rPr>
          <w:rStyle w:val="Guidance"/>
        </w:rPr>
        <w:t xml:space="preserve">of commitments for uncommissioned (still under construction) </w:t>
      </w:r>
      <w:r w:rsidR="00264F82">
        <w:rPr>
          <w:rStyle w:val="Guidance"/>
        </w:rPr>
        <w:t>SCA</w:t>
      </w:r>
      <w:r w:rsidRPr="00206B63">
        <w:rPr>
          <w:rStyle w:val="Guidance"/>
        </w:rPr>
        <w:t>s, the payments shall be discounted to the expected date of commissioning.</w:t>
      </w:r>
      <w:r w:rsidR="00254225">
        <w:rPr>
          <w:rStyle w:val="Guidance"/>
        </w:rPr>
        <w:t xml:space="preserve"> </w:t>
      </w:r>
      <w:r w:rsidRPr="00206B63">
        <w:rPr>
          <w:rStyle w:val="Guidance"/>
        </w:rPr>
        <w:t xml:space="preserve">In calculating the present value of ‘other commitments’ associated with both commissioned and uncommissioned </w:t>
      </w:r>
      <w:r w:rsidR="00264F82">
        <w:rPr>
          <w:rStyle w:val="Guidance"/>
        </w:rPr>
        <w:t>SCA</w:t>
      </w:r>
      <w:r w:rsidRPr="00206B63">
        <w:rPr>
          <w:rStyle w:val="Guidance"/>
        </w:rPr>
        <w:t>s, the payments shall be discounted to the 30 June of the reporting period and the comparative period respectively.</w:t>
      </w:r>
    </w:p>
    <w:p w14:paraId="09969306" w14:textId="0BD190BB" w:rsidR="003719CD" w:rsidRPr="00206B63" w:rsidRDefault="003719CD" w:rsidP="007D536F">
      <w:pPr>
        <w:rPr>
          <w:rStyle w:val="Guidance"/>
        </w:rPr>
      </w:pPr>
      <w:r w:rsidRPr="006B53A0">
        <w:rPr>
          <w:rStyle w:val="Guidance"/>
          <w:b/>
          <w:bCs/>
        </w:rPr>
        <w:lastRenderedPageBreak/>
        <w:t>Government capital contributions</w:t>
      </w:r>
      <w:r w:rsidRPr="00206B63">
        <w:rPr>
          <w:rStyle w:val="Guidance"/>
        </w:rPr>
        <w:t xml:space="preserve">: </w:t>
      </w:r>
      <w:r w:rsidR="00E43E4D">
        <w:rPr>
          <w:rStyle w:val="Guidance"/>
        </w:rPr>
        <w:t>G</w:t>
      </w:r>
      <w:r w:rsidRPr="00206B63">
        <w:rPr>
          <w:rStyle w:val="Guidance"/>
        </w:rPr>
        <w:t xml:space="preserve">overnment capital contributions relate to committed amounts to be paid by the State in a </w:t>
      </w:r>
      <w:r w:rsidR="00264F82">
        <w:rPr>
          <w:rStyle w:val="Guidance"/>
        </w:rPr>
        <w:t>SCA</w:t>
      </w:r>
      <w:r w:rsidRPr="00206B63">
        <w:rPr>
          <w:rStyle w:val="Guidance"/>
        </w:rPr>
        <w:t xml:space="preserve">. In general, if the government capital contribution is made upfront, the amount represents the nominal value of the payments that will be made when the project is commissioned. </w:t>
      </w:r>
    </w:p>
    <w:p w14:paraId="70930273" w14:textId="5ABFFD65" w:rsidR="003719CD" w:rsidRPr="00206B63" w:rsidRDefault="003719CD" w:rsidP="007D536F">
      <w:pPr>
        <w:rPr>
          <w:rStyle w:val="Guidance"/>
        </w:rPr>
      </w:pPr>
      <w:r w:rsidRPr="006B53A0">
        <w:rPr>
          <w:rStyle w:val="Guidance"/>
          <w:b/>
          <w:bCs/>
        </w:rPr>
        <w:t xml:space="preserve">Present values of </w:t>
      </w:r>
      <w:r w:rsidR="00264F82">
        <w:rPr>
          <w:rStyle w:val="Guidance"/>
          <w:b/>
          <w:bCs/>
        </w:rPr>
        <w:t>SCA</w:t>
      </w:r>
      <w:r w:rsidRPr="006B53A0">
        <w:rPr>
          <w:rStyle w:val="Guidance"/>
          <w:b/>
          <w:bCs/>
        </w:rPr>
        <w:t xml:space="preserve"> other commitments</w:t>
      </w:r>
      <w:r w:rsidRPr="00206B63">
        <w:rPr>
          <w:rStyle w:val="Guidance"/>
        </w:rPr>
        <w:t xml:space="preserve">: </w:t>
      </w:r>
      <w:r w:rsidR="00E43E4D">
        <w:rPr>
          <w:rStyle w:val="Guidance"/>
        </w:rPr>
        <w:t>F</w:t>
      </w:r>
      <w:r w:rsidRPr="00206B63">
        <w:rPr>
          <w:rStyle w:val="Guidance"/>
        </w:rPr>
        <w:t xml:space="preserve">or both commissioned and uncommissioned </w:t>
      </w:r>
      <w:r w:rsidR="007A1D0E">
        <w:rPr>
          <w:rStyle w:val="Guidance"/>
        </w:rPr>
        <w:t xml:space="preserve">service concession arrangements, the </w:t>
      </w:r>
      <w:r w:rsidRPr="00206B63">
        <w:rPr>
          <w:rStyle w:val="Guidance"/>
        </w:rPr>
        <w:t>present value</w:t>
      </w:r>
      <w:r w:rsidR="007A1D0E">
        <w:rPr>
          <w:rStyle w:val="Guidance"/>
        </w:rPr>
        <w:t xml:space="preserve"> of the other commitments shall be disclosed. </w:t>
      </w:r>
      <w:bookmarkStart w:id="111" w:name="_Hlk67063669"/>
      <w:r w:rsidR="00CC4B28">
        <w:rPr>
          <w:rStyle w:val="Guidance"/>
        </w:rPr>
        <w:t xml:space="preserve">If required, </w:t>
      </w:r>
      <w:r w:rsidRPr="00CC4B28">
        <w:rPr>
          <w:rStyle w:val="Guidance"/>
        </w:rPr>
        <w:t xml:space="preserve">DTF </w:t>
      </w:r>
      <w:r w:rsidR="00CC4B28" w:rsidRPr="00CC4B28">
        <w:rPr>
          <w:rStyle w:val="Guidance"/>
        </w:rPr>
        <w:t>c</w:t>
      </w:r>
      <w:r w:rsidR="007A1D0E">
        <w:rPr>
          <w:rStyle w:val="Guidance"/>
        </w:rPr>
        <w:t xml:space="preserve">an </w:t>
      </w:r>
      <w:r w:rsidRPr="00CC4B28">
        <w:rPr>
          <w:rStyle w:val="Guidance"/>
        </w:rPr>
        <w:t xml:space="preserve">provide further guidance on the appropriate discount rate to be </w:t>
      </w:r>
      <w:r w:rsidR="00CC4B28" w:rsidRPr="00CC4B28">
        <w:rPr>
          <w:rStyle w:val="Guidance"/>
        </w:rPr>
        <w:t>used based on the specifics of the arrangement</w:t>
      </w:r>
      <w:r w:rsidRPr="00CC4B28">
        <w:rPr>
          <w:rStyle w:val="Guidance"/>
        </w:rPr>
        <w:t>.</w:t>
      </w:r>
      <w:r w:rsidRPr="00206B63">
        <w:rPr>
          <w:rStyle w:val="Guidance"/>
        </w:rPr>
        <w:t xml:space="preserve"> </w:t>
      </w:r>
      <w:bookmarkEnd w:id="111"/>
    </w:p>
    <w:p w14:paraId="52D1FB99" w14:textId="7DDDB3FE" w:rsidR="003719CD" w:rsidRPr="00206B63" w:rsidRDefault="003719CD" w:rsidP="007D536F">
      <w:pPr>
        <w:rPr>
          <w:rStyle w:val="Guidance"/>
        </w:rPr>
      </w:pPr>
      <w:r w:rsidRPr="006B53A0">
        <w:rPr>
          <w:rStyle w:val="Guidance"/>
          <w:b/>
          <w:bCs/>
        </w:rPr>
        <w:t xml:space="preserve">GST for </w:t>
      </w:r>
      <w:r w:rsidR="00264F82">
        <w:rPr>
          <w:rStyle w:val="Guidance"/>
          <w:b/>
          <w:bCs/>
        </w:rPr>
        <w:t>SCA</w:t>
      </w:r>
      <w:r w:rsidRPr="006B53A0">
        <w:rPr>
          <w:rStyle w:val="Guidance"/>
          <w:b/>
          <w:bCs/>
        </w:rPr>
        <w:t>s</w:t>
      </w:r>
      <w:r w:rsidRPr="00206B63">
        <w:rPr>
          <w:rStyle w:val="Guidance"/>
        </w:rPr>
        <w:t xml:space="preserve">: </w:t>
      </w:r>
      <w:r w:rsidR="00E43E4D">
        <w:rPr>
          <w:rStyle w:val="Guidance"/>
        </w:rPr>
        <w:t>W</w:t>
      </w:r>
      <w:r w:rsidRPr="00206B63">
        <w:rPr>
          <w:rStyle w:val="Guidance"/>
        </w:rPr>
        <w:t xml:space="preserve">here there is evidence of invoices for the QSPs that separately identify the financing components, GST is not required to be added in respect </w:t>
      </w:r>
      <w:r w:rsidR="00367D84">
        <w:rPr>
          <w:rStyle w:val="Guidance"/>
        </w:rPr>
        <w:t xml:space="preserve">to </w:t>
      </w:r>
      <w:r w:rsidR="00367D84" w:rsidRPr="00206B63">
        <w:rPr>
          <w:rStyle w:val="Guidance"/>
        </w:rPr>
        <w:t>the</w:t>
      </w:r>
      <w:r w:rsidRPr="00206B63">
        <w:rPr>
          <w:rStyle w:val="Guidance"/>
        </w:rPr>
        <w:t xml:space="preserve"> financing component. However, where the invoices do not separately identify the financing component, the total QSP amounts for the commitment disclosure should be inclusive of GST.</w:t>
      </w:r>
    </w:p>
    <w:p w14:paraId="5CAE064E" w14:textId="77777777" w:rsidR="003719CD" w:rsidRDefault="003719CD" w:rsidP="007D536F">
      <w:pPr>
        <w:pStyle w:val="GuidanceEnd"/>
      </w:pPr>
    </w:p>
    <w:p w14:paraId="523C747E" w14:textId="02471716" w:rsidR="003719CD" w:rsidRDefault="003719CD" w:rsidP="007762BE">
      <w:pPr>
        <w:pStyle w:val="Heading3numbered"/>
      </w:pPr>
      <w:r>
        <w:t xml:space="preserve">Service </w:t>
      </w:r>
      <w:r w:rsidR="00D859ED">
        <w:t>c</w:t>
      </w:r>
      <w:r>
        <w:t xml:space="preserve">oncession </w:t>
      </w:r>
      <w:r w:rsidR="00D859ED">
        <w:t>a</w:t>
      </w:r>
      <w:r>
        <w:t>rrangements</w:t>
      </w:r>
      <w:r w:rsidR="005439BA">
        <w:t xml:space="preserve"> </w:t>
      </w:r>
      <w:r w:rsidR="00C971F0">
        <w:t>(SCA)</w:t>
      </w:r>
      <w:r>
        <w:t xml:space="preserve"> </w:t>
      </w:r>
    </w:p>
    <w:p w14:paraId="0B1666C7" w14:textId="78EEF67A" w:rsidR="007A5D40" w:rsidRDefault="007A5D40" w:rsidP="007A5D40">
      <w:bookmarkStart w:id="112" w:name="_Hlk155270668"/>
      <w:r w:rsidRPr="007A5D40">
        <w:t xml:space="preserve">AASB 1059 applies to arrangements where an operator provides public services, using a service concession asset, on behalf of the </w:t>
      </w:r>
      <w:r w:rsidR="004E2022">
        <w:t>D</w:t>
      </w:r>
      <w:r w:rsidRPr="007A5D40">
        <w:t>epartment and</w:t>
      </w:r>
      <w:r w:rsidR="004E2022">
        <w:t>,</w:t>
      </w:r>
      <w:r w:rsidRPr="007A5D40">
        <w:t xml:space="preserve"> importantly, the operator manages at least some of the public service at its own discretion. The </w:t>
      </w:r>
      <w:r w:rsidR="004E2022">
        <w:t>D</w:t>
      </w:r>
      <w:r w:rsidRPr="007A5D40">
        <w:t xml:space="preserve">epartment must also control the asset for AASB 1059 to apply. This means that certain </w:t>
      </w:r>
      <w:r w:rsidR="00A92419">
        <w:t xml:space="preserve">Public Private Partnership (PPP) </w:t>
      </w:r>
      <w:r w:rsidR="007A1D0E">
        <w:t xml:space="preserve">arrangements </w:t>
      </w:r>
      <w:r w:rsidR="007A1D0E" w:rsidRPr="007A5D40">
        <w:t>are</w:t>
      </w:r>
      <w:r w:rsidRPr="007A5D40">
        <w:t xml:space="preserve"> not within the scope of AASB 1059 and are accounted for as either </w:t>
      </w:r>
      <w:r w:rsidR="00A92419">
        <w:t xml:space="preserve">a </w:t>
      </w:r>
      <w:r w:rsidRPr="007A5D40">
        <w:t>lease</w:t>
      </w:r>
      <w:r w:rsidR="00A92419">
        <w:t xml:space="preserve"> </w:t>
      </w:r>
      <w:r w:rsidRPr="007A5D40">
        <w:t xml:space="preserve">(refer to Note 7.2) or assets being constructed by the </w:t>
      </w:r>
      <w:r w:rsidR="004D3F93">
        <w:t>D</w:t>
      </w:r>
      <w:r w:rsidRPr="007A5D40">
        <w:t xml:space="preserve">epartment (refer to Note </w:t>
      </w:r>
      <w:r w:rsidR="004D3F93">
        <w:t>5.1</w:t>
      </w:r>
      <w:r w:rsidRPr="007A5D40">
        <w:t>).</w:t>
      </w:r>
      <w:r w:rsidR="00A92419">
        <w:t xml:space="preserve"> In addition, certain arrangements that are not PPPs </w:t>
      </w:r>
      <w:r w:rsidR="00A92419" w:rsidRPr="00A92419">
        <w:t>(such as certain external service arrangements) could be captured within the scope of AASB 1059.</w:t>
      </w:r>
    </w:p>
    <w:p w14:paraId="5559C68C" w14:textId="75A39213" w:rsidR="007A5D40" w:rsidRDefault="007A5D40" w:rsidP="007A5D40">
      <w:r>
        <w:t xml:space="preserve">For arrangements within the scope of AASB 1059, at initial recognition a public sector grantor records the asset(s) used in the service concession arrangement at current replacement cost with a related liability, which could be a financial liability, an accrued revenue liability (referred to as the ‘Grant Of A Right To The Operator’ or GORTO liability) or a combination of both. </w:t>
      </w:r>
    </w:p>
    <w:p w14:paraId="7022DB33" w14:textId="77777777" w:rsidR="007A5D40" w:rsidRDefault="007A5D40" w:rsidP="007A5D40">
      <w:r>
        <w:t>The nature of the liability and subsequent accounting depends on the consideration exchanged in the arrangement between the Department and the operator.</w:t>
      </w:r>
    </w:p>
    <w:p w14:paraId="0440146A" w14:textId="2FE115D0" w:rsidR="007A5D40" w:rsidRDefault="007A5D40" w:rsidP="007A5D40">
      <w:r>
        <w:t xml:space="preserve">The Department initially recognised the liability at the same amount as the </w:t>
      </w:r>
      <w:r w:rsidR="007A1D0E">
        <w:t>service concession asset,</w:t>
      </w:r>
      <w:r>
        <w:t xml:space="preserve"> adjusted by the amount of any consideration from the Department to the operator, or from the operator to the Department. </w:t>
      </w:r>
    </w:p>
    <w:p w14:paraId="5C445B10" w14:textId="3FBC295D" w:rsidR="007A5D40" w:rsidRDefault="007A5D40" w:rsidP="007A5D40">
      <w:r>
        <w:t xml:space="preserve">Exception to this occurs when the Department reclassifies an existing asset </w:t>
      </w:r>
      <w:r w:rsidR="007A1D0E">
        <w:t>as</w:t>
      </w:r>
      <w:r>
        <w:t xml:space="preserve"> a</w:t>
      </w:r>
      <w:r w:rsidR="007A1D0E">
        <w:t xml:space="preserve"> service concession asset</w:t>
      </w:r>
      <w:r>
        <w:t>. When this occurs, no liability is recognised unless additional consideration is provided to the operator. Instead, the Department recognise</w:t>
      </w:r>
      <w:r w:rsidR="007A1D0E">
        <w:t>s</w:t>
      </w:r>
      <w:r>
        <w:t xml:space="preserve"> a </w:t>
      </w:r>
      <w:r w:rsidR="007A1D0E">
        <w:t>service concession asset and</w:t>
      </w:r>
      <w:r>
        <w:t xml:space="preserve"> a corresponding liability for the amounts spent on the upgrade/expansion work</w:t>
      </w:r>
      <w:r w:rsidR="004E2022">
        <w:t>.</w:t>
      </w:r>
    </w:p>
    <w:bookmarkEnd w:id="112"/>
    <w:p w14:paraId="3C8255DB" w14:textId="06D65EBC" w:rsidR="003719CD" w:rsidRDefault="003719CD" w:rsidP="00DC39DE">
      <w:r>
        <w:t xml:space="preserve">A </w:t>
      </w:r>
      <w:r>
        <w:rPr>
          <w:b/>
          <w:bCs/>
        </w:rPr>
        <w:t xml:space="preserve">financial liability </w:t>
      </w:r>
      <w:r>
        <w:t xml:space="preserve">is recognised where the Department has a contractual obligation to pay the operator for providing the </w:t>
      </w:r>
      <w:r w:rsidR="007A1D0E">
        <w:t>service concession asset</w:t>
      </w:r>
      <w:r>
        <w:t xml:space="preserve">. It is measured in accordance with AASB 9 </w:t>
      </w:r>
      <w:r>
        <w:rPr>
          <w:i/>
          <w:iCs/>
        </w:rPr>
        <w:t>Financial Instruments</w:t>
      </w:r>
      <w:r>
        <w:t xml:space="preserve"> and is recognised as a borrowing (Note 7.1). The liability is increased by interest charges (Note 7.1),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6F247BB0" w14:textId="7D24B76B" w:rsidR="003719CD" w:rsidRDefault="003719CD" w:rsidP="00DC39DE">
      <w:r>
        <w:t xml:space="preserve">A </w:t>
      </w:r>
      <w:r>
        <w:rPr>
          <w:b/>
          <w:bCs/>
        </w:rPr>
        <w:t>grant of right to the operator (GORTO) liability</w:t>
      </w:r>
      <w:r>
        <w:t xml:space="preserve"> is recognised where the Department does not have a contractual obligation to pay cash or another financial asset but grants the right to the operator to earn revenue from the public use of the asset (Note 6.2). This type of arrangement is commonly referred to as an economic service concession arrangement. It represents unearned revenue and is progressively reduced over the period of the arrangement in accordance with its substance (Note 2.4.5).</w:t>
      </w:r>
    </w:p>
    <w:p w14:paraId="65A9F390" w14:textId="2720A9E4" w:rsidR="003719CD" w:rsidRDefault="003719CD" w:rsidP="00DC39DE">
      <w:r>
        <w:t xml:space="preserve">After initial recognition, </w:t>
      </w:r>
      <w:r w:rsidR="007A1D0E">
        <w:t>service concession assets</w:t>
      </w:r>
      <w:r>
        <w:t xml:space="preserve"> are subsequently measured applying the revaluation model (refer to Note 5.1 </w:t>
      </w:r>
      <w:r w:rsidR="0019538F" w:rsidRPr="0019538F">
        <w:rPr>
          <w:i/>
          <w:iCs/>
        </w:rPr>
        <w:t>Total</w:t>
      </w:r>
      <w:r w:rsidR="0019538F">
        <w:t xml:space="preserve"> </w:t>
      </w:r>
      <w:r w:rsidRPr="00A77178">
        <w:rPr>
          <w:i/>
          <w:iCs/>
        </w:rPr>
        <w:t>Property, Plant and Equipment</w:t>
      </w:r>
      <w:r>
        <w:t xml:space="preserve"> and Note 5.4 </w:t>
      </w:r>
      <w:r w:rsidRPr="00A77178">
        <w:rPr>
          <w:i/>
          <w:iCs/>
        </w:rPr>
        <w:t>Intangible Assets</w:t>
      </w:r>
      <w:r>
        <w:t>).</w:t>
      </w:r>
    </w:p>
    <w:p w14:paraId="43F1D96B" w14:textId="4726E911" w:rsidR="003719CD" w:rsidRDefault="003719CD" w:rsidP="00DC39DE">
      <w:r>
        <w:t>The Department has the following service concession arrangements:</w:t>
      </w:r>
    </w:p>
    <w:p w14:paraId="302EAC3F" w14:textId="72389039" w:rsidR="003719CD" w:rsidRDefault="003719CD" w:rsidP="007D536F">
      <w:pPr>
        <w:pStyle w:val="Heading4"/>
      </w:pPr>
      <w:r>
        <w:t>Intellectual property and registry functions commercialisation – GORTO model</w:t>
      </w:r>
    </w:p>
    <w:p w14:paraId="0992C694" w14:textId="399023BA" w:rsidR="003719CD" w:rsidRDefault="003719CD" w:rsidP="00DC39DE">
      <w:r>
        <w:t xml:space="preserve">In </w:t>
      </w:r>
      <w:r w:rsidR="008B30BC" w:rsidRPr="007B72DF">
        <w:rPr>
          <w:rStyle w:val="Guidance"/>
        </w:rPr>
        <w:t>[date]</w:t>
      </w:r>
      <w:r>
        <w:t xml:space="preserve">, the State of Victoria granted a concession to operate the intellectual property and registry functions of the Department for $20 million. </w:t>
      </w:r>
      <w:r w:rsidRPr="00C46281">
        <w:rPr>
          <w:rStyle w:val="Reference"/>
        </w:rPr>
        <w:t>[AASB 1059.28(a)]</w:t>
      </w:r>
    </w:p>
    <w:p w14:paraId="5ED8DF80" w14:textId="6CA2F1B3" w:rsidR="003719CD" w:rsidRDefault="003719CD" w:rsidP="00DC39DE">
      <w:r>
        <w:t xml:space="preserve">Victorian Intellectual Property Registry Services (VIPRS) are responsible for part of the Department’s intellectual property and registry functions for a 20-year term, after which the functions will be returned to the Department. </w:t>
      </w:r>
      <w:r w:rsidRPr="00C46281">
        <w:rPr>
          <w:rStyle w:val="Reference"/>
        </w:rPr>
        <w:t>[AASB</w:t>
      </w:r>
      <w:r w:rsidR="00BD5FAF">
        <w:rPr>
          <w:rStyle w:val="Reference"/>
        </w:rPr>
        <w:t> </w:t>
      </w:r>
      <w:r w:rsidRPr="00C46281">
        <w:rPr>
          <w:rStyle w:val="Reference"/>
        </w:rPr>
        <w:t>1059.28(a),(c)(i)(iii)]</w:t>
      </w:r>
    </w:p>
    <w:p w14:paraId="255AF676" w14:textId="77777777" w:rsidR="00A4513A" w:rsidRDefault="003719CD" w:rsidP="00A4513A">
      <w:pPr>
        <w:rPr>
          <w:rStyle w:val="Reference"/>
        </w:rPr>
      </w:pPr>
      <w:r>
        <w:t xml:space="preserve">VIPRS has access to the State’s intellectual property registry data, operating manual and software. </w:t>
      </w:r>
      <w:r w:rsidR="00A4513A">
        <w:t xml:space="preserve">A condition of the arrangement is that data will be kept secure. </w:t>
      </w:r>
      <w:r w:rsidR="00A4513A" w:rsidRPr="00C46281">
        <w:rPr>
          <w:rStyle w:val="Reference"/>
        </w:rPr>
        <w:t>[AASB 1059.28(a),(c)(vi)]</w:t>
      </w:r>
      <w:r w:rsidR="00A4513A">
        <w:rPr>
          <w:rStyle w:val="Reference"/>
        </w:rPr>
        <w:t xml:space="preserve">. </w:t>
      </w:r>
    </w:p>
    <w:p w14:paraId="2E01CCD4" w14:textId="0CC51C1C" w:rsidR="003719CD" w:rsidRDefault="002A02C0" w:rsidP="00DC39DE">
      <w:r w:rsidRPr="002A02C0">
        <w:lastRenderedPageBreak/>
        <w:t>The assets that form part of this arrangement ha</w:t>
      </w:r>
      <w:r w:rsidR="004E2022">
        <w:t>ve</w:t>
      </w:r>
      <w:r w:rsidRPr="002A02C0">
        <w:t xml:space="preserve"> been assessed as providing a public service. The VIPRS also manage some of the delivery of the public service at its own discretion. The services that VIPRS manage include processing property register data searches, registrations of intellectual property, inquiries and modifications to the intellectual property register. The VIPRS have continued to deliver these services to the public in a smooth manner, ensuring service delivery requirements are maintained.</w:t>
      </w:r>
      <w:r w:rsidR="00FA1458">
        <w:t xml:space="preserve"> </w:t>
      </w:r>
      <w:r w:rsidR="003719CD">
        <w:t xml:space="preserve">VIPRS must meet key performance indicators throughout the term of the agreement which will be reviewed on a quarterly basis. Where the Department is satisfied with the performance of VIPRS, there is an option for the arrangement to be extended for a further five-year term. Where there is unsatisfactory performance, the agreement allows VIPRS the opportunity to rectify its operations however if this is not the case the Department may terminate. </w:t>
      </w:r>
      <w:r w:rsidR="003719CD" w:rsidRPr="00C46281">
        <w:rPr>
          <w:rStyle w:val="Reference"/>
        </w:rPr>
        <w:t>[AASB 1059.28(b),(c)(iv)]</w:t>
      </w:r>
      <w:r w:rsidR="003719CD">
        <w:t xml:space="preserve">  </w:t>
      </w:r>
    </w:p>
    <w:p w14:paraId="3FCE0163" w14:textId="77777777" w:rsidR="003719CD" w:rsidRDefault="003719CD" w:rsidP="00DC39DE">
      <w:r>
        <w:t xml:space="preserve">The State will retain full control over prices for intellectual property services throughout the 20-year term, and price increases will be capped at CPI for non-statutory services. The Registrar of Intellectual Property will remain under the Department’s control, retaining an oversight role over VIPRS. </w:t>
      </w:r>
      <w:r w:rsidRPr="00C46281">
        <w:rPr>
          <w:rStyle w:val="Reference"/>
        </w:rPr>
        <w:t>[AASB 1059.28(a)]</w:t>
      </w:r>
    </w:p>
    <w:p w14:paraId="5D181019" w14:textId="78F83A2F" w:rsidR="003719CD" w:rsidRDefault="003719CD" w:rsidP="00DC39DE">
      <w:r>
        <w:t>VIPRS will receive payments from the State on an executory basis. This is based on the total intellectual property registrations that occur for services rendered. The service payments are recognised in the purchase of services line of Note 3.</w:t>
      </w:r>
      <w:r w:rsidR="008F49C2">
        <w:t>3</w:t>
      </w:r>
      <w:r>
        <w:t xml:space="preserve"> </w:t>
      </w:r>
      <w:r w:rsidRPr="00C46281">
        <w:rPr>
          <w:i/>
          <w:iCs/>
        </w:rPr>
        <w:t>Other operating expenses</w:t>
      </w:r>
      <w:r>
        <w:t xml:space="preserve"> </w:t>
      </w:r>
      <w:r w:rsidRPr="00C46281">
        <w:rPr>
          <w:rStyle w:val="Reference"/>
        </w:rPr>
        <w:t>[1059.28(b)]</w:t>
      </w:r>
      <w:r>
        <w:t xml:space="preserve"> </w:t>
      </w:r>
    </w:p>
    <w:p w14:paraId="7F2E86D0" w14:textId="65DD1A5A" w:rsidR="003719CD" w:rsidRDefault="003719CD" w:rsidP="00DC39DE">
      <w:r>
        <w:t xml:space="preserve">For the $20 million received upfront </w:t>
      </w:r>
      <w:r w:rsidR="008B30BC" w:rsidRPr="007B72DF">
        <w:rPr>
          <w:rStyle w:val="Guidance"/>
        </w:rPr>
        <w:t>[date]</w:t>
      </w:r>
      <w:r w:rsidR="008B30BC">
        <w:rPr>
          <w:rStyle w:val="Guidance"/>
        </w:rPr>
        <w:t xml:space="preserve"> </w:t>
      </w:r>
      <w:r>
        <w:t>from VIPRS, the Department has recognised a grant of right to operate liability</w:t>
      </w:r>
      <w:r w:rsidR="00C22118">
        <w:t xml:space="preserve"> </w:t>
      </w:r>
      <w:r>
        <w:t>(Note 6.2). Since initial recognition, revenue (refer to Note 2.4.5) has been recognised on a straight</w:t>
      </w:r>
      <w:r w:rsidR="00080376">
        <w:t>-</w:t>
      </w:r>
      <w:r>
        <w:t>line basis</w:t>
      </w:r>
      <w:r w:rsidR="00DF3C91">
        <w:t xml:space="preserve"> which is representative of the economic substance of this arrangement </w:t>
      </w:r>
      <w:r>
        <w:t xml:space="preserve">and the liability reduced simultaneously. This will continue over the remaining 20-year term. </w:t>
      </w:r>
    </w:p>
    <w:p w14:paraId="36F6E3CE" w14:textId="652F128F" w:rsidR="003719CD" w:rsidRDefault="003719CD" w:rsidP="00DC39DE">
      <w:r>
        <w:t>The database has been recognised as an intangible asset (Note 5.4) at $2 million, based on the current replacement cost of the asset.</w:t>
      </w:r>
      <w:r w:rsidR="00080376">
        <w:t xml:space="preserve"> </w:t>
      </w:r>
      <w:r>
        <w:t xml:space="preserve">It has an indefinite useful life and is not depreciated. </w:t>
      </w:r>
      <w:r w:rsidRPr="00C46281">
        <w:rPr>
          <w:rStyle w:val="Reference"/>
        </w:rPr>
        <w:t>[1059.28(c)(ii), AASB 1059.B39(a)]</w:t>
      </w:r>
    </w:p>
    <w:p w14:paraId="17E5017E" w14:textId="77777777" w:rsidR="003719CD" w:rsidRDefault="003719CD" w:rsidP="007D536F">
      <w:pPr>
        <w:pStyle w:val="Heading4"/>
      </w:pPr>
      <w:r>
        <w:t>Construction of data centre to store medical records – Financial liability model</w:t>
      </w:r>
    </w:p>
    <w:p w14:paraId="4776FF5D" w14:textId="77777777" w:rsidR="003719CD" w:rsidRDefault="003719CD" w:rsidP="00DC39DE">
      <w:r>
        <w:t xml:space="preserve">The XYZ Consortium was contracted to construct a data centre that stores and maintains the medical records of the Victorian public. </w:t>
      </w:r>
      <w:r w:rsidRPr="00E162D3">
        <w:rPr>
          <w:rStyle w:val="Reference"/>
        </w:rPr>
        <w:t>[AASB 1059.28(a)]</w:t>
      </w:r>
    </w:p>
    <w:p w14:paraId="3B2F5C4A" w14:textId="300EFAC8" w:rsidR="003719CD" w:rsidRDefault="003719CD" w:rsidP="00DC39DE">
      <w:r>
        <w:t xml:space="preserve">Construction of the data centre began in </w:t>
      </w:r>
      <w:r w:rsidR="00E97056" w:rsidRPr="00CD06B1">
        <w:rPr>
          <w:rStyle w:val="Guidance"/>
        </w:rPr>
        <w:t>[date</w:t>
      </w:r>
      <w:r w:rsidR="008B30BC" w:rsidRPr="00CD06B1">
        <w:rPr>
          <w:rStyle w:val="Guidance"/>
        </w:rPr>
        <w:t>]</w:t>
      </w:r>
      <w:r w:rsidR="008B30BC" w:rsidDel="008B30BC">
        <w:t xml:space="preserve"> </w:t>
      </w:r>
      <w:r>
        <w:t xml:space="preserve">and commercial acceptance was achieved in </w:t>
      </w:r>
      <w:r w:rsidR="008B30BC" w:rsidRPr="007B72DF">
        <w:rPr>
          <w:rStyle w:val="Guidance"/>
        </w:rPr>
        <w:t>[date]</w:t>
      </w:r>
      <w:r>
        <w:t xml:space="preserve">. The fair value of the asset at this time was $60 million. It is recognised as a </w:t>
      </w:r>
      <w:r w:rsidR="007A1D0E">
        <w:t xml:space="preserve">service concession asset </w:t>
      </w:r>
      <w:r>
        <w:t xml:space="preserve">within the building category in Note 5.1 and the financial liability recognised in Note 7.1. </w:t>
      </w:r>
      <w:r w:rsidRPr="00991B25">
        <w:rPr>
          <w:rStyle w:val="Reference"/>
        </w:rPr>
        <w:t>[</w:t>
      </w:r>
      <w:r w:rsidR="006A4FA2">
        <w:rPr>
          <w:rStyle w:val="Reference"/>
        </w:rPr>
        <w:t xml:space="preserve">AASB </w:t>
      </w:r>
      <w:r w:rsidRPr="00991B25">
        <w:rPr>
          <w:rStyle w:val="Reference"/>
        </w:rPr>
        <w:t>1</w:t>
      </w:r>
      <w:r w:rsidRPr="00E162D3">
        <w:rPr>
          <w:rStyle w:val="Reference"/>
        </w:rPr>
        <w:t>059.28(a)(c)(ii)]</w:t>
      </w:r>
    </w:p>
    <w:p w14:paraId="22F463FE" w14:textId="0F71D894" w:rsidR="003719CD" w:rsidRDefault="003719CD" w:rsidP="00DC39DE">
      <w:r>
        <w:t xml:space="preserve">The consortium will operate and maintain the data centre for a term of 25 years. The data centre will return to the Department at this time, with a remaining useful life of five years. The service concession asset will be depreciated over the term of the arrangement (refer to Note 5.1.1). An interest expense on the financial liability is recognised each year (refer to Note 7.1). </w:t>
      </w:r>
      <w:r w:rsidRPr="00E162D3">
        <w:rPr>
          <w:rStyle w:val="Reference"/>
        </w:rPr>
        <w:t>[AASB 1059.28(a)(c)(ii)]</w:t>
      </w:r>
    </w:p>
    <w:p w14:paraId="14ACCA56" w14:textId="3295FBD5" w:rsidR="003719CD" w:rsidRDefault="003719CD" w:rsidP="00DC39DE">
      <w:r>
        <w:t>Over the 25-year term, the Department will provide the consortium with access to its medical record software. The consortium will be responsible for ensuring data security is maintained to industry standards, medical record software is kept up</w:t>
      </w:r>
      <w:r w:rsidR="00E95191">
        <w:t>-</w:t>
      </w:r>
      <w:r>
        <w:t>to</w:t>
      </w:r>
      <w:r w:rsidR="00E95191">
        <w:t>-</w:t>
      </w:r>
      <w:r>
        <w:t>date and operational, and the records can be accessed and updated as needed by medical professionals. The functions for which the consortium is responsible are deemed to be public services and the</w:t>
      </w:r>
      <w:r w:rsidR="008C0463">
        <w:t>n</w:t>
      </w:r>
      <w:r>
        <w:t xml:space="preserve"> it manages these functions under its own discretion. </w:t>
      </w:r>
      <w:r w:rsidRPr="00E162D3">
        <w:rPr>
          <w:rStyle w:val="Reference"/>
        </w:rPr>
        <w:t>[AASB 1059.28(a)]</w:t>
      </w:r>
    </w:p>
    <w:p w14:paraId="43DB0E86" w14:textId="043FF8DE" w:rsidR="003719CD" w:rsidRDefault="003719CD" w:rsidP="00DC39DE">
      <w:r>
        <w:t xml:space="preserve">The consortium is subject to key performance indicators over the term of the agreement. Where there is unsatisfactory performance, the agreement gives the consortium the ability to rectify its performance. However, if this is not satisfactory the Department can adjust the quarterly payments made to the consortium. Where performance is not rectified, the Department can terminate the agreement and appoint another suitable body to take over the operation and management of the hospital. </w:t>
      </w:r>
      <w:r w:rsidRPr="00E162D3">
        <w:rPr>
          <w:rStyle w:val="Reference"/>
        </w:rPr>
        <w:t>[AASB 1059.28(b)(c)(iv)]</w:t>
      </w:r>
    </w:p>
    <w:p w14:paraId="45C8F6E2" w14:textId="77777777" w:rsidR="003719CD" w:rsidRDefault="003719CD" w:rsidP="00DC39DE">
      <w:r>
        <w:t xml:space="preserve">If the Department is satisfied with the consortium’s performance, the agreement includes an optional five-year extension term. Negotiations to extend can begin two years prior to agreement end date. </w:t>
      </w:r>
      <w:r w:rsidRPr="00E162D3">
        <w:rPr>
          <w:rStyle w:val="Reference"/>
        </w:rPr>
        <w:t>[AASB 1059.28(c)(iv)]</w:t>
      </w:r>
    </w:p>
    <w:p w14:paraId="0F096520" w14:textId="77777777" w:rsidR="003719CD" w:rsidRDefault="003719CD" w:rsidP="00DC39DE"/>
    <w:p w14:paraId="52CDF7D1" w14:textId="77777777" w:rsidR="002A2864" w:rsidRDefault="002A2864">
      <w:pPr>
        <w:keepLines w:val="0"/>
        <w:rPr>
          <w:rFonts w:asciiTheme="majorHAnsi" w:eastAsiaTheme="majorEastAsia" w:hAnsiTheme="majorHAnsi" w:cstheme="majorBidi"/>
          <w:b/>
          <w:bCs/>
          <w:iCs/>
          <w:color w:val="FFFFFF" w:themeColor="background1"/>
          <w:sz w:val="20"/>
          <w:szCs w:val="24"/>
        </w:rPr>
      </w:pPr>
      <w:r>
        <w:br w:type="page"/>
      </w:r>
    </w:p>
    <w:p w14:paraId="76793F29" w14:textId="32E9EA4A" w:rsidR="003719CD" w:rsidRDefault="003719CD" w:rsidP="007D536F">
      <w:pPr>
        <w:pStyle w:val="GuidanceBlockHeading"/>
      </w:pPr>
      <w:r>
        <w:lastRenderedPageBreak/>
        <w:t>Guidance – Service Concession Arrangements: Grantors</w:t>
      </w:r>
    </w:p>
    <w:p w14:paraId="2478ED20" w14:textId="77777777" w:rsidR="003719CD" w:rsidRPr="008D45ED" w:rsidRDefault="003719CD" w:rsidP="007D536F">
      <w:pPr>
        <w:pStyle w:val="GuidanceHeading"/>
        <w:rPr>
          <w:rStyle w:val="Guidance"/>
        </w:rPr>
      </w:pPr>
      <w:r w:rsidRPr="008D45ED">
        <w:rPr>
          <w:rStyle w:val="Guidance"/>
        </w:rPr>
        <w:t>AASB 1059 Presentation and Disclosure requirements – paragraphs 28 and 29</w:t>
      </w:r>
    </w:p>
    <w:p w14:paraId="4E2DA763" w14:textId="77777777" w:rsidR="003719CD" w:rsidRPr="008D45ED" w:rsidRDefault="003719CD" w:rsidP="007D536F">
      <w:pPr>
        <w:rPr>
          <w:rStyle w:val="Guidance"/>
        </w:rPr>
      </w:pPr>
      <w:r w:rsidRPr="008D45ED">
        <w:rPr>
          <w:rStyle w:val="Guidance"/>
        </w:rPr>
        <w:t>The financial statements should include sufficient information to enable users of financial statements to understand the nature, amount, timing and uncertainty of assets, liabilities, revenue and cash flows arising from service concession arrangements. To achieve this, entities shall consider disclosing qualitative and quantitative information about its service concession arrangements, including the following:</w:t>
      </w:r>
    </w:p>
    <w:p w14:paraId="487B54BC" w14:textId="6D5946FA" w:rsidR="003719CD" w:rsidRPr="008D45ED" w:rsidRDefault="003719CD" w:rsidP="00310F12">
      <w:pPr>
        <w:pStyle w:val="ListBullet"/>
        <w:rPr>
          <w:rStyle w:val="Guidance"/>
        </w:rPr>
      </w:pPr>
      <w:r w:rsidRPr="008D45ED">
        <w:rPr>
          <w:rStyle w:val="Guidance"/>
        </w:rPr>
        <w:t>a description of the arrangement</w:t>
      </w:r>
    </w:p>
    <w:p w14:paraId="3E6E8CFC" w14:textId="1504C974" w:rsidR="003719CD" w:rsidRPr="008D45ED" w:rsidRDefault="003719CD" w:rsidP="00310F12">
      <w:pPr>
        <w:pStyle w:val="ListBullet"/>
        <w:rPr>
          <w:rStyle w:val="Guidance"/>
        </w:rPr>
      </w:pPr>
      <w:r w:rsidRPr="008D45ED">
        <w:rPr>
          <w:rStyle w:val="Guidance"/>
        </w:rPr>
        <w:t>significant terms of the arrangements that may affect the amount, timing and uncertainty of future cash flows (e.g. the period of the arrangement, re-pricing dates and the basis upon which repricing or renegotiation is determined)</w:t>
      </w:r>
    </w:p>
    <w:p w14:paraId="32236D79" w14:textId="77777777" w:rsidR="003719CD" w:rsidRPr="008D45ED" w:rsidRDefault="003719CD" w:rsidP="00310F12">
      <w:pPr>
        <w:pStyle w:val="ListBullet"/>
        <w:rPr>
          <w:rStyle w:val="Guidance"/>
        </w:rPr>
      </w:pPr>
      <w:r w:rsidRPr="008D45ED">
        <w:rPr>
          <w:rStyle w:val="Guidance"/>
        </w:rPr>
        <w:t>the nature and extent (e.g. quantity, time period, or amount, as appropriate) of:</w:t>
      </w:r>
    </w:p>
    <w:p w14:paraId="142B9134" w14:textId="73B11884" w:rsidR="003719CD" w:rsidRPr="008D45ED" w:rsidRDefault="003719CD" w:rsidP="00FF68F2">
      <w:pPr>
        <w:pStyle w:val="ListBullet2"/>
        <w:rPr>
          <w:rStyle w:val="Guidance"/>
        </w:rPr>
      </w:pPr>
      <w:r w:rsidRPr="008D45ED">
        <w:rPr>
          <w:rStyle w:val="Guidance"/>
        </w:rPr>
        <w:t>rights to receive specified services from the operator</w:t>
      </w:r>
    </w:p>
    <w:p w14:paraId="666E2DFD" w14:textId="6C0674B0" w:rsidR="003719CD" w:rsidRPr="008D45ED" w:rsidRDefault="003719CD" w:rsidP="00FF68F2">
      <w:pPr>
        <w:pStyle w:val="ListBullet2"/>
        <w:rPr>
          <w:rStyle w:val="Guidance"/>
        </w:rPr>
      </w:pPr>
      <w:r w:rsidRPr="008D45ED">
        <w:rPr>
          <w:rStyle w:val="Guidance"/>
        </w:rPr>
        <w:t>the carrying amount of service concession assets as at the end of the reporting period, including separate disclosure for existing assets of the grantor reclassified as service concession assets during the reporting period</w:t>
      </w:r>
    </w:p>
    <w:p w14:paraId="2BE7224C" w14:textId="4EB78424" w:rsidR="003719CD" w:rsidRPr="008D45ED" w:rsidRDefault="003719CD" w:rsidP="00FF68F2">
      <w:pPr>
        <w:pStyle w:val="ListBullet2"/>
        <w:rPr>
          <w:rStyle w:val="Guidance"/>
        </w:rPr>
      </w:pPr>
      <w:r w:rsidRPr="008D45ED">
        <w:rPr>
          <w:rStyle w:val="Guidance"/>
        </w:rPr>
        <w:t>rights to receive specified assets at the end of the arrangement</w:t>
      </w:r>
    </w:p>
    <w:p w14:paraId="5D1B79DA" w14:textId="71552AD2" w:rsidR="003719CD" w:rsidRPr="008D45ED" w:rsidRDefault="003719CD" w:rsidP="00FF68F2">
      <w:pPr>
        <w:pStyle w:val="ListBullet2"/>
        <w:rPr>
          <w:rStyle w:val="Guidance"/>
        </w:rPr>
      </w:pPr>
      <w:r w:rsidRPr="008D45ED">
        <w:rPr>
          <w:rStyle w:val="Guidance"/>
        </w:rPr>
        <w:t>renewal and termination options</w:t>
      </w:r>
    </w:p>
    <w:p w14:paraId="021E7B89" w14:textId="6B58C102" w:rsidR="003719CD" w:rsidRPr="008D45ED" w:rsidRDefault="003719CD" w:rsidP="00FF68F2">
      <w:pPr>
        <w:pStyle w:val="ListBullet2"/>
        <w:rPr>
          <w:rStyle w:val="Guidance"/>
        </w:rPr>
      </w:pPr>
      <w:r w:rsidRPr="008D45ED">
        <w:rPr>
          <w:rStyle w:val="Guidance"/>
        </w:rPr>
        <w:t>other rights and obligations (e.g. major overhaul of service concession assets)</w:t>
      </w:r>
    </w:p>
    <w:p w14:paraId="6675FA5A" w14:textId="46F15A58" w:rsidR="003719CD" w:rsidRPr="008D45ED" w:rsidRDefault="003719CD" w:rsidP="00FF68F2">
      <w:pPr>
        <w:pStyle w:val="ListBullet2"/>
        <w:rPr>
          <w:rStyle w:val="Guidance"/>
        </w:rPr>
      </w:pPr>
      <w:r w:rsidRPr="008D45ED">
        <w:rPr>
          <w:rStyle w:val="Guidance"/>
        </w:rPr>
        <w:t>obligations to provide the operator with access to service concession assets or other revenue</w:t>
      </w:r>
      <w:r w:rsidR="00A2047B">
        <w:rPr>
          <w:rStyle w:val="Guidance"/>
        </w:rPr>
        <w:noBreakHyphen/>
      </w:r>
      <w:r w:rsidRPr="008D45ED">
        <w:rPr>
          <w:rStyle w:val="Guidance"/>
        </w:rPr>
        <w:t>generating assets.</w:t>
      </w:r>
    </w:p>
    <w:p w14:paraId="571248C1" w14:textId="77777777" w:rsidR="003719CD" w:rsidRPr="008D45ED" w:rsidRDefault="003719CD" w:rsidP="00310F12">
      <w:pPr>
        <w:pStyle w:val="ListBullet"/>
        <w:rPr>
          <w:rStyle w:val="Guidance"/>
        </w:rPr>
      </w:pPr>
      <w:r w:rsidRPr="008D45ED">
        <w:rPr>
          <w:rStyle w:val="Guidance"/>
        </w:rPr>
        <w:t xml:space="preserve">changes in arrangements occurring during the reporting period. </w:t>
      </w:r>
    </w:p>
    <w:p w14:paraId="737E00D5" w14:textId="77777777" w:rsidR="003719CD" w:rsidRPr="008D45ED" w:rsidRDefault="003719CD" w:rsidP="007D536F">
      <w:pPr>
        <w:rPr>
          <w:rStyle w:val="Guidance"/>
        </w:rPr>
      </w:pPr>
      <w:r w:rsidRPr="008D45ED">
        <w:rPr>
          <w:rStyle w:val="Guidance"/>
        </w:rPr>
        <w:t xml:space="preserve">Disclosures should be included individually for each material service concession arrangement or in aggregate for service concession arrangements involving services of a similar nature, in addition to disclosures required by AASB 116 </w:t>
      </w:r>
      <w:r w:rsidRPr="00592785">
        <w:rPr>
          <w:rStyle w:val="Guidance"/>
          <w:i/>
          <w:iCs/>
        </w:rPr>
        <w:t>Property, Plant and Equipment</w:t>
      </w:r>
      <w:r w:rsidRPr="008D45ED">
        <w:rPr>
          <w:rStyle w:val="Guidance"/>
        </w:rPr>
        <w:t xml:space="preserve"> and AASB 138 </w:t>
      </w:r>
      <w:r w:rsidRPr="00592785">
        <w:rPr>
          <w:rStyle w:val="Guidance"/>
          <w:i/>
          <w:iCs/>
        </w:rPr>
        <w:t>Intangible Assets</w:t>
      </w:r>
      <w:r w:rsidRPr="008D45ED">
        <w:rPr>
          <w:rStyle w:val="Guidance"/>
        </w:rPr>
        <w:t>, where required. Service concession assets of a similar nature may form a subset of a class of assets disclosed in accordance with AASB 116 or AASB 138 or may be included in more than one class of assets disclosed in accordance with AASB 116 or AASB 138. For example, for the purposes of AASB 116, a toll bridge may be included in the same class as other bridges and may also be included in aggregate with service concession assets reported as toll roads.</w:t>
      </w:r>
    </w:p>
    <w:p w14:paraId="43F2DAB9" w14:textId="77777777" w:rsidR="003719CD" w:rsidRPr="008D45ED" w:rsidRDefault="003719CD" w:rsidP="007D536F">
      <w:pPr>
        <w:rPr>
          <w:rStyle w:val="Guidance"/>
        </w:rPr>
      </w:pPr>
      <w:r w:rsidRPr="008D45ED">
        <w:rPr>
          <w:rStyle w:val="Guidance"/>
        </w:rPr>
        <w:t xml:space="preserve">The disclosures required to meet the objective of AASB 1059’s disclosure requirements will depend on the facts and circumstances of individual arrangements. Determining the extent of disclosures required is a matter of judgement and a public sector entity should engage with audit early to ensure disclosures are appropriate.  </w:t>
      </w:r>
    </w:p>
    <w:p w14:paraId="56BDC20C" w14:textId="6D4D9FD8" w:rsidR="003719CD" w:rsidRDefault="003719CD" w:rsidP="007D536F">
      <w:pPr>
        <w:rPr>
          <w:rStyle w:val="Guidance"/>
        </w:rPr>
      </w:pPr>
      <w:r w:rsidRPr="00185F45">
        <w:rPr>
          <w:rStyle w:val="Guidance"/>
          <w:b/>
          <w:bCs/>
        </w:rPr>
        <w:t>Note</w:t>
      </w:r>
      <w:r w:rsidRPr="008D45ED">
        <w:rPr>
          <w:rStyle w:val="Guidance"/>
        </w:rPr>
        <w:t xml:space="preserve">: </w:t>
      </w:r>
      <w:r w:rsidR="007A1D0E">
        <w:rPr>
          <w:rStyle w:val="Guidance"/>
        </w:rPr>
        <w:t>T</w:t>
      </w:r>
      <w:r w:rsidRPr="008D45ED">
        <w:rPr>
          <w:rStyle w:val="Guidance"/>
        </w:rPr>
        <w:t>he disclosures do not address AASB 1059.28(c)(ii) or (d) as they are not relevant to the scenario. If relevant to a specific public sector entity, information relating to these should be included.</w:t>
      </w:r>
    </w:p>
    <w:p w14:paraId="48CA3434" w14:textId="77777777" w:rsidR="003719CD" w:rsidRDefault="003719CD" w:rsidP="007D536F">
      <w:pPr>
        <w:pStyle w:val="GuidanceEnd"/>
      </w:pPr>
    </w:p>
    <w:p w14:paraId="104193AC" w14:textId="6E48E382" w:rsidR="003719CD" w:rsidRDefault="003719CD" w:rsidP="007762BE">
      <w:pPr>
        <w:pStyle w:val="Heading3numbered"/>
      </w:pPr>
      <w:r>
        <w:t xml:space="preserve">Commitments other than </w:t>
      </w:r>
      <w:r w:rsidR="006A1E3B">
        <w:t>SCAs</w:t>
      </w:r>
    </w:p>
    <w:p w14:paraId="3ECAECB9"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088"/>
        <w:gridCol w:w="1276"/>
        <w:gridCol w:w="1275"/>
      </w:tblGrid>
      <w:tr w:rsidR="008E5233" w14:paraId="0EBC98BE" w14:textId="77777777" w:rsidTr="00D943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8" w:type="dxa"/>
          </w:tcPr>
          <w:p w14:paraId="2269A7C7" w14:textId="77777777" w:rsidR="008E5233" w:rsidRDefault="008E5233">
            <w:pPr>
              <w:keepNext/>
            </w:pPr>
          </w:p>
        </w:tc>
        <w:tc>
          <w:tcPr>
            <w:tcW w:w="1276" w:type="dxa"/>
          </w:tcPr>
          <w:p w14:paraId="4A56502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20X2</w:t>
            </w:r>
          </w:p>
        </w:tc>
        <w:tc>
          <w:tcPr>
            <w:tcW w:w="1275" w:type="dxa"/>
          </w:tcPr>
          <w:p w14:paraId="6C4E310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20X1</w:t>
            </w:r>
          </w:p>
        </w:tc>
      </w:tr>
      <w:tr w:rsidR="008E5233" w14:paraId="3B331BF1" w14:textId="77777777" w:rsidTr="00D9436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88" w:type="dxa"/>
          </w:tcPr>
          <w:p w14:paraId="743C5C67" w14:textId="77777777" w:rsidR="008E5233" w:rsidRDefault="008E5233">
            <w:pPr>
              <w:keepNext/>
            </w:pPr>
          </w:p>
        </w:tc>
        <w:tc>
          <w:tcPr>
            <w:tcW w:w="1276" w:type="dxa"/>
          </w:tcPr>
          <w:p w14:paraId="4AB1E22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Nominal value (incl. GST)</w:t>
            </w:r>
          </w:p>
        </w:tc>
        <w:tc>
          <w:tcPr>
            <w:tcW w:w="1275" w:type="dxa"/>
          </w:tcPr>
          <w:p w14:paraId="253D4956"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Nominal value (incl. GST)</w:t>
            </w:r>
          </w:p>
        </w:tc>
      </w:tr>
      <w:tr w:rsidR="008E5233" w14:paraId="2C177E06" w14:textId="77777777">
        <w:tc>
          <w:tcPr>
            <w:cnfStyle w:val="001000000000" w:firstRow="0" w:lastRow="0" w:firstColumn="1" w:lastColumn="0" w:oddVBand="0" w:evenVBand="0" w:oddHBand="0" w:evenHBand="0" w:firstRowFirstColumn="0" w:firstRowLastColumn="0" w:lastRowFirstColumn="0" w:lastRowLastColumn="0"/>
            <w:tcW w:w="7088" w:type="dxa"/>
          </w:tcPr>
          <w:p w14:paraId="32C3D321" w14:textId="77777777" w:rsidR="008E5233" w:rsidRDefault="005648A9">
            <w:r>
              <w:t>Capital expenditure commitments: Plant, equipment and vehicles</w:t>
            </w:r>
          </w:p>
        </w:tc>
        <w:tc>
          <w:tcPr>
            <w:tcW w:w="1276" w:type="dxa"/>
          </w:tcPr>
          <w:p w14:paraId="1D876604" w14:textId="77777777" w:rsidR="008E5233" w:rsidRDefault="005648A9">
            <w:pPr>
              <w:cnfStyle w:val="000000000000" w:firstRow="0" w:lastRow="0" w:firstColumn="0" w:lastColumn="0" w:oddVBand="0" w:evenVBand="0" w:oddHBand="0" w:evenHBand="0" w:firstRowFirstColumn="0" w:firstRowLastColumn="0" w:lastRowFirstColumn="0" w:lastRowLastColumn="0"/>
            </w:pPr>
            <w:r>
              <w:t>4 856</w:t>
            </w:r>
          </w:p>
        </w:tc>
        <w:tc>
          <w:tcPr>
            <w:tcW w:w="1275" w:type="dxa"/>
          </w:tcPr>
          <w:p w14:paraId="6E6176CD" w14:textId="77777777" w:rsidR="008E5233" w:rsidRDefault="005648A9">
            <w:pPr>
              <w:cnfStyle w:val="000000000000" w:firstRow="0" w:lastRow="0" w:firstColumn="0" w:lastColumn="0" w:oddVBand="0" w:evenVBand="0" w:oddHBand="0" w:evenHBand="0" w:firstRowFirstColumn="0" w:firstRowLastColumn="0" w:lastRowFirstColumn="0" w:lastRowLastColumn="0"/>
            </w:pPr>
            <w:r>
              <w:t>6 010</w:t>
            </w:r>
          </w:p>
        </w:tc>
      </w:tr>
      <w:tr w:rsidR="008E5233" w14:paraId="0339C505" w14:textId="77777777">
        <w:tc>
          <w:tcPr>
            <w:cnfStyle w:val="001000000000" w:firstRow="0" w:lastRow="0" w:firstColumn="1" w:lastColumn="0" w:oddVBand="0" w:evenVBand="0" w:oddHBand="0" w:evenHBand="0" w:firstRowFirstColumn="0" w:firstRowLastColumn="0" w:lastRowFirstColumn="0" w:lastRowLastColumn="0"/>
            <w:tcW w:w="7088" w:type="dxa"/>
          </w:tcPr>
          <w:p w14:paraId="1C4A8738" w14:textId="77777777" w:rsidR="008E5233" w:rsidRDefault="005648A9">
            <w:r>
              <w:t>Intangible asset commitments: Patent</w:t>
            </w:r>
          </w:p>
        </w:tc>
        <w:tc>
          <w:tcPr>
            <w:tcW w:w="1276" w:type="dxa"/>
          </w:tcPr>
          <w:p w14:paraId="72323D6B" w14:textId="77777777" w:rsidR="008E5233" w:rsidRDefault="005648A9">
            <w:pPr>
              <w:cnfStyle w:val="000000000000" w:firstRow="0" w:lastRow="0" w:firstColumn="0" w:lastColumn="0" w:oddVBand="0" w:evenVBand="0" w:oddHBand="0" w:evenHBand="0" w:firstRowFirstColumn="0" w:firstRowLastColumn="0" w:lastRowFirstColumn="0" w:lastRowLastColumn="0"/>
            </w:pPr>
            <w:r>
              <w:t>43</w:t>
            </w:r>
          </w:p>
        </w:tc>
        <w:tc>
          <w:tcPr>
            <w:tcW w:w="1275" w:type="dxa"/>
          </w:tcPr>
          <w:p w14:paraId="0C6B160E"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r>
      <w:tr w:rsidR="008E5233" w14:paraId="35F6D541" w14:textId="77777777">
        <w:tc>
          <w:tcPr>
            <w:cnfStyle w:val="001000000000" w:firstRow="0" w:lastRow="0" w:firstColumn="1" w:lastColumn="0" w:oddVBand="0" w:evenVBand="0" w:oddHBand="0" w:evenHBand="0" w:firstRowFirstColumn="0" w:firstRowLastColumn="0" w:lastRowFirstColumn="0" w:lastRowLastColumn="0"/>
            <w:tcW w:w="7088" w:type="dxa"/>
          </w:tcPr>
          <w:p w14:paraId="5A48118E" w14:textId="77777777" w:rsidR="008E5233" w:rsidRDefault="005648A9">
            <w:r>
              <w:t>Share of joint ventures’ capital commitments: Plant, equipment and vehicles</w:t>
            </w:r>
          </w:p>
        </w:tc>
        <w:tc>
          <w:tcPr>
            <w:tcW w:w="1276" w:type="dxa"/>
          </w:tcPr>
          <w:p w14:paraId="19D64C08"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c>
          <w:tcPr>
            <w:tcW w:w="1275" w:type="dxa"/>
          </w:tcPr>
          <w:p w14:paraId="4D2F9869" w14:textId="77777777" w:rsidR="008E5233" w:rsidRDefault="005648A9">
            <w:pPr>
              <w:cnfStyle w:val="000000000000" w:firstRow="0" w:lastRow="0" w:firstColumn="0" w:lastColumn="0" w:oddVBand="0" w:evenVBand="0" w:oddHBand="0" w:evenHBand="0" w:firstRowFirstColumn="0" w:firstRowLastColumn="0" w:lastRowFirstColumn="0" w:lastRowLastColumn="0"/>
            </w:pPr>
            <w:r>
              <w:t>21</w:t>
            </w:r>
          </w:p>
        </w:tc>
      </w:tr>
      <w:tr w:rsidR="008E5233" w14:paraId="5C247839" w14:textId="77777777" w:rsidTr="008E5233">
        <w:tc>
          <w:tcPr>
            <w:cnfStyle w:val="001000000000" w:firstRow="0" w:lastRow="0" w:firstColumn="1" w:lastColumn="0" w:oddVBand="0" w:evenVBand="0" w:oddHBand="0" w:evenHBand="0" w:firstRowFirstColumn="0" w:firstRowLastColumn="0" w:lastRowFirstColumn="0" w:lastRowLastColumn="0"/>
            <w:tcW w:w="7088" w:type="dxa"/>
            <w:tcBorders>
              <w:bottom w:val="single" w:sz="12" w:space="0" w:color="auto"/>
            </w:tcBorders>
          </w:tcPr>
          <w:p w14:paraId="595FE1AC" w14:textId="77777777" w:rsidR="008E5233" w:rsidRDefault="005648A9">
            <w:r>
              <w:t>Other commitments: Outsourcing</w:t>
            </w:r>
          </w:p>
        </w:tc>
        <w:tc>
          <w:tcPr>
            <w:tcW w:w="1276" w:type="dxa"/>
            <w:tcBorders>
              <w:bottom w:val="single" w:sz="12" w:space="0" w:color="auto"/>
            </w:tcBorders>
          </w:tcPr>
          <w:p w14:paraId="4E617321" w14:textId="77777777" w:rsidR="008E5233" w:rsidRDefault="005648A9">
            <w:pPr>
              <w:cnfStyle w:val="000000000000" w:firstRow="0" w:lastRow="0" w:firstColumn="0" w:lastColumn="0" w:oddVBand="0" w:evenVBand="0" w:oddHBand="0" w:evenHBand="0" w:firstRowFirstColumn="0" w:firstRowLastColumn="0" w:lastRowFirstColumn="0" w:lastRowLastColumn="0"/>
            </w:pPr>
            <w:r>
              <w:t>168</w:t>
            </w:r>
          </w:p>
        </w:tc>
        <w:tc>
          <w:tcPr>
            <w:tcW w:w="1275" w:type="dxa"/>
            <w:tcBorders>
              <w:bottom w:val="single" w:sz="12" w:space="0" w:color="auto"/>
            </w:tcBorders>
          </w:tcPr>
          <w:p w14:paraId="0B8A85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43A37CD5" w14:textId="77777777" w:rsidTr="00182709">
        <w:tc>
          <w:tcPr>
            <w:cnfStyle w:val="001000000000" w:firstRow="0" w:lastRow="0" w:firstColumn="1" w:lastColumn="0" w:oddVBand="0" w:evenVBand="0" w:oddHBand="0" w:evenHBand="0" w:firstRowFirstColumn="0" w:firstRowLastColumn="0" w:lastRowFirstColumn="0" w:lastRowLastColumn="0"/>
            <w:tcW w:w="7088" w:type="dxa"/>
          </w:tcPr>
          <w:p w14:paraId="7E251139" w14:textId="7D4CD2E1" w:rsidR="008E5233" w:rsidRDefault="005648A9">
            <w:r>
              <w:t xml:space="preserve">Total commitments other than </w:t>
            </w:r>
            <w:r w:rsidR="006A1E3B">
              <w:t>SCAs</w:t>
            </w:r>
          </w:p>
        </w:tc>
        <w:tc>
          <w:tcPr>
            <w:tcW w:w="1276" w:type="dxa"/>
          </w:tcPr>
          <w:p w14:paraId="6F12B4D6" w14:textId="77777777" w:rsidR="008E5233" w:rsidRDefault="005648A9">
            <w:pPr>
              <w:cnfStyle w:val="000000000000" w:firstRow="0" w:lastRow="0" w:firstColumn="0" w:lastColumn="0" w:oddVBand="0" w:evenVBand="0" w:oddHBand="0" w:evenHBand="0" w:firstRowFirstColumn="0" w:firstRowLastColumn="0" w:lastRowFirstColumn="0" w:lastRowLastColumn="0"/>
            </w:pPr>
            <w:r>
              <w:t>5 088</w:t>
            </w:r>
          </w:p>
        </w:tc>
        <w:tc>
          <w:tcPr>
            <w:tcW w:w="1275" w:type="dxa"/>
          </w:tcPr>
          <w:p w14:paraId="3BB05CC5" w14:textId="77777777" w:rsidR="008E5233" w:rsidRDefault="005648A9">
            <w:pPr>
              <w:cnfStyle w:val="000000000000" w:firstRow="0" w:lastRow="0" w:firstColumn="0" w:lastColumn="0" w:oddVBand="0" w:evenVBand="0" w:oddHBand="0" w:evenHBand="0" w:firstRowFirstColumn="0" w:firstRowLastColumn="0" w:lastRowFirstColumn="0" w:lastRowLastColumn="0"/>
            </w:pPr>
            <w:r>
              <w:t>6 051</w:t>
            </w:r>
          </w:p>
        </w:tc>
      </w:tr>
    </w:tbl>
    <w:p w14:paraId="46198F4B" w14:textId="77777777" w:rsidR="003719CD" w:rsidRDefault="003719CD" w:rsidP="007D536F"/>
    <w:p w14:paraId="0C891DAD" w14:textId="77777777" w:rsidR="002A2864" w:rsidRDefault="002A2864">
      <w:pPr>
        <w:keepLines w:val="0"/>
        <w:rPr>
          <w:rFonts w:asciiTheme="majorHAnsi" w:eastAsiaTheme="majorEastAsia" w:hAnsiTheme="majorHAnsi" w:cstheme="majorBidi"/>
          <w:b/>
          <w:bCs/>
          <w:iCs/>
          <w:color w:val="FFFFFF" w:themeColor="background1"/>
          <w:sz w:val="20"/>
          <w:szCs w:val="24"/>
        </w:rPr>
      </w:pPr>
      <w:r>
        <w:br w:type="page"/>
      </w:r>
    </w:p>
    <w:p w14:paraId="5D9B036B" w14:textId="1D6D7E0B" w:rsidR="003719CD" w:rsidRDefault="003719CD" w:rsidP="007D536F">
      <w:pPr>
        <w:pStyle w:val="GuidanceBlockHeading"/>
      </w:pPr>
      <w:r>
        <w:lastRenderedPageBreak/>
        <w:t>Guidance – Commitments for expenditure</w:t>
      </w:r>
    </w:p>
    <w:p w14:paraId="1EDF022E" w14:textId="77777777" w:rsidR="003719CD" w:rsidRPr="00206B63" w:rsidRDefault="003719CD" w:rsidP="007D536F">
      <w:pPr>
        <w:pStyle w:val="GuidanceHeading"/>
        <w:rPr>
          <w:rStyle w:val="Guidance"/>
        </w:rPr>
      </w:pPr>
      <w:r w:rsidRPr="00206B63">
        <w:rPr>
          <w:rStyle w:val="Guidance"/>
        </w:rPr>
        <w:t>Commitments</w:t>
      </w:r>
    </w:p>
    <w:p w14:paraId="6C635E2C" w14:textId="77777777" w:rsidR="003719CD" w:rsidRPr="00206B63" w:rsidRDefault="003719CD" w:rsidP="007D536F">
      <w:pPr>
        <w:rPr>
          <w:rStyle w:val="Guidance"/>
        </w:rPr>
      </w:pPr>
      <w:r w:rsidRPr="00206B63">
        <w:rPr>
          <w:rStyle w:val="Guidance"/>
        </w:rPr>
        <w:t xml:space="preserve">A commitment is an intention to commit agency resources (usually funds) to a future event that is: </w:t>
      </w:r>
    </w:p>
    <w:p w14:paraId="3B20B86B" w14:textId="3423BC1C" w:rsidR="003719CD" w:rsidRPr="00206B63" w:rsidRDefault="003719CD" w:rsidP="00310F12">
      <w:pPr>
        <w:pStyle w:val="ListBullet"/>
        <w:rPr>
          <w:rStyle w:val="Guidance"/>
        </w:rPr>
      </w:pPr>
      <w:r w:rsidRPr="00206B63">
        <w:rPr>
          <w:rStyle w:val="Guidance"/>
        </w:rPr>
        <w:t>normally supported by a contract</w:t>
      </w:r>
    </w:p>
    <w:p w14:paraId="714FB337" w14:textId="59F4455A" w:rsidR="003719CD" w:rsidRPr="00206B63" w:rsidRDefault="003719CD" w:rsidP="00310F12">
      <w:pPr>
        <w:pStyle w:val="ListBullet"/>
        <w:rPr>
          <w:rStyle w:val="Guidance"/>
        </w:rPr>
      </w:pPr>
      <w:r w:rsidRPr="00206B63">
        <w:rPr>
          <w:rStyle w:val="Guidance"/>
        </w:rPr>
        <w:t>quantifiable and measurable</w:t>
      </w:r>
    </w:p>
    <w:p w14:paraId="199B36B9" w14:textId="0B157CF8" w:rsidR="003719CD" w:rsidRPr="00206B63" w:rsidRDefault="003719CD" w:rsidP="00310F12">
      <w:pPr>
        <w:pStyle w:val="ListBullet"/>
        <w:rPr>
          <w:rStyle w:val="Guidance"/>
        </w:rPr>
      </w:pPr>
      <w:r w:rsidRPr="00206B63">
        <w:rPr>
          <w:rStyle w:val="Guidance"/>
        </w:rPr>
        <w:t>extending or may extend over multiple reporting periods</w:t>
      </w:r>
    </w:p>
    <w:p w14:paraId="728F26DA" w14:textId="77777777" w:rsidR="003719CD" w:rsidRPr="00206B63" w:rsidRDefault="003719CD" w:rsidP="00310F12">
      <w:pPr>
        <w:pStyle w:val="ListBullet"/>
        <w:rPr>
          <w:rStyle w:val="Guidance"/>
        </w:rPr>
      </w:pPr>
      <w:r w:rsidRPr="00206B63">
        <w:rPr>
          <w:rStyle w:val="Guidance"/>
        </w:rPr>
        <w:t xml:space="preserve">binding parties to performance conditions. </w:t>
      </w:r>
    </w:p>
    <w:p w14:paraId="78D27C9E" w14:textId="77777777" w:rsidR="003719CD" w:rsidRPr="00206B63" w:rsidRDefault="003719CD" w:rsidP="007D536F">
      <w:pPr>
        <w:rPr>
          <w:rStyle w:val="Guidance"/>
        </w:rPr>
      </w:pPr>
      <w:r w:rsidRPr="00206B63">
        <w:rPr>
          <w:rStyle w:val="Guidance"/>
        </w:rPr>
        <w:t>Indicators that may confirm the existence of a commitment include:</w:t>
      </w:r>
    </w:p>
    <w:p w14:paraId="3E03AA51" w14:textId="5267DF74" w:rsidR="003719CD" w:rsidRPr="00206B63" w:rsidRDefault="003719CD" w:rsidP="00310F12">
      <w:pPr>
        <w:pStyle w:val="ListBullet"/>
        <w:rPr>
          <w:rStyle w:val="Guidance"/>
        </w:rPr>
      </w:pPr>
      <w:r w:rsidRPr="00206B63">
        <w:rPr>
          <w:rStyle w:val="Guidance"/>
        </w:rPr>
        <w:t>execution of a contract between parties for delivery of goods and/or services</w:t>
      </w:r>
    </w:p>
    <w:p w14:paraId="2DA9B513" w14:textId="75F4492B" w:rsidR="003719CD" w:rsidRPr="00206B63" w:rsidRDefault="003719CD" w:rsidP="00310F12">
      <w:pPr>
        <w:pStyle w:val="ListBullet"/>
        <w:rPr>
          <w:rStyle w:val="Guidance"/>
        </w:rPr>
      </w:pPr>
      <w:r w:rsidRPr="00206B63">
        <w:rPr>
          <w:rStyle w:val="Guidance"/>
        </w:rPr>
        <w:t>potential loss to one of the contracted parties if contractual obligations are breached</w:t>
      </w:r>
    </w:p>
    <w:p w14:paraId="629476F6" w14:textId="77777777" w:rsidR="003719CD" w:rsidRPr="00206B63" w:rsidRDefault="003719CD" w:rsidP="00310F12">
      <w:pPr>
        <w:pStyle w:val="ListBullet"/>
        <w:rPr>
          <w:rStyle w:val="Guidance"/>
        </w:rPr>
      </w:pPr>
      <w:r w:rsidRPr="00206B63">
        <w:rPr>
          <w:rStyle w:val="Guidance"/>
        </w:rPr>
        <w:t xml:space="preserve">payment of compensation may result in the event of default. </w:t>
      </w:r>
    </w:p>
    <w:p w14:paraId="74A4AC22" w14:textId="77777777" w:rsidR="003719CD" w:rsidRPr="00206B63" w:rsidRDefault="003719CD" w:rsidP="007D536F">
      <w:pPr>
        <w:rPr>
          <w:rStyle w:val="Guidance"/>
        </w:rPr>
      </w:pPr>
      <w:r w:rsidRPr="00206B63">
        <w:rPr>
          <w:rStyle w:val="Guidance"/>
        </w:rPr>
        <w:t xml:space="preserve">When commitments are fulfilled, they are crystallised as liabilities. Once the liabilities are recognised in the financial statements, the expenditures are no longer required to be disclosed as commitments. </w:t>
      </w:r>
    </w:p>
    <w:p w14:paraId="6C6C7C5A" w14:textId="77777777" w:rsidR="003719CD" w:rsidRPr="00206B63" w:rsidRDefault="003719CD" w:rsidP="007D536F">
      <w:pPr>
        <w:pStyle w:val="GuidanceHeading"/>
        <w:rPr>
          <w:rStyle w:val="Guidance"/>
        </w:rPr>
      </w:pPr>
      <w:r w:rsidRPr="00206B63">
        <w:rPr>
          <w:rStyle w:val="Guidance"/>
        </w:rPr>
        <w:t>Extent of disclosure</w:t>
      </w:r>
    </w:p>
    <w:p w14:paraId="18EB6708" w14:textId="77777777" w:rsidR="003719CD" w:rsidRPr="00206B63" w:rsidRDefault="003719CD" w:rsidP="007D536F">
      <w:pPr>
        <w:rPr>
          <w:rStyle w:val="Guidance"/>
        </w:rPr>
      </w:pPr>
      <w:r w:rsidRPr="00206B63">
        <w:rPr>
          <w:rStyle w:val="Guidance"/>
        </w:rPr>
        <w:t xml:space="preserve">Where no specific AASB requirements apply, the extent of disclosure to meet the requirements in AASB 101 </w:t>
      </w:r>
      <w:r w:rsidRPr="00206B63">
        <w:rPr>
          <w:rStyle w:val="Guidance"/>
          <w:i/>
          <w:iCs/>
        </w:rPr>
        <w:t>Presentation of Financial Statements</w:t>
      </w:r>
      <w:r w:rsidRPr="00206B63">
        <w:rPr>
          <w:rStyle w:val="Guidance"/>
        </w:rPr>
        <w:t xml:space="preserve"> is based on professional judgement with a view to providing relevant information to users of the financial statements. </w:t>
      </w:r>
    </w:p>
    <w:p w14:paraId="19DC6BC2" w14:textId="77777777" w:rsidR="003719CD" w:rsidRPr="00206B63" w:rsidRDefault="003719CD" w:rsidP="007D536F">
      <w:pPr>
        <w:rPr>
          <w:rStyle w:val="Guidance"/>
        </w:rPr>
      </w:pPr>
      <w:r w:rsidRPr="00206B63">
        <w:rPr>
          <w:rStyle w:val="Guidance"/>
        </w:rPr>
        <w:t xml:space="preserve">Some factors to consider when deciding on the appropriate level of disclosure under AASB 101 include the following: </w:t>
      </w:r>
    </w:p>
    <w:p w14:paraId="381EC0C0" w14:textId="720E5B97" w:rsidR="003719CD" w:rsidRPr="00206B63" w:rsidRDefault="00041550" w:rsidP="00310F12">
      <w:pPr>
        <w:pStyle w:val="ListBullet"/>
        <w:rPr>
          <w:rStyle w:val="Guidance"/>
        </w:rPr>
      </w:pPr>
      <w:r>
        <w:rPr>
          <w:rStyle w:val="Guidance"/>
        </w:rPr>
        <w:t>W</w:t>
      </w:r>
      <w:r w:rsidR="003719CD" w:rsidRPr="00206B63">
        <w:rPr>
          <w:rStyle w:val="Guidance"/>
        </w:rPr>
        <w:t>hether the commitment is significant to the entity’s operations</w:t>
      </w:r>
    </w:p>
    <w:p w14:paraId="0ED56656" w14:textId="2BDC97A2" w:rsidR="003719CD" w:rsidRPr="00206B63" w:rsidRDefault="00041550" w:rsidP="00310F12">
      <w:pPr>
        <w:pStyle w:val="ListBullet"/>
        <w:rPr>
          <w:rStyle w:val="Guidance"/>
        </w:rPr>
      </w:pPr>
      <w:r>
        <w:rPr>
          <w:rStyle w:val="Guidance"/>
        </w:rPr>
        <w:t>W</w:t>
      </w:r>
      <w:r w:rsidR="003719CD" w:rsidRPr="00206B63">
        <w:rPr>
          <w:rStyle w:val="Guidance"/>
        </w:rPr>
        <w:t>hether the commitment is required to maintain key assets of the company</w:t>
      </w:r>
    </w:p>
    <w:p w14:paraId="2BC3A9E4" w14:textId="48B1EB5B" w:rsidR="003719CD" w:rsidRPr="00206B63" w:rsidRDefault="00041550" w:rsidP="00310F12">
      <w:pPr>
        <w:pStyle w:val="ListBullet"/>
        <w:rPr>
          <w:rStyle w:val="Guidance"/>
        </w:rPr>
      </w:pPr>
      <w:r>
        <w:rPr>
          <w:rStyle w:val="Guidance"/>
        </w:rPr>
        <w:t>W</w:t>
      </w:r>
      <w:r w:rsidR="003719CD" w:rsidRPr="00206B63">
        <w:rPr>
          <w:rStyle w:val="Guidance"/>
        </w:rPr>
        <w:t>hether it is practical for management to cancel the commitments</w:t>
      </w:r>
    </w:p>
    <w:p w14:paraId="0C594F98" w14:textId="6C9EE32A" w:rsidR="003719CD" w:rsidRPr="00206B63" w:rsidRDefault="00041550" w:rsidP="00310F12">
      <w:pPr>
        <w:pStyle w:val="ListBullet"/>
        <w:rPr>
          <w:rStyle w:val="Guidance"/>
        </w:rPr>
      </w:pPr>
      <w:r>
        <w:rPr>
          <w:rStyle w:val="Guidance"/>
        </w:rPr>
        <w:t>T</w:t>
      </w:r>
      <w:r w:rsidR="003719CD" w:rsidRPr="00206B63">
        <w:rPr>
          <w:rStyle w:val="Guidance"/>
        </w:rPr>
        <w:t xml:space="preserve">he terms and conditions in the agreement with respect to cancellability. </w:t>
      </w:r>
    </w:p>
    <w:p w14:paraId="594F43CC" w14:textId="77777777" w:rsidR="003719CD" w:rsidRPr="00206B63" w:rsidRDefault="003719CD" w:rsidP="007D536F">
      <w:pPr>
        <w:rPr>
          <w:rStyle w:val="Guidance"/>
        </w:rPr>
      </w:pPr>
      <w:r w:rsidRPr="00206B63">
        <w:rPr>
          <w:rStyle w:val="Guidance"/>
        </w:rPr>
        <w:t xml:space="preserve">Based on the facts and current circumstances, if the entity has no intention of cancelling the contract and expects to fulfil the contract in the future, the entity should disclose the full contractual agreement rather than just the minimum penalty payments in the contract. However, if the entity expects to terminate the contract prematurely and must pay the minimum penalty, the disclosure of the minimum penalty may be more relevant and useful to users of financial statements. </w:t>
      </w:r>
    </w:p>
    <w:p w14:paraId="50E8D12F" w14:textId="77777777" w:rsidR="003719CD" w:rsidRPr="00206B63" w:rsidRDefault="003719CD" w:rsidP="007D536F">
      <w:pPr>
        <w:pStyle w:val="GuidanceHeading"/>
        <w:rPr>
          <w:rStyle w:val="Guidance"/>
        </w:rPr>
      </w:pPr>
      <w:r w:rsidRPr="00206B63">
        <w:rPr>
          <w:rStyle w:val="Guidance"/>
        </w:rPr>
        <w:t>Contracted capital commitments</w:t>
      </w:r>
    </w:p>
    <w:p w14:paraId="0EADDD61" w14:textId="77777777" w:rsidR="003719CD" w:rsidRPr="00206B63" w:rsidRDefault="003719CD" w:rsidP="007D536F">
      <w:pPr>
        <w:rPr>
          <w:rStyle w:val="Guidance"/>
        </w:rPr>
      </w:pPr>
      <w:r w:rsidRPr="00206B63">
        <w:rPr>
          <w:rStyle w:val="Guidance"/>
        </w:rPr>
        <w:t>Capital commitments and other expenditure commitments contracted for as at the end of the reporting period do not require disclosure where the commitments have been recognised as liabilities in the balance sheet.</w:t>
      </w:r>
    </w:p>
    <w:p w14:paraId="3F129BE5" w14:textId="77777777" w:rsidR="003719CD" w:rsidRPr="00206B63" w:rsidRDefault="003719CD" w:rsidP="007D536F">
      <w:pPr>
        <w:pStyle w:val="GuidanceHeading"/>
        <w:rPr>
          <w:rStyle w:val="Guidance"/>
        </w:rPr>
      </w:pPr>
      <w:r w:rsidRPr="00206B63">
        <w:rPr>
          <w:rStyle w:val="Guidance"/>
        </w:rPr>
        <w:t>GST</w:t>
      </w:r>
    </w:p>
    <w:p w14:paraId="47F368DF" w14:textId="77777777" w:rsidR="003719CD" w:rsidRPr="00206B63" w:rsidRDefault="003719CD" w:rsidP="007D536F">
      <w:pPr>
        <w:rPr>
          <w:rStyle w:val="Guidance"/>
        </w:rPr>
      </w:pPr>
      <w:r w:rsidRPr="00206B63">
        <w:rPr>
          <w:rStyle w:val="Guidance"/>
        </w:rPr>
        <w:t>The purpose of the commitment note disclosure is to inform users of the commitments for payments from a cash flow perspective and consequently includes GST as appropriate.</w:t>
      </w:r>
    </w:p>
    <w:p w14:paraId="600B1431" w14:textId="77777777" w:rsidR="003719CD" w:rsidRPr="00206B63" w:rsidRDefault="003719CD" w:rsidP="007D536F">
      <w:pPr>
        <w:rPr>
          <w:rStyle w:val="Guidance"/>
        </w:rPr>
      </w:pPr>
      <w:r w:rsidRPr="00206B63">
        <w:rPr>
          <w:rStyle w:val="Guidance"/>
        </w:rPr>
        <w:t>Where the invoices for commitment-related payments separately identify a financing component, GST is not required to be added to this component. However, where invoices do not separate the finance component, GST should be included on all components for the purposes of the commitment disclosure.</w:t>
      </w:r>
    </w:p>
    <w:p w14:paraId="24128C32" w14:textId="77777777" w:rsidR="003719CD" w:rsidRPr="00206B63" w:rsidRDefault="003719CD" w:rsidP="007D536F">
      <w:pPr>
        <w:pStyle w:val="GuidanceHeading"/>
        <w:rPr>
          <w:rStyle w:val="Guidance"/>
        </w:rPr>
      </w:pPr>
      <w:r w:rsidRPr="00206B63">
        <w:rPr>
          <w:rStyle w:val="Guidance"/>
        </w:rPr>
        <w:t>Aggregation</w:t>
      </w:r>
    </w:p>
    <w:p w14:paraId="76991F52" w14:textId="267DABAF" w:rsidR="003719CD" w:rsidRPr="00206B63" w:rsidRDefault="003719CD" w:rsidP="007D536F">
      <w:pPr>
        <w:rPr>
          <w:rStyle w:val="Guidance"/>
        </w:rPr>
      </w:pPr>
      <w:r w:rsidRPr="00206B63">
        <w:rPr>
          <w:rStyle w:val="Guidance"/>
        </w:rPr>
        <w:t>In table 7.5.4, commitments relating to ‘intangible assets’ and ‘</w:t>
      </w:r>
      <w:r w:rsidR="00080376">
        <w:rPr>
          <w:rStyle w:val="Guidance"/>
        </w:rPr>
        <w:t xml:space="preserve">the </w:t>
      </w:r>
      <w:r w:rsidRPr="00206B63">
        <w:rPr>
          <w:rStyle w:val="Guidance"/>
        </w:rPr>
        <w:t>Department’s share of joint ventures’ capital expenditure are immaterial in the Annual Financial Report and are therefore aggregated into ‘total other commitments payable’. If these groups are also immaterial for departments, then they could be aggregated into ‘total other commitments payable’ and deleted from the table format shown above.</w:t>
      </w:r>
    </w:p>
    <w:bookmarkEnd w:id="109"/>
    <w:bookmarkEnd w:id="110"/>
    <w:p w14:paraId="6B537FBA" w14:textId="77777777" w:rsidR="003719CD" w:rsidRDefault="003719CD" w:rsidP="007D536F">
      <w:pPr>
        <w:pStyle w:val="GuidanceEnd"/>
      </w:pPr>
    </w:p>
    <w:p w14:paraId="1E5E24C6" w14:textId="77777777" w:rsidR="002A2864" w:rsidRDefault="002A2864">
      <w:pPr>
        <w:keepLines w:val="0"/>
        <w:rPr>
          <w:rFonts w:asciiTheme="majorHAnsi" w:eastAsiaTheme="majorEastAsia" w:hAnsiTheme="majorHAnsi" w:cstheme="majorBidi"/>
          <w:b/>
          <w:sz w:val="26"/>
          <w:szCs w:val="26"/>
        </w:rPr>
      </w:pPr>
      <w:bookmarkStart w:id="113" w:name="_Toc96704979"/>
      <w:bookmarkStart w:id="114" w:name="_Toc130225988"/>
      <w:bookmarkStart w:id="115" w:name="_Toc64983172"/>
      <w:r>
        <w:br w:type="page"/>
      </w:r>
    </w:p>
    <w:p w14:paraId="7D57F4FB" w14:textId="05440AC7" w:rsidR="003719CD" w:rsidRDefault="003719CD" w:rsidP="007762BE">
      <w:pPr>
        <w:pStyle w:val="Heading2numbered"/>
      </w:pPr>
      <w:r>
        <w:lastRenderedPageBreak/>
        <w:t>Assets pledged as security</w:t>
      </w:r>
      <w:bookmarkEnd w:id="113"/>
      <w:bookmarkEnd w:id="114"/>
      <w:bookmarkEnd w:id="115"/>
    </w:p>
    <w:p w14:paraId="325E4F79" w14:textId="07430E3C" w:rsidR="003719CD" w:rsidRDefault="003719CD" w:rsidP="00DC39DE">
      <w:r>
        <w:t xml:space="preserve">The Department has secured the leased assets against </w:t>
      </w:r>
      <w:r w:rsidR="001D04A7">
        <w:t xml:space="preserve">selected </w:t>
      </w:r>
      <w:r>
        <w:t>lease liabilities. In the event of default, the rights to the leased assets will revert to the lessor.</w:t>
      </w:r>
    </w:p>
    <w:p w14:paraId="671BAC65" w14:textId="77777777" w:rsidR="003719CD" w:rsidRDefault="003719CD" w:rsidP="00DC39DE"/>
    <w:p w14:paraId="2BB19DEC" w14:textId="77777777" w:rsidR="003719CD" w:rsidRDefault="003719CD" w:rsidP="007D536F">
      <w:pPr>
        <w:pStyle w:val="GuidanceBlockHeading"/>
      </w:pPr>
      <w:r>
        <w:t>Guidance – Assets pledged as security</w:t>
      </w:r>
    </w:p>
    <w:p w14:paraId="58042A8B" w14:textId="77777777" w:rsidR="003719CD" w:rsidRPr="00752021" w:rsidRDefault="003719CD" w:rsidP="007D536F">
      <w:pPr>
        <w:rPr>
          <w:rStyle w:val="Guidance"/>
        </w:rPr>
      </w:pPr>
      <w:r w:rsidRPr="00752021">
        <w:rPr>
          <w:rStyle w:val="Guidance"/>
        </w:rPr>
        <w:t xml:space="preserve">The financial statements shall disclose the following for assets pledged as security: </w:t>
      </w:r>
    </w:p>
    <w:p w14:paraId="32E0FF19" w14:textId="3E3021EE" w:rsidR="003719CD" w:rsidRPr="00752021" w:rsidRDefault="00ED031D" w:rsidP="00310F12">
      <w:pPr>
        <w:pStyle w:val="ListBullet"/>
        <w:rPr>
          <w:rStyle w:val="Guidance"/>
        </w:rPr>
      </w:pPr>
      <w:r>
        <w:rPr>
          <w:rStyle w:val="Guidance"/>
        </w:rPr>
        <w:t>T</w:t>
      </w:r>
      <w:r w:rsidR="003719CD" w:rsidRPr="00752021">
        <w:rPr>
          <w:rStyle w:val="Guidance"/>
        </w:rPr>
        <w:t xml:space="preserve">he carrying amount of inventories pledged as security for liabilities </w:t>
      </w:r>
      <w:r w:rsidR="003719CD" w:rsidRPr="00752021">
        <w:rPr>
          <w:rStyle w:val="Reference"/>
        </w:rPr>
        <w:t>[AASB 102.36(h)]</w:t>
      </w:r>
    </w:p>
    <w:p w14:paraId="7CA72B6F" w14:textId="57927AA1" w:rsidR="003719CD" w:rsidRPr="00752021" w:rsidRDefault="00ED031D" w:rsidP="00310F12">
      <w:pPr>
        <w:pStyle w:val="ListBullet"/>
        <w:rPr>
          <w:rStyle w:val="Guidance"/>
        </w:rPr>
      </w:pPr>
      <w:r>
        <w:rPr>
          <w:rStyle w:val="Guidance"/>
        </w:rPr>
        <w:t>T</w:t>
      </w:r>
      <w:r w:rsidR="003719CD" w:rsidRPr="00752021">
        <w:rPr>
          <w:rStyle w:val="Guidance"/>
        </w:rPr>
        <w:t xml:space="preserve">he existence and carrying amounts of intangible assets whose title is restricted and the carrying amounts of intangible assets pledged as security for liabilities </w:t>
      </w:r>
      <w:r w:rsidR="003719CD" w:rsidRPr="00752021">
        <w:rPr>
          <w:rStyle w:val="Reference"/>
        </w:rPr>
        <w:t>[AASB 138.122(d)]</w:t>
      </w:r>
    </w:p>
    <w:p w14:paraId="343A3ADC" w14:textId="29776428" w:rsidR="003719CD" w:rsidRPr="00752021" w:rsidRDefault="00ED031D" w:rsidP="00310F12">
      <w:pPr>
        <w:pStyle w:val="ListBullet"/>
        <w:rPr>
          <w:rStyle w:val="Guidance"/>
        </w:rPr>
      </w:pPr>
      <w:r>
        <w:rPr>
          <w:rStyle w:val="Guidance"/>
        </w:rPr>
        <w:t>T</w:t>
      </w:r>
      <w:r w:rsidR="003719CD" w:rsidRPr="00752021">
        <w:rPr>
          <w:rStyle w:val="Guidance"/>
        </w:rPr>
        <w:t>he carrying amount of the property, plant and equipment pledged and the related existence and amounts of restrictions on titl</w:t>
      </w:r>
      <w:r w:rsidR="00224586">
        <w:rPr>
          <w:rStyle w:val="Guidance"/>
        </w:rPr>
        <w:t>e</w:t>
      </w:r>
      <w:r w:rsidR="003719CD" w:rsidRPr="00752021">
        <w:rPr>
          <w:rStyle w:val="Guidance"/>
        </w:rPr>
        <w:t xml:space="preserve"> </w:t>
      </w:r>
      <w:r w:rsidR="003719CD" w:rsidRPr="00752021">
        <w:rPr>
          <w:rStyle w:val="Reference"/>
        </w:rPr>
        <w:t>[AASB 116.74(a)]</w:t>
      </w:r>
    </w:p>
    <w:p w14:paraId="38F0D560" w14:textId="644A1B0F" w:rsidR="003719CD" w:rsidRPr="00752021" w:rsidRDefault="00ED031D" w:rsidP="00310F12">
      <w:pPr>
        <w:pStyle w:val="ListBullet"/>
        <w:rPr>
          <w:rStyle w:val="Guidance"/>
        </w:rPr>
      </w:pPr>
      <w:r>
        <w:rPr>
          <w:rStyle w:val="Guidance"/>
        </w:rPr>
        <w:t>T</w:t>
      </w:r>
      <w:r w:rsidR="003719CD" w:rsidRPr="00752021">
        <w:rPr>
          <w:rStyle w:val="Guidance"/>
        </w:rPr>
        <w:t xml:space="preserve">he existence and amounts of restrictions on the realisability of investment property or the remittance of income and proceeds of disposal </w:t>
      </w:r>
      <w:r w:rsidR="003719CD" w:rsidRPr="00752021">
        <w:rPr>
          <w:rStyle w:val="Reference"/>
        </w:rPr>
        <w:t>[AASB 140.75(g)]</w:t>
      </w:r>
    </w:p>
    <w:p w14:paraId="0A369A59" w14:textId="09FD0810" w:rsidR="003719CD" w:rsidRPr="00752021" w:rsidRDefault="00ED031D" w:rsidP="00310F12">
      <w:pPr>
        <w:pStyle w:val="ListBullet"/>
        <w:rPr>
          <w:rStyle w:val="Guidance"/>
        </w:rPr>
      </w:pPr>
      <w:r>
        <w:rPr>
          <w:rStyle w:val="Guidance"/>
        </w:rPr>
        <w:t>T</w:t>
      </w:r>
      <w:r w:rsidR="003719CD" w:rsidRPr="00752021">
        <w:rPr>
          <w:rStyle w:val="Guidance"/>
        </w:rPr>
        <w:t xml:space="preserve">he carrying amount of financial assets pledged as collateral for liabilities or contingent liabilities and any material terms and conditions relating to assets pledged as collateral. </w:t>
      </w:r>
      <w:r w:rsidR="003719CD" w:rsidRPr="00752021">
        <w:rPr>
          <w:rStyle w:val="Reference"/>
        </w:rPr>
        <w:t>[AASB 7.14]</w:t>
      </w:r>
    </w:p>
    <w:p w14:paraId="6BCBECF8" w14:textId="6BB39385" w:rsidR="003719CD" w:rsidRDefault="003719CD" w:rsidP="007D536F">
      <w:pPr>
        <w:pStyle w:val="GuidanceEnd"/>
      </w:pPr>
    </w:p>
    <w:p w14:paraId="5AAC4281" w14:textId="77777777" w:rsidR="001931B3" w:rsidRDefault="001931B3" w:rsidP="001931B3">
      <w:pPr>
        <w:sectPr w:rsidR="001931B3" w:rsidSect="006E0E99">
          <w:type w:val="continuous"/>
          <w:pgSz w:w="11906" w:h="16838" w:code="9"/>
          <w:pgMar w:top="1134" w:right="1134" w:bottom="1134" w:left="1134" w:header="624" w:footer="567" w:gutter="0"/>
          <w:cols w:space="708"/>
          <w:titlePg/>
          <w:docGrid w:linePitch="360"/>
        </w:sectPr>
      </w:pPr>
    </w:p>
    <w:bookmarkEnd w:id="96"/>
    <w:p w14:paraId="31E02F0D" w14:textId="74AF3026" w:rsidR="003719CD" w:rsidRDefault="003719CD" w:rsidP="007762BE">
      <w:pPr>
        <w:pStyle w:val="Heading1numbered"/>
        <w:sectPr w:rsidR="003719CD" w:rsidSect="006E0E99">
          <w:pgSz w:w="11906" w:h="16838" w:code="9"/>
          <w:pgMar w:top="1134" w:right="1134" w:bottom="1134" w:left="1134" w:header="624" w:footer="567" w:gutter="0"/>
          <w:cols w:space="708"/>
          <w:titlePg/>
          <w:docGrid w:linePitch="360"/>
        </w:sectPr>
      </w:pPr>
      <w:r>
        <w:lastRenderedPageBreak/>
        <w:t>RISKS, CONTINGENCIES AND VALUATION JUDGEMENTS</w:t>
      </w:r>
    </w:p>
    <w:p w14:paraId="0079D680" w14:textId="77777777" w:rsidR="003719CD" w:rsidRDefault="003719CD" w:rsidP="007D536F">
      <w:pPr>
        <w:pStyle w:val="Heading3"/>
      </w:pPr>
      <w:r>
        <w:t>Introduction</w:t>
      </w:r>
    </w:p>
    <w:p w14:paraId="5D2698A2" w14:textId="77777777" w:rsidR="003719CD" w:rsidRDefault="003719CD" w:rsidP="00DC39DE">
      <w:r>
        <w:t>The Department of Technology (the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14:paraId="2CBA582B" w14:textId="77777777" w:rsidR="003719CD" w:rsidRDefault="003719CD" w:rsidP="007D536F">
      <w:pPr>
        <w:pStyle w:val="Heading3"/>
      </w:pPr>
      <w:r>
        <w:br w:type="column"/>
      </w:r>
      <w:r>
        <w:t>Structure</w:t>
      </w:r>
    </w:p>
    <w:p w14:paraId="03D53C59" w14:textId="799E4F48" w:rsidR="003719CD" w:rsidRDefault="003719CD" w:rsidP="00C70938">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_8</w:instrText>
      </w:r>
      <w:r w:rsidRPr="00940E38">
        <w:instrText xml:space="preserve"> \* MERGEFORMAT </w:instrText>
      </w:r>
      <w:r w:rsidRPr="00940E38">
        <w:fldChar w:fldCharType="separate"/>
      </w:r>
      <w:hyperlink w:anchor="_Toc59210202" w:history="1">
        <w:r w:rsidRPr="005104F1">
          <w:rPr>
            <w:rStyle w:val="Hyperlink"/>
            <w:noProof/>
          </w:rPr>
          <w:t>8.1</w:t>
        </w:r>
        <w:r>
          <w:rPr>
            <w:noProof/>
            <w:sz w:val="22"/>
          </w:rPr>
          <w:tab/>
        </w:r>
        <w:r w:rsidRPr="005104F1">
          <w:rPr>
            <w:rStyle w:val="Hyperlink"/>
            <w:noProof/>
          </w:rPr>
          <w:t xml:space="preserve">Financial instruments specific </w:t>
        </w:r>
        <w:r>
          <w:rPr>
            <w:rStyle w:val="Hyperlink"/>
            <w:noProof/>
          </w:rPr>
          <w:br/>
        </w:r>
        <w:r w:rsidRPr="005104F1">
          <w:rPr>
            <w:rStyle w:val="Hyperlink"/>
            <w:noProof/>
          </w:rPr>
          <w:t>disclosures</w:t>
        </w:r>
        <w:r>
          <w:rPr>
            <w:noProof/>
            <w:webHidden/>
          </w:rPr>
          <w:tab/>
        </w:r>
        <w:r>
          <w:rPr>
            <w:noProof/>
            <w:webHidden/>
          </w:rPr>
          <w:fldChar w:fldCharType="begin"/>
        </w:r>
        <w:r>
          <w:rPr>
            <w:noProof/>
            <w:webHidden/>
          </w:rPr>
          <w:instrText xml:space="preserve"> PAGEREF _Toc59210202 \h </w:instrText>
        </w:r>
        <w:r>
          <w:rPr>
            <w:noProof/>
            <w:webHidden/>
          </w:rPr>
        </w:r>
        <w:r>
          <w:rPr>
            <w:noProof/>
            <w:webHidden/>
          </w:rPr>
          <w:fldChar w:fldCharType="separate"/>
        </w:r>
        <w:r w:rsidR="00D26320">
          <w:rPr>
            <w:noProof/>
            <w:webHidden/>
          </w:rPr>
          <w:t>110</w:t>
        </w:r>
        <w:r>
          <w:rPr>
            <w:noProof/>
            <w:webHidden/>
          </w:rPr>
          <w:fldChar w:fldCharType="end"/>
        </w:r>
      </w:hyperlink>
    </w:p>
    <w:p w14:paraId="2678C3D4" w14:textId="45ED4BB0" w:rsidR="003719CD" w:rsidRDefault="003719CD" w:rsidP="00C70938">
      <w:pPr>
        <w:pStyle w:val="TOC9"/>
        <w:rPr>
          <w:noProof/>
          <w:sz w:val="22"/>
        </w:rPr>
      </w:pPr>
      <w:hyperlink w:anchor="_Toc59210203" w:history="1">
        <w:r w:rsidRPr="005104F1">
          <w:rPr>
            <w:rStyle w:val="Hyperlink"/>
            <w:noProof/>
          </w:rPr>
          <w:t>8.2</w:t>
        </w:r>
        <w:r>
          <w:rPr>
            <w:noProof/>
            <w:sz w:val="22"/>
          </w:rPr>
          <w:tab/>
        </w:r>
        <w:r w:rsidRPr="005104F1">
          <w:rPr>
            <w:rStyle w:val="Hyperlink"/>
            <w:noProof/>
          </w:rPr>
          <w:t xml:space="preserve">Contingent assets and </w:t>
        </w:r>
        <w:r>
          <w:rPr>
            <w:rStyle w:val="Hyperlink"/>
            <w:noProof/>
          </w:rPr>
          <w:br/>
        </w:r>
        <w:r w:rsidRPr="005104F1">
          <w:rPr>
            <w:rStyle w:val="Hyperlink"/>
            <w:noProof/>
          </w:rPr>
          <w:t>contingent liabilities</w:t>
        </w:r>
        <w:r>
          <w:rPr>
            <w:noProof/>
            <w:webHidden/>
          </w:rPr>
          <w:tab/>
        </w:r>
        <w:r>
          <w:rPr>
            <w:noProof/>
            <w:webHidden/>
          </w:rPr>
          <w:fldChar w:fldCharType="begin"/>
        </w:r>
        <w:r>
          <w:rPr>
            <w:noProof/>
            <w:webHidden/>
          </w:rPr>
          <w:instrText xml:space="preserve"> PAGEREF _Toc59210203 \h </w:instrText>
        </w:r>
        <w:r>
          <w:rPr>
            <w:noProof/>
            <w:webHidden/>
          </w:rPr>
        </w:r>
        <w:r>
          <w:rPr>
            <w:noProof/>
            <w:webHidden/>
          </w:rPr>
          <w:fldChar w:fldCharType="separate"/>
        </w:r>
        <w:r w:rsidR="00D26320">
          <w:rPr>
            <w:noProof/>
            <w:webHidden/>
          </w:rPr>
          <w:t>135</w:t>
        </w:r>
        <w:r>
          <w:rPr>
            <w:noProof/>
            <w:webHidden/>
          </w:rPr>
          <w:fldChar w:fldCharType="end"/>
        </w:r>
      </w:hyperlink>
    </w:p>
    <w:p w14:paraId="01FD56EA" w14:textId="5838D455" w:rsidR="003719CD" w:rsidRDefault="003719CD" w:rsidP="00C70938">
      <w:pPr>
        <w:pStyle w:val="TOC9"/>
        <w:rPr>
          <w:noProof/>
          <w:sz w:val="22"/>
        </w:rPr>
      </w:pPr>
      <w:hyperlink w:anchor="_Toc59210204" w:history="1">
        <w:r w:rsidRPr="005104F1">
          <w:rPr>
            <w:rStyle w:val="Hyperlink"/>
            <w:noProof/>
          </w:rPr>
          <w:t>8.3</w:t>
        </w:r>
        <w:r>
          <w:rPr>
            <w:noProof/>
            <w:sz w:val="22"/>
          </w:rPr>
          <w:tab/>
        </w:r>
        <w:r w:rsidRPr="005104F1">
          <w:rPr>
            <w:rStyle w:val="Hyperlink"/>
            <w:noProof/>
          </w:rPr>
          <w:t>Fair value determination</w:t>
        </w:r>
        <w:r>
          <w:rPr>
            <w:noProof/>
            <w:webHidden/>
          </w:rPr>
          <w:tab/>
        </w:r>
        <w:r>
          <w:rPr>
            <w:noProof/>
            <w:webHidden/>
          </w:rPr>
          <w:fldChar w:fldCharType="begin"/>
        </w:r>
        <w:r>
          <w:rPr>
            <w:noProof/>
            <w:webHidden/>
          </w:rPr>
          <w:instrText xml:space="preserve"> PAGEREF _Toc59210204 \h </w:instrText>
        </w:r>
        <w:r>
          <w:rPr>
            <w:noProof/>
            <w:webHidden/>
          </w:rPr>
        </w:r>
        <w:r>
          <w:rPr>
            <w:noProof/>
            <w:webHidden/>
          </w:rPr>
          <w:fldChar w:fldCharType="separate"/>
        </w:r>
        <w:r w:rsidR="00D26320">
          <w:rPr>
            <w:noProof/>
            <w:webHidden/>
          </w:rPr>
          <w:t>137</w:t>
        </w:r>
        <w:r>
          <w:rPr>
            <w:noProof/>
            <w:webHidden/>
          </w:rPr>
          <w:fldChar w:fldCharType="end"/>
        </w:r>
      </w:hyperlink>
    </w:p>
    <w:p w14:paraId="6EFBF9A4" w14:textId="77777777" w:rsidR="003719CD" w:rsidRDefault="003719CD" w:rsidP="007D536F">
      <w:r w:rsidRPr="00940E38">
        <w:fldChar w:fldCharType="end"/>
      </w:r>
    </w:p>
    <w:p w14:paraId="53A4EFFB"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79975436" w14:textId="77777777" w:rsidR="003719CD" w:rsidRDefault="003719CD" w:rsidP="007762BE">
      <w:pPr>
        <w:pStyle w:val="Heading2numbered"/>
      </w:pPr>
      <w:bookmarkStart w:id="116" w:name="INDEX_FinancialInstruments"/>
      <w:bookmarkStart w:id="117" w:name="_Toc59210202"/>
      <w:bookmarkStart w:id="118" w:name="_Toc130225996"/>
      <w:bookmarkStart w:id="119" w:name="_Toc64983173"/>
      <w:bookmarkStart w:id="120" w:name="Section_8"/>
      <w:bookmarkEnd w:id="116"/>
      <w:r>
        <w:t>Financial instruments specific disclosures</w:t>
      </w:r>
      <w:bookmarkEnd w:id="117"/>
      <w:bookmarkEnd w:id="118"/>
      <w:bookmarkEnd w:id="119"/>
    </w:p>
    <w:p w14:paraId="3D868844" w14:textId="77777777" w:rsidR="003719CD" w:rsidRDefault="003719CD" w:rsidP="007D536F">
      <w:pPr>
        <w:pStyle w:val="Heading3"/>
      </w:pPr>
      <w:r>
        <w:t>Introduction</w:t>
      </w:r>
    </w:p>
    <w:p w14:paraId="6D265ADD" w14:textId="77777777" w:rsidR="003719CD" w:rsidRDefault="003719CD" w:rsidP="00DC39DE">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 </w:t>
      </w:r>
      <w:r w:rsidRPr="00056098">
        <w:rPr>
          <w:i/>
          <w:iCs/>
        </w:rPr>
        <w:t>Financial Instruments: Presentation</w:t>
      </w:r>
      <w:r>
        <w:t>.</w:t>
      </w:r>
    </w:p>
    <w:p w14:paraId="7378B908" w14:textId="77777777" w:rsidR="003719CD" w:rsidRDefault="003719CD" w:rsidP="00DC39DE">
      <w:r>
        <w:t>Guarantees issued on behalf of the Department are financial instruments because, although authorised under statute, terms and conditions for each financial guarantee may vary and are subject to an agreement.</w:t>
      </w:r>
    </w:p>
    <w:p w14:paraId="795F65B5" w14:textId="77777777" w:rsidR="003719CD" w:rsidRDefault="003719CD" w:rsidP="007D536F">
      <w:pPr>
        <w:pStyle w:val="Heading3"/>
      </w:pPr>
      <w:r>
        <w:t xml:space="preserve">Categories of financial assets </w:t>
      </w:r>
    </w:p>
    <w:p w14:paraId="5BCDD00E" w14:textId="77777777" w:rsidR="003719CD" w:rsidRDefault="003719CD" w:rsidP="007D536F">
      <w:pPr>
        <w:pStyle w:val="Heading4"/>
      </w:pPr>
      <w:r>
        <w:t>Financial assets at amortised cost</w:t>
      </w:r>
    </w:p>
    <w:p w14:paraId="01B39A4F" w14:textId="77777777" w:rsidR="003719CD" w:rsidRDefault="003719CD" w:rsidP="00DC39DE">
      <w:r>
        <w:t>Financial assets are measured at amortised costs if both of the following criteria are met and the assets are not designated as fair value through net result:</w:t>
      </w:r>
    </w:p>
    <w:p w14:paraId="6233676B" w14:textId="0A0DB523" w:rsidR="003719CD" w:rsidRDefault="00004821" w:rsidP="00310F12">
      <w:pPr>
        <w:pStyle w:val="ListBullet"/>
      </w:pPr>
      <w:r>
        <w:t>T</w:t>
      </w:r>
      <w:r w:rsidR="003719CD">
        <w:t>he assets are held by the Department to collect the contractual cash flows</w:t>
      </w:r>
    </w:p>
    <w:p w14:paraId="69135FD8" w14:textId="4AEAB344" w:rsidR="003719CD" w:rsidRDefault="00004821" w:rsidP="00310F12">
      <w:pPr>
        <w:pStyle w:val="ListBullet"/>
      </w:pPr>
      <w:r>
        <w:t>T</w:t>
      </w:r>
      <w:r w:rsidR="003719CD">
        <w:t>he assets’ contractual terms give rise to cash flows that are solely payments of principal and interests.</w:t>
      </w:r>
    </w:p>
    <w:p w14:paraId="2750C87F" w14:textId="77777777" w:rsidR="003719CD" w:rsidRDefault="003719CD" w:rsidP="00DC39DE">
      <w:r>
        <w:t xml:space="preserve">These assets are initially recognised at fair value plus any directly attributable transaction costs and subsequently measured at amortised cost using the effective interest method less any impairment. </w:t>
      </w:r>
    </w:p>
    <w:p w14:paraId="6128809C" w14:textId="77777777" w:rsidR="003719CD" w:rsidRDefault="003719CD" w:rsidP="00DC39DE">
      <w:r>
        <w:t>The Department recognises the following assets in this category:</w:t>
      </w:r>
    </w:p>
    <w:p w14:paraId="69DABDA8" w14:textId="28EC1058" w:rsidR="003719CD" w:rsidRDefault="00004821" w:rsidP="00310F12">
      <w:pPr>
        <w:pStyle w:val="ListBullet"/>
      </w:pPr>
      <w:r>
        <w:t>C</w:t>
      </w:r>
      <w:r w:rsidR="003719CD">
        <w:t>ash and deposits</w:t>
      </w:r>
    </w:p>
    <w:p w14:paraId="07AABFD5" w14:textId="033BD53E" w:rsidR="003719CD" w:rsidRDefault="00004821" w:rsidP="00310F12">
      <w:pPr>
        <w:pStyle w:val="ListBullet"/>
      </w:pPr>
      <w:r>
        <w:t>R</w:t>
      </w:r>
      <w:r w:rsidR="003719CD">
        <w:t>eceivables (excluding statutory receivables)</w:t>
      </w:r>
    </w:p>
    <w:p w14:paraId="3C8E1423" w14:textId="297053C3" w:rsidR="003719CD" w:rsidRDefault="00002D28" w:rsidP="00310F12">
      <w:pPr>
        <w:pStyle w:val="ListBullet"/>
      </w:pPr>
      <w:r>
        <w:t>T</w:t>
      </w:r>
      <w:r w:rsidR="003719CD">
        <w:t>erm deposits</w:t>
      </w:r>
    </w:p>
    <w:p w14:paraId="31A760AD" w14:textId="554A2812" w:rsidR="003719CD" w:rsidRDefault="00002D28" w:rsidP="00310F12">
      <w:pPr>
        <w:pStyle w:val="ListBullet"/>
      </w:pPr>
      <w:r>
        <w:t>C</w:t>
      </w:r>
      <w:r w:rsidR="003719CD">
        <w:t>ertain debt securities</w:t>
      </w:r>
    </w:p>
    <w:p w14:paraId="7D349E24" w14:textId="77777777" w:rsidR="003719CD" w:rsidRDefault="003719CD" w:rsidP="007D536F">
      <w:pPr>
        <w:pStyle w:val="Heading4"/>
      </w:pPr>
      <w:r>
        <w:t>Financial assets at fair value through other comprehensive income</w:t>
      </w:r>
    </w:p>
    <w:p w14:paraId="66A3CE5A" w14:textId="77777777" w:rsidR="003719CD" w:rsidRDefault="003719CD" w:rsidP="00DC39DE">
      <w:r>
        <w:t>Debt investments are measured at fair value through other comprehensive income if both of the following criteria are met and the assets are not designated as fair value through net result:</w:t>
      </w:r>
    </w:p>
    <w:p w14:paraId="35303587" w14:textId="18F02F48" w:rsidR="003719CD" w:rsidRDefault="00002D28" w:rsidP="00310F12">
      <w:pPr>
        <w:pStyle w:val="ListBullet"/>
      </w:pPr>
      <w:r>
        <w:t>T</w:t>
      </w:r>
      <w:r w:rsidR="003719CD">
        <w:t>he assets are held by the Department to achieve its objective both by collecting the contractual cash flows and by selling the financial assets</w:t>
      </w:r>
    </w:p>
    <w:p w14:paraId="158245ED" w14:textId="5152907B" w:rsidR="003719CD" w:rsidRDefault="00002D28" w:rsidP="00310F12">
      <w:pPr>
        <w:pStyle w:val="ListBullet"/>
      </w:pPr>
      <w:r>
        <w:t>T</w:t>
      </w:r>
      <w:r w:rsidR="003719CD">
        <w:t>he assets’ contractual terms give rise to cash flows that are solely payments of principal and interests.</w:t>
      </w:r>
    </w:p>
    <w:p w14:paraId="41C14C52" w14:textId="77777777" w:rsidR="003719CD" w:rsidRDefault="003719CD" w:rsidP="00DC39DE">
      <w:r>
        <w:t>Equity investments are measured at fair value through other comprehensive income if the assets are not held for trading and the Department has irrevocably elected at initial recognition to recognise in this category.</w:t>
      </w:r>
    </w:p>
    <w:p w14:paraId="2F99BA9C" w14:textId="77777777" w:rsidR="003719CD" w:rsidRDefault="003719CD" w:rsidP="00DC39DE">
      <w:r>
        <w:t xml:space="preserve">These assets are initially recognised at fair value with subsequent change in fair value in other comprehensive income. </w:t>
      </w:r>
    </w:p>
    <w:p w14:paraId="3798BDD3" w14:textId="77777777" w:rsidR="003719CD" w:rsidRDefault="003719CD" w:rsidP="00DC39DE">
      <w:r>
        <w:lastRenderedPageBreak/>
        <w:t>Upon disposal of these debt instruments, any related balance in the fair value reserve is reclassified to profit or loss. However, upon disposal of these equity instruments, any related balance in fair value reserve is reclassified to retained earnings.</w:t>
      </w:r>
    </w:p>
    <w:p w14:paraId="79B7289B" w14:textId="77777777" w:rsidR="003719CD" w:rsidRDefault="003719CD" w:rsidP="00DC39DE">
      <w:r>
        <w:t xml:space="preserve">The Department recognises certain unlisted equity instruments within this category. </w:t>
      </w:r>
    </w:p>
    <w:p w14:paraId="029DC42A" w14:textId="77777777" w:rsidR="003719CD" w:rsidRDefault="003719CD" w:rsidP="007D536F">
      <w:pPr>
        <w:pStyle w:val="Heading4"/>
      </w:pPr>
      <w:r>
        <w:t>Financial assets at fair value through net result</w:t>
      </w:r>
    </w:p>
    <w:p w14:paraId="797B2A7D" w14:textId="77777777" w:rsidR="003719CD" w:rsidRDefault="003719CD" w:rsidP="00DC39DE">
      <w:r>
        <w:t xml:space="preserve">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w:t>
      </w:r>
    </w:p>
    <w:p w14:paraId="0519F633" w14:textId="77777777" w:rsidR="003719CD" w:rsidRDefault="003719CD" w:rsidP="00DC39DE">
      <w:r>
        <w:t>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5006C596" w14:textId="77777777" w:rsidR="003719CD" w:rsidRDefault="003719CD" w:rsidP="00DC39DE">
      <w:r>
        <w:t>The Department recognises listed equity securities as mandatorily measured at fair value through net result and designated all of its managed investment schemes as well as certain five-year government bonds as fair value through net result.</w:t>
      </w:r>
    </w:p>
    <w:p w14:paraId="2ED6FB23" w14:textId="77777777" w:rsidR="003719CD" w:rsidRDefault="003719CD" w:rsidP="007D536F">
      <w:pPr>
        <w:pStyle w:val="Heading3"/>
      </w:pPr>
      <w:r>
        <w:t xml:space="preserve">Categories of financial liabilities </w:t>
      </w:r>
    </w:p>
    <w:p w14:paraId="086D39EC" w14:textId="43CC9EBD" w:rsidR="003719CD" w:rsidRDefault="003719CD" w:rsidP="00DC39DE">
      <w:r w:rsidRPr="00056098">
        <w:rPr>
          <w:b/>
          <w:bCs/>
        </w:rPr>
        <w:t>Financial assets and liabilities at fair value through net result</w:t>
      </w:r>
      <w:r>
        <w:t xml:space="preserve"> are categorised as such at trade date, or if they are classified as held for trading or designated as such upon initial recognition. Financial instrument assets are designated at fair value through net result on the basis that the financial assets form part of a group of financial assets that are managed based on their fair values and have their performance evaluated in accordance with documented risk management and investment strategies. Financial instruments at fair value through net result are initially measured at fair value; attributable transaction costs are expensed as incurred. Subsequently, any changes in fair value are recognised in the net result as other economic flows</w:t>
      </w:r>
      <w:r w:rsidR="008D1C05">
        <w:t>,</w:t>
      </w:r>
      <w:r>
        <w:t xml:space="preserve"> unless the changes in fair value relate to changes in the Department’s own credit risk. In this case, the portion of the change attributable to changes in the Department’s own credit risk is recognised in other comprehensive income with no subsequent recycling to net result when the financial liability is derecognised. The Department recognises some debt securities that are held for trading in this category and designated certain debt securities as fair value through net result in this category.</w:t>
      </w:r>
    </w:p>
    <w:p w14:paraId="6153BBCB" w14:textId="77777777" w:rsidR="003719CD" w:rsidRDefault="003719CD" w:rsidP="00DC39DE">
      <w:r w:rsidRPr="00056098">
        <w:rPr>
          <w:b/>
          <w:bCs/>
        </w:rPr>
        <w:t>Financial liabilities at amortised 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interest-bearing liability, using the effective interest rate method. The Department recognises the following liabilities in this category:</w:t>
      </w:r>
    </w:p>
    <w:p w14:paraId="64584943" w14:textId="677DA8C8" w:rsidR="003719CD" w:rsidRDefault="00395745" w:rsidP="00310F12">
      <w:pPr>
        <w:pStyle w:val="ListBullet"/>
      </w:pPr>
      <w:r>
        <w:t>P</w:t>
      </w:r>
      <w:r w:rsidR="003719CD">
        <w:t>ayables (excluding statutory payables)</w:t>
      </w:r>
    </w:p>
    <w:p w14:paraId="29FF8C79" w14:textId="5AC0E249" w:rsidR="003719CD" w:rsidRDefault="00395745" w:rsidP="00310F12">
      <w:pPr>
        <w:pStyle w:val="ListBullet"/>
      </w:pPr>
      <w:r>
        <w:t>B</w:t>
      </w:r>
      <w:r w:rsidR="003719CD">
        <w:t>orrowings (including lease liabilities)</w:t>
      </w:r>
    </w:p>
    <w:p w14:paraId="4BBCBE78" w14:textId="77777777" w:rsidR="003719CD" w:rsidRDefault="003719CD" w:rsidP="00DC39DE">
      <w:r w:rsidRPr="00056098">
        <w:rPr>
          <w:b/>
          <w:bCs/>
        </w:rPr>
        <w:t>Derivative financial instruments</w:t>
      </w:r>
      <w:r>
        <w:t xml:space="preserve"> are classified as held for trading financial assets and liabilities.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14:paraId="22E3EA7F" w14:textId="77777777" w:rsidR="003719CD" w:rsidRDefault="003719CD" w:rsidP="00DC39DE">
      <w:r w:rsidRPr="00056098">
        <w:rPr>
          <w:b/>
          <w:bCs/>
        </w:rPr>
        <w:t>Offsetting financial instruments</w:t>
      </w:r>
      <w:r>
        <w:t>: Financial instrument assets and liabilities are offset and the net amount presented in the consolidated balance sheet when, and only when, the Department concerned has a legal right to offset the amounts and intend either to settle on a net basis or to realise the asset and settle the liability simultaneously.</w:t>
      </w:r>
    </w:p>
    <w:p w14:paraId="1CA7C901" w14:textId="77777777" w:rsidR="003719CD" w:rsidRDefault="003719CD" w:rsidP="00DC39DE">
      <w:r>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14:paraId="01F50772" w14:textId="77777777" w:rsidR="00991B25" w:rsidRDefault="00991B25">
      <w:pPr>
        <w:keepLines w:val="0"/>
        <w:rPr>
          <w:b/>
          <w:bCs/>
        </w:rPr>
      </w:pPr>
      <w:r>
        <w:rPr>
          <w:b/>
          <w:bCs/>
        </w:rPr>
        <w:br w:type="page"/>
      </w:r>
    </w:p>
    <w:p w14:paraId="6BD6EE0C" w14:textId="74E14A87" w:rsidR="003719CD" w:rsidRDefault="003719CD" w:rsidP="00DC39DE">
      <w:r w:rsidRPr="00056098">
        <w:rPr>
          <w:b/>
          <w:bCs/>
        </w:rPr>
        <w:lastRenderedPageBreak/>
        <w:t>Derecognition of financial assets:</w:t>
      </w:r>
      <w:r>
        <w:t xml:space="preserve"> A financial asset (or, where applicable, a part of a financial asset or part of a group of similar financial assets) is derecognised when: </w:t>
      </w:r>
    </w:p>
    <w:p w14:paraId="2F773587" w14:textId="45FCDC06" w:rsidR="003719CD" w:rsidRDefault="003719CD" w:rsidP="00310F12">
      <w:pPr>
        <w:pStyle w:val="ListBullet"/>
      </w:pPr>
      <w:r>
        <w:t>the rights to receive cash flows from the asset have expired</w:t>
      </w:r>
    </w:p>
    <w:p w14:paraId="0B4D3691" w14:textId="1091AE0C" w:rsidR="003719CD" w:rsidRDefault="003719CD" w:rsidP="00310F12">
      <w:pPr>
        <w:pStyle w:val="ListBullet"/>
      </w:pPr>
      <w:r>
        <w:t>the Department retains the right to receive cash flows from the asset, but has assumed an obligation to pay them in full without material delay to a third party under a ‘pass through’ arrangement</w:t>
      </w:r>
    </w:p>
    <w:p w14:paraId="2C3306D5" w14:textId="77777777" w:rsidR="003719CD" w:rsidRDefault="003719CD" w:rsidP="00310F12">
      <w:pPr>
        <w:pStyle w:val="ListBullet"/>
        <w:keepNext/>
      </w:pPr>
      <w:r>
        <w:t>the Department has transferred its rights to receive cash flows from the asset and either:</w:t>
      </w:r>
    </w:p>
    <w:p w14:paraId="3C99EF06" w14:textId="3FCEA9FF" w:rsidR="003719CD" w:rsidRDefault="003719CD" w:rsidP="001C7090">
      <w:pPr>
        <w:pStyle w:val="ListBullet2"/>
      </w:pPr>
      <w:r>
        <w:t>has transferred substantially all the risks and rewards of the asset</w:t>
      </w:r>
    </w:p>
    <w:p w14:paraId="78738441" w14:textId="77777777" w:rsidR="003719CD" w:rsidRDefault="003719CD" w:rsidP="001C7090">
      <w:pPr>
        <w:pStyle w:val="ListBullet2"/>
      </w:pPr>
      <w:r>
        <w:t xml:space="preserve">has neither transferred nor retained substantially all the risks and rewards of the asset but has transferred control of the asset. </w:t>
      </w:r>
    </w:p>
    <w:p w14:paraId="02A5B1F8" w14:textId="77777777" w:rsidR="003719CD" w:rsidRDefault="003719CD" w:rsidP="00DC39DE">
      <w:r>
        <w:t>Where the Department has neither transferred nor retained substantially all the risks and rewards or transferred control, the asset is recognised to the extent of the Department’s continuing involvement in the asset.</w:t>
      </w:r>
    </w:p>
    <w:p w14:paraId="29A9306A" w14:textId="77777777" w:rsidR="003719CD" w:rsidRDefault="003719CD" w:rsidP="00DC39DE">
      <w:r w:rsidRPr="00056098">
        <w:rPr>
          <w:b/>
          <w:bCs/>
        </w:rPr>
        <w:t>Derecognition of financial liabilities</w:t>
      </w:r>
      <w:r>
        <w:t>: A financial liability is derecognised when the obligation under the liability is discharged, cancelled or expires.</w:t>
      </w:r>
    </w:p>
    <w:p w14:paraId="5AB32AA0" w14:textId="77777777" w:rsidR="003719CD" w:rsidRDefault="003719CD" w:rsidP="00DC39DE">
      <w: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 </w:t>
      </w:r>
    </w:p>
    <w:p w14:paraId="26771DFC" w14:textId="77777777" w:rsidR="003719CD" w:rsidRDefault="003719CD" w:rsidP="00DC39DE">
      <w:r w:rsidRPr="00056098">
        <w:rPr>
          <w:b/>
          <w:bCs/>
        </w:rPr>
        <w:t>Reclassification of financial instruments</w:t>
      </w:r>
      <w:r>
        <w:t xml:space="preserve">: Subsequent to initial recognition reclassification of financial liabilities is not permitted. Financial assets are required to be reclassified between fair value through net result, fair value through other comprehensive income and amortised cost when and only when the Department’s business model for managing its financial assets has changed such that its previous model would no longer apply. </w:t>
      </w:r>
    </w:p>
    <w:p w14:paraId="42C60891" w14:textId="77777777" w:rsidR="003719CD" w:rsidRDefault="003719CD" w:rsidP="00DC39DE">
      <w:r>
        <w:t xml:space="preserve">However, the Department is generally unable to change its business model because it is determined by the Performance Management Framework (PMF) and all Victorian government departments are required to apply the PMF under the Standing Directions 2018 under the FMA. </w:t>
      </w:r>
    </w:p>
    <w:p w14:paraId="4243691C" w14:textId="77777777" w:rsidR="003719CD" w:rsidRDefault="003719CD" w:rsidP="00DC39DE">
      <w:r>
        <w:t xml:space="preserve">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 </w:t>
      </w:r>
    </w:p>
    <w:p w14:paraId="2F24271F" w14:textId="77777777" w:rsidR="003719CD" w:rsidRDefault="003719CD" w:rsidP="00DC39DE">
      <w:r>
        <w:t xml:space="preserve"> </w:t>
      </w:r>
    </w:p>
    <w:p w14:paraId="18FDA2D6" w14:textId="77777777" w:rsidR="003719CD" w:rsidRDefault="003719CD" w:rsidP="007D536F">
      <w:pPr>
        <w:pStyle w:val="GuidanceBlockHeading"/>
      </w:pPr>
      <w:r>
        <w:t>Guidance – Financial instruments [AASB 7.7]</w:t>
      </w:r>
    </w:p>
    <w:p w14:paraId="555CA5A9" w14:textId="77777777" w:rsidR="003719CD" w:rsidRPr="00056098" w:rsidRDefault="003719CD" w:rsidP="007D536F">
      <w:pPr>
        <w:rPr>
          <w:rStyle w:val="Guidance"/>
        </w:rPr>
      </w:pPr>
      <w:r w:rsidRPr="00056098">
        <w:rPr>
          <w:rStyle w:val="Guidance"/>
        </w:rPr>
        <w:t>An entity shall disclose information that enables users of its financial statements to evaluate the significance of financial instruments for its financial position and performance.</w:t>
      </w:r>
    </w:p>
    <w:p w14:paraId="5E4C2DE4" w14:textId="77777777" w:rsidR="003719CD" w:rsidRPr="00056098" w:rsidRDefault="003719CD" w:rsidP="007D536F">
      <w:pPr>
        <w:rPr>
          <w:rStyle w:val="Guidance"/>
        </w:rPr>
      </w:pPr>
      <w:r w:rsidRPr="00056098">
        <w:rPr>
          <w:rStyle w:val="Guidance"/>
        </w:rPr>
        <w:t>AASB 7 requires that an entity discloses information used by key management personnel to measure and manage risk. An entity shall decide, in light of its circumstances, how much detail it provides to satisfy the requirements of this standard, how much emphasis it places on different aspects of the requirements and how it aggregates information to display the overall picture, without combining information with different characteristics.</w:t>
      </w:r>
    </w:p>
    <w:p w14:paraId="2B897A71" w14:textId="77777777" w:rsidR="003719CD" w:rsidRPr="00056098" w:rsidRDefault="003719CD" w:rsidP="007D536F">
      <w:pPr>
        <w:rPr>
          <w:rStyle w:val="Guidance"/>
        </w:rPr>
      </w:pPr>
      <w:r w:rsidRPr="00056098">
        <w:rPr>
          <w:rStyle w:val="Guidance"/>
        </w:rPr>
        <w:t xml:space="preserve">The minimum disclosures set out in this note of the Model are provided by way of example only. They do not necessarily represent the only disclosures that may be appropriate for particular financial instruments and do not cover all financial instruments that may be used in practice, or importantly, reflect the manner in which an entity reports internally to its key management personnel: </w:t>
      </w:r>
    </w:p>
    <w:p w14:paraId="542B0922" w14:textId="765C78D8" w:rsidR="003719CD" w:rsidRPr="00056098" w:rsidRDefault="003719CD" w:rsidP="00310F12">
      <w:pPr>
        <w:pStyle w:val="ListBullet"/>
        <w:rPr>
          <w:rStyle w:val="Guidance"/>
        </w:rPr>
      </w:pPr>
      <w:r w:rsidRPr="00056098">
        <w:rPr>
          <w:rStyle w:val="Guidance"/>
        </w:rPr>
        <w:t>an estimate of its financial effect</w:t>
      </w:r>
    </w:p>
    <w:p w14:paraId="120A2D27" w14:textId="5494F52C" w:rsidR="003719CD" w:rsidRPr="00056098" w:rsidRDefault="003719CD" w:rsidP="00310F12">
      <w:pPr>
        <w:pStyle w:val="ListBullet"/>
        <w:rPr>
          <w:rStyle w:val="Guidance"/>
        </w:rPr>
      </w:pPr>
      <w:r w:rsidRPr="00056098">
        <w:rPr>
          <w:rStyle w:val="Guidance"/>
        </w:rPr>
        <w:t>an indication of the uncertainties relating to the amount or timing of any outflow</w:t>
      </w:r>
    </w:p>
    <w:p w14:paraId="2B72F5CE" w14:textId="77777777" w:rsidR="003719CD" w:rsidRPr="00056098" w:rsidRDefault="003719CD" w:rsidP="00310F12">
      <w:pPr>
        <w:pStyle w:val="ListBullet"/>
        <w:rPr>
          <w:rStyle w:val="Guidance"/>
        </w:rPr>
      </w:pPr>
      <w:r w:rsidRPr="00056098">
        <w:rPr>
          <w:rStyle w:val="Guidance"/>
        </w:rPr>
        <w:t xml:space="preserve">the possibility of any reimbursement. </w:t>
      </w:r>
    </w:p>
    <w:p w14:paraId="744CA1FF" w14:textId="77777777" w:rsidR="003719CD" w:rsidRPr="00056098" w:rsidRDefault="003719CD" w:rsidP="007D536F">
      <w:pPr>
        <w:rPr>
          <w:rStyle w:val="Guidance"/>
        </w:rPr>
      </w:pPr>
      <w:r w:rsidRPr="00056098">
        <w:rPr>
          <w:rStyle w:val="Guidance"/>
        </w:rPr>
        <w:t>Entities should exercise judgement in determining their own disclosure on financial instruments and use the Model only as a guide to interpreting the disclosure requirements of AASB 7. Some sections and/or tables in Note 8.1 may not be relevant to all entities and therefore should not be included, e.g. tables with zero balances should be omitted.</w:t>
      </w:r>
    </w:p>
    <w:p w14:paraId="3AEF9C63" w14:textId="44EBE238" w:rsidR="003719CD" w:rsidRPr="00056098" w:rsidRDefault="003719CD" w:rsidP="007D536F">
      <w:pPr>
        <w:pStyle w:val="GuidanceHeading"/>
        <w:rPr>
          <w:rStyle w:val="Guidance"/>
        </w:rPr>
      </w:pPr>
      <w:r w:rsidRPr="00056098">
        <w:rPr>
          <w:rStyle w:val="Guidance"/>
        </w:rPr>
        <w:lastRenderedPageBreak/>
        <w:t xml:space="preserve">Statutory receivables and payables </w:t>
      </w:r>
      <w:r w:rsidRPr="00056098">
        <w:rPr>
          <w:rStyle w:val="Reference"/>
        </w:rPr>
        <w:t>[AASB 9.Aus2.1.1]</w:t>
      </w:r>
    </w:p>
    <w:p w14:paraId="154F5969" w14:textId="01BDCFFB" w:rsidR="003719CD" w:rsidRPr="00056098" w:rsidRDefault="003719CD" w:rsidP="007D536F">
      <w:pPr>
        <w:rPr>
          <w:rStyle w:val="Guidance"/>
        </w:rPr>
      </w:pPr>
      <w:r w:rsidRPr="00056098">
        <w:rPr>
          <w:rStyle w:val="Guidance"/>
        </w:rPr>
        <w:t>Financial assets or financial liabilities that are not contractual</w:t>
      </w:r>
      <w:r w:rsidR="00AD7365">
        <w:rPr>
          <w:rStyle w:val="Guidance"/>
        </w:rPr>
        <w:t xml:space="preserve">, </w:t>
      </w:r>
      <w:r w:rsidRPr="00056098">
        <w:rPr>
          <w:rStyle w:val="Guidance"/>
        </w:rPr>
        <w:t>such as receivables or payables that arise as a result of statutory requirements, are not financial instruments for disclosure purposes. Therefore, these financial assets or financial liabilities are not in the scope of AASB 7. However, entities wish to apply disclosure requirements from AASB 7 to such financial assets or financial liabilities may do so at their own discretion. For example, a department should exclude all statutory receivables from the Victorian Government including receivable balances related to:</w:t>
      </w:r>
    </w:p>
    <w:p w14:paraId="2025C3A6" w14:textId="69E092F1" w:rsidR="003719CD" w:rsidRPr="00056098" w:rsidRDefault="003719CD" w:rsidP="00310F12">
      <w:pPr>
        <w:pStyle w:val="ListBullet"/>
        <w:rPr>
          <w:rStyle w:val="Guidance"/>
        </w:rPr>
      </w:pPr>
      <w:r w:rsidRPr="00056098">
        <w:rPr>
          <w:rStyle w:val="Guidance"/>
        </w:rPr>
        <w:t>the consolidated fund – State Administration Unit (SAU) SRIMS account codes 45000, 47000 and 48xxx</w:t>
      </w:r>
    </w:p>
    <w:p w14:paraId="63CF7B1D" w14:textId="77777777" w:rsidR="003719CD" w:rsidRPr="00056098" w:rsidRDefault="003719CD" w:rsidP="00310F12">
      <w:pPr>
        <w:pStyle w:val="ListBullet"/>
        <w:rPr>
          <w:rStyle w:val="Guidance"/>
        </w:rPr>
      </w:pPr>
      <w:r w:rsidRPr="00056098">
        <w:rPr>
          <w:rStyle w:val="Guidance"/>
        </w:rPr>
        <w:t>all appropriated funding.</w:t>
      </w:r>
    </w:p>
    <w:p w14:paraId="29B2F023" w14:textId="77777777" w:rsidR="003719CD" w:rsidRPr="00056098" w:rsidRDefault="003719CD" w:rsidP="007D536F">
      <w:pPr>
        <w:pStyle w:val="GuidanceHeading"/>
        <w:rPr>
          <w:rStyle w:val="Guidance"/>
        </w:rPr>
      </w:pPr>
      <w:r w:rsidRPr="00056098">
        <w:rPr>
          <w:rStyle w:val="Guidance"/>
        </w:rPr>
        <w:t xml:space="preserve">Reclassification of financial assets </w:t>
      </w:r>
      <w:r w:rsidRPr="00056098">
        <w:rPr>
          <w:rStyle w:val="Reference"/>
        </w:rPr>
        <w:t>[AASB 7.12B-D]</w:t>
      </w:r>
    </w:p>
    <w:p w14:paraId="50B33812" w14:textId="77777777" w:rsidR="003719CD" w:rsidRPr="00056098" w:rsidRDefault="003719CD" w:rsidP="007D536F">
      <w:pPr>
        <w:rPr>
          <w:rStyle w:val="Guidance"/>
        </w:rPr>
      </w:pPr>
      <w:r w:rsidRPr="00056098">
        <w:rPr>
          <w:rStyle w:val="Guidance"/>
        </w:rPr>
        <w:t>If, as a result of a change in its business model for managing financial assets where an entity reclassifies a financial asset in accordance with paragraph 4.4.1 of AASB 9, it shall disclose:</w:t>
      </w:r>
    </w:p>
    <w:p w14:paraId="067ADDB7" w14:textId="677221AF" w:rsidR="003719CD" w:rsidRPr="00056098" w:rsidRDefault="003719CD" w:rsidP="00310F12">
      <w:pPr>
        <w:pStyle w:val="ListBullet"/>
        <w:rPr>
          <w:rStyle w:val="Guidance"/>
        </w:rPr>
      </w:pPr>
      <w:r w:rsidRPr="00056098">
        <w:rPr>
          <w:rStyle w:val="Guidance"/>
        </w:rPr>
        <w:t>the date of reclassification</w:t>
      </w:r>
    </w:p>
    <w:p w14:paraId="32985A6C" w14:textId="20832A44" w:rsidR="003719CD" w:rsidRPr="00056098" w:rsidRDefault="003719CD" w:rsidP="00310F12">
      <w:pPr>
        <w:pStyle w:val="ListBullet"/>
        <w:rPr>
          <w:rStyle w:val="Guidance"/>
        </w:rPr>
      </w:pPr>
      <w:r w:rsidRPr="00056098">
        <w:rPr>
          <w:rStyle w:val="Guidance"/>
        </w:rPr>
        <w:t>a detailed explanation of the change in business model and a qualitative description of its effect on the entity’s financial statements</w:t>
      </w:r>
    </w:p>
    <w:p w14:paraId="19D1A9C5" w14:textId="77777777" w:rsidR="003719CD" w:rsidRPr="00056098" w:rsidRDefault="003719CD" w:rsidP="00310F12">
      <w:pPr>
        <w:pStyle w:val="ListBullet"/>
        <w:rPr>
          <w:rStyle w:val="Guidance"/>
        </w:rPr>
      </w:pPr>
      <w:r w:rsidRPr="00056098">
        <w:rPr>
          <w:rStyle w:val="Guidance"/>
        </w:rPr>
        <w:t xml:space="preserve">the amount reclassified into and out of each category. </w:t>
      </w:r>
    </w:p>
    <w:p w14:paraId="1B6A9773" w14:textId="77777777" w:rsidR="003719CD" w:rsidRPr="00056098" w:rsidRDefault="003719CD" w:rsidP="007D536F">
      <w:pPr>
        <w:rPr>
          <w:rStyle w:val="Guidance"/>
        </w:rPr>
      </w:pPr>
      <w:r w:rsidRPr="00056098">
        <w:rPr>
          <w:rStyle w:val="Guidance"/>
        </w:rPr>
        <w:t xml:space="preserve">For each reporting period following reclassification until derecognition, an entity shall disclose for assets reclassified out of the fair value through net result category so that they are measured at amortised cost or fair value through other comprehensive income in accordance with paragraph 4.4.1 of AASB 9: </w:t>
      </w:r>
    </w:p>
    <w:p w14:paraId="6340E90C" w14:textId="62F9378F" w:rsidR="003719CD" w:rsidRPr="00056098" w:rsidRDefault="003719CD" w:rsidP="00310F12">
      <w:pPr>
        <w:pStyle w:val="ListBullet"/>
        <w:rPr>
          <w:rStyle w:val="Guidance"/>
        </w:rPr>
      </w:pPr>
      <w:r w:rsidRPr="00056098">
        <w:rPr>
          <w:rStyle w:val="Guidance"/>
        </w:rPr>
        <w:t xml:space="preserve">the effective interest rate determined on the date of reclassification </w:t>
      </w:r>
    </w:p>
    <w:p w14:paraId="4C395C22" w14:textId="77777777" w:rsidR="003719CD" w:rsidRPr="00056098" w:rsidRDefault="003719CD" w:rsidP="00310F12">
      <w:pPr>
        <w:pStyle w:val="ListBullet"/>
        <w:rPr>
          <w:rStyle w:val="Guidance"/>
        </w:rPr>
      </w:pPr>
      <w:r w:rsidRPr="00056098">
        <w:rPr>
          <w:rStyle w:val="Guidance"/>
        </w:rPr>
        <w:t xml:space="preserve">the interest revenue recognised. </w:t>
      </w:r>
    </w:p>
    <w:p w14:paraId="4F9057F9" w14:textId="77777777" w:rsidR="003719CD" w:rsidRPr="00056098" w:rsidRDefault="003719CD" w:rsidP="007D536F">
      <w:pPr>
        <w:rPr>
          <w:rStyle w:val="Guidance"/>
        </w:rPr>
      </w:pPr>
      <w:r w:rsidRPr="00056098">
        <w:rPr>
          <w:rStyle w:val="Guidance"/>
        </w:rPr>
        <w:t xml:space="preserve">If, since its last annual reporting date, an entity has reclassified financial assets out of the fair value through other comprehensive income category so that they are measured at amortised cost or out of the fair value through net result category so that they are measured at amortised cost or fair value through other comprehensive income it shall disclose: </w:t>
      </w:r>
    </w:p>
    <w:p w14:paraId="6F8BBA34" w14:textId="0DD56662" w:rsidR="003719CD" w:rsidRPr="00056098" w:rsidRDefault="003719CD" w:rsidP="00310F12">
      <w:pPr>
        <w:pStyle w:val="ListBullet"/>
        <w:rPr>
          <w:rStyle w:val="Guidance"/>
        </w:rPr>
      </w:pPr>
      <w:r w:rsidRPr="00056098">
        <w:rPr>
          <w:rStyle w:val="Guidance"/>
        </w:rPr>
        <w:t xml:space="preserve">the fair value of the financial assets at the end of the reporting period </w:t>
      </w:r>
    </w:p>
    <w:p w14:paraId="5E73596C" w14:textId="77777777" w:rsidR="003719CD" w:rsidRPr="00056098" w:rsidRDefault="003719CD" w:rsidP="00310F12">
      <w:pPr>
        <w:pStyle w:val="ListBullet"/>
        <w:rPr>
          <w:rStyle w:val="Guidance"/>
        </w:rPr>
      </w:pPr>
      <w:r w:rsidRPr="00056098">
        <w:rPr>
          <w:rStyle w:val="Guidance"/>
        </w:rPr>
        <w:t>the fair value gain or loss that would have been recognised in net result or other comprehensive income during the reporting period if the financial assets had not been reclassified.</w:t>
      </w:r>
    </w:p>
    <w:p w14:paraId="0A3A59E2" w14:textId="77777777" w:rsidR="003719CD" w:rsidRPr="00056098" w:rsidRDefault="003719CD" w:rsidP="007D536F">
      <w:pPr>
        <w:pStyle w:val="GuidanceHeading"/>
        <w:rPr>
          <w:rStyle w:val="Guidance"/>
        </w:rPr>
      </w:pPr>
      <w:r w:rsidRPr="00056098">
        <w:rPr>
          <w:rStyle w:val="Guidance"/>
        </w:rPr>
        <w:t xml:space="preserve">Master netting or similar arrangements </w:t>
      </w:r>
      <w:r w:rsidRPr="00056098">
        <w:rPr>
          <w:rStyle w:val="Reference"/>
        </w:rPr>
        <w:t>[AASB 132.42-50 and AASB 7.13A-F]</w:t>
      </w:r>
    </w:p>
    <w:p w14:paraId="7B96D7D0" w14:textId="77777777" w:rsidR="003719CD" w:rsidRPr="00056098" w:rsidRDefault="003719CD" w:rsidP="007D536F">
      <w:pPr>
        <w:rPr>
          <w:rStyle w:val="Guidance"/>
        </w:rPr>
      </w:pPr>
      <w:r w:rsidRPr="00056098">
        <w:rPr>
          <w:rStyle w:val="Guidance"/>
        </w:rPr>
        <w:t xml:space="preserve">An entity might further restrict its exposure to credit losses by entering into master netting arrangements with counterparties with which it undertakes a significant volume of transactions. </w:t>
      </w:r>
    </w:p>
    <w:p w14:paraId="64E246EA" w14:textId="77777777" w:rsidR="003719CD" w:rsidRPr="00056098" w:rsidRDefault="003719CD" w:rsidP="007D536F">
      <w:pPr>
        <w:rPr>
          <w:rStyle w:val="Guidance"/>
        </w:rPr>
      </w:pPr>
      <w:r w:rsidRPr="00056098">
        <w:rPr>
          <w:rStyle w:val="Guidance"/>
        </w:rPr>
        <w:t>It should be noted that some master netting arrangements do not result in an offset of balance sheet assets and liabilities where they are settled on a gross basis. However, the credit risk associated with favourable contracts is reduced with a master netting arrangement to the extent that if a counterparty failed to meet its obligations in accordance with the agreed terms, all amounts with the counterparty are terminated and settled on a net basis.</w:t>
      </w:r>
    </w:p>
    <w:p w14:paraId="57C75EB1" w14:textId="77777777" w:rsidR="003719CD" w:rsidRPr="00056098" w:rsidRDefault="003719CD" w:rsidP="007D536F">
      <w:pPr>
        <w:rPr>
          <w:rStyle w:val="Guidance"/>
        </w:rPr>
      </w:pPr>
      <w:r w:rsidRPr="00056098">
        <w:rPr>
          <w:rStyle w:val="Guidance"/>
        </w:rPr>
        <w:t>In other instances, the entity enters into derivative transactions under International Swaps and Derivatives Association (ISDA) master netting arrangements. In general, under such agreements the amounts owed by each counterparty on a single day in respect of all transactions outstanding in the same currency are aggregated into a single net amount that is payable by one party to the other. In certain circumstances when a credit event such as a default occurs, all outstanding transactions under the agreement are terminated, and the termination value is assessed and only a single net amount is payable in settlement of all transactions.</w:t>
      </w:r>
    </w:p>
    <w:p w14:paraId="1688846B" w14:textId="77777777" w:rsidR="003719CD" w:rsidRPr="00056098" w:rsidRDefault="003719CD" w:rsidP="007D536F">
      <w:pPr>
        <w:rPr>
          <w:rStyle w:val="Guidance"/>
        </w:rPr>
      </w:pPr>
      <w:r w:rsidRPr="00056098">
        <w:rPr>
          <w:rStyle w:val="Guidance"/>
        </w:rPr>
        <w:t>In instances where the entity can settle amounts in a manner such that the outcome is in effect equivalent to the net settlement, the entity will meet the net settlement criteria. This will occur if, and only if, the gross settlement mechanism has features that eliminate or result in insignificant credit and liquidity risk and will process receivables and payables in a single settlement process or cycle.</w:t>
      </w:r>
    </w:p>
    <w:p w14:paraId="0E4CC7BA" w14:textId="77777777" w:rsidR="003719CD" w:rsidRPr="00056098" w:rsidRDefault="003719CD" w:rsidP="007D536F">
      <w:pPr>
        <w:rPr>
          <w:rStyle w:val="Guidance"/>
        </w:rPr>
      </w:pPr>
      <w:r w:rsidRPr="00056098">
        <w:rPr>
          <w:rStyle w:val="Guidance"/>
        </w:rPr>
        <w:t>To the extent that these arrangements meet the criteria for offsetting in the statement of financial position, they are reported on a net basis.</w:t>
      </w:r>
    </w:p>
    <w:p w14:paraId="3296EFA8" w14:textId="77777777" w:rsidR="003719CD" w:rsidRPr="00056098" w:rsidRDefault="003719CD" w:rsidP="007D536F">
      <w:pPr>
        <w:rPr>
          <w:rStyle w:val="Guidance"/>
        </w:rPr>
      </w:pPr>
      <w:r w:rsidRPr="00056098">
        <w:rPr>
          <w:rStyle w:val="Guidance"/>
        </w:rPr>
        <w:t>Where the entity does not have a legally enforceable right to offset recognised amounts, because the right to offset is enforceable only on the occurrence of future events such as a default on the bank loans or other credit events, they are reported on a gross basis.</w:t>
      </w:r>
    </w:p>
    <w:p w14:paraId="6374C5A3" w14:textId="77777777" w:rsidR="003719CD" w:rsidRDefault="003719CD">
      <w:pPr>
        <w:keepLines w:val="0"/>
        <w:rPr>
          <w:rStyle w:val="Guidance"/>
        </w:rPr>
      </w:pPr>
      <w:r>
        <w:rPr>
          <w:rStyle w:val="Guidance"/>
        </w:rPr>
        <w:br w:type="page"/>
      </w:r>
    </w:p>
    <w:p w14:paraId="11CEF49B" w14:textId="77777777" w:rsidR="003719CD" w:rsidRPr="00056098" w:rsidRDefault="003719CD" w:rsidP="007D536F">
      <w:pPr>
        <w:rPr>
          <w:rStyle w:val="Guidance"/>
        </w:rPr>
      </w:pPr>
      <w:r w:rsidRPr="00056098">
        <w:rPr>
          <w:rStyle w:val="Guidance"/>
        </w:rPr>
        <w:lastRenderedPageBreak/>
        <w:t>The following table sets out the carrying amounts of recognised financial instruments that are subject to the above agreements.</w:t>
      </w:r>
    </w:p>
    <w:tbl>
      <w:tblPr>
        <w:tblStyle w:val="DTFTable"/>
        <w:tblW w:w="9423" w:type="dxa"/>
        <w:tblLayout w:type="fixed"/>
        <w:tblLook w:val="06A0" w:firstRow="1" w:lastRow="0" w:firstColumn="1" w:lastColumn="0" w:noHBand="1" w:noVBand="1"/>
      </w:tblPr>
      <w:tblGrid>
        <w:gridCol w:w="3233"/>
        <w:gridCol w:w="1346"/>
        <w:gridCol w:w="1489"/>
        <w:gridCol w:w="1379"/>
        <w:gridCol w:w="1172"/>
        <w:gridCol w:w="804"/>
      </w:tblGrid>
      <w:tr w:rsidR="003719CD" w:rsidRPr="00056098" w14:paraId="1FE89442"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3" w:type="dxa"/>
            <w:tcBorders>
              <w:bottom w:val="nil"/>
            </w:tcBorders>
            <w:shd w:val="clear" w:color="auto" w:fill="4472C4" w:themeFill="accent1"/>
          </w:tcPr>
          <w:p w14:paraId="4B8A917C" w14:textId="77777777" w:rsidR="003719CD" w:rsidRPr="00056098" w:rsidRDefault="003719CD" w:rsidP="007D536F">
            <w:pPr>
              <w:rPr>
                <w:color w:val="FFFFFF" w:themeColor="background1"/>
              </w:rPr>
            </w:pPr>
          </w:p>
        </w:tc>
        <w:tc>
          <w:tcPr>
            <w:tcW w:w="1346" w:type="dxa"/>
            <w:tcBorders>
              <w:bottom w:val="nil"/>
            </w:tcBorders>
            <w:shd w:val="clear" w:color="auto" w:fill="4472C4" w:themeFill="accent1"/>
          </w:tcPr>
          <w:p w14:paraId="1DFC1E36"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Gross amounts of financial instruments in the balance sheet</w:t>
            </w:r>
          </w:p>
        </w:tc>
        <w:tc>
          <w:tcPr>
            <w:tcW w:w="1489" w:type="dxa"/>
            <w:tcBorders>
              <w:bottom w:val="nil"/>
            </w:tcBorders>
            <w:shd w:val="clear" w:color="auto" w:fill="4472C4" w:themeFill="accent1"/>
          </w:tcPr>
          <w:p w14:paraId="6C1FC120"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Amounts offset when determining net amounts in balance sheet</w:t>
            </w:r>
          </w:p>
        </w:tc>
        <w:tc>
          <w:tcPr>
            <w:tcW w:w="1379" w:type="dxa"/>
            <w:tcBorders>
              <w:bottom w:val="nil"/>
            </w:tcBorders>
            <w:shd w:val="clear" w:color="auto" w:fill="4472C4" w:themeFill="accent1"/>
          </w:tcPr>
          <w:p w14:paraId="1940DBB8"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Net amounts of financial instruments in the balance sheet</w:t>
            </w:r>
          </w:p>
        </w:tc>
        <w:tc>
          <w:tcPr>
            <w:tcW w:w="1172" w:type="dxa"/>
            <w:tcBorders>
              <w:bottom w:val="nil"/>
            </w:tcBorders>
            <w:shd w:val="clear" w:color="auto" w:fill="4472C4" w:themeFill="accent1"/>
          </w:tcPr>
          <w:p w14:paraId="6839D551"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Related financial instruments that are not offset</w:t>
            </w:r>
          </w:p>
        </w:tc>
        <w:tc>
          <w:tcPr>
            <w:tcW w:w="804" w:type="dxa"/>
            <w:tcBorders>
              <w:bottom w:val="nil"/>
            </w:tcBorders>
            <w:shd w:val="clear" w:color="auto" w:fill="4472C4" w:themeFill="accent1"/>
          </w:tcPr>
          <w:p w14:paraId="0DB97C77" w14:textId="77777777" w:rsidR="003719CD" w:rsidRPr="00056098" w:rsidRDefault="003719CD" w:rsidP="007D536F">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056098">
              <w:rPr>
                <w:color w:val="FFFFFF" w:themeColor="background1"/>
              </w:rPr>
              <w:t>Net amount</w:t>
            </w:r>
          </w:p>
        </w:tc>
      </w:tr>
      <w:tr w:rsidR="003719CD" w:rsidRPr="00AC1D66" w14:paraId="59A2E51D"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388C7634" w14:textId="21ACABF9" w:rsidR="003719CD" w:rsidRPr="00AC1D66" w:rsidRDefault="003719CD" w:rsidP="007D536F">
            <w:pPr>
              <w:rPr>
                <w:rStyle w:val="Guidance"/>
                <w:b/>
                <w:bCs w:val="0"/>
              </w:rPr>
            </w:pPr>
            <w:r w:rsidRPr="00AC1D66">
              <w:rPr>
                <w:rStyle w:val="Guidance"/>
                <w:b/>
                <w:bCs w:val="0"/>
              </w:rPr>
              <w:t xml:space="preserve">30 June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sidRPr="00AC1D66">
              <w:rPr>
                <w:rStyle w:val="Guidance"/>
                <w:b/>
                <w:bCs w:val="0"/>
              </w:rPr>
              <w:t xml:space="preserve"> </w:t>
            </w:r>
            <w:r w:rsidRPr="00AC1D66">
              <w:rPr>
                <w:rStyle w:val="Guidance"/>
                <w:b/>
                <w:bCs w:val="0"/>
                <w:vertAlign w:val="superscript"/>
              </w:rPr>
              <w:t>(a)</w:t>
            </w:r>
          </w:p>
        </w:tc>
        <w:tc>
          <w:tcPr>
            <w:tcW w:w="1346" w:type="dxa"/>
            <w:tcBorders>
              <w:top w:val="nil"/>
            </w:tcBorders>
          </w:tcPr>
          <w:p w14:paraId="7F9F74A4"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Borders>
              <w:top w:val="nil"/>
            </w:tcBorders>
          </w:tcPr>
          <w:p w14:paraId="234AA9E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Borders>
              <w:top w:val="nil"/>
            </w:tcBorders>
          </w:tcPr>
          <w:p w14:paraId="02657D68"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Borders>
              <w:top w:val="nil"/>
            </w:tcBorders>
          </w:tcPr>
          <w:p w14:paraId="0A88BAE1"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Borders>
              <w:top w:val="nil"/>
            </w:tcBorders>
          </w:tcPr>
          <w:p w14:paraId="3A75F0C7"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AC1D66" w14:paraId="2F507530"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593C6A7E" w14:textId="77777777" w:rsidR="003719CD" w:rsidRPr="00AC1D66" w:rsidRDefault="003719CD" w:rsidP="007D536F">
            <w:pPr>
              <w:rPr>
                <w:rStyle w:val="Guidance"/>
                <w:b/>
                <w:bCs w:val="0"/>
              </w:rPr>
            </w:pPr>
            <w:r w:rsidRPr="00AC1D66">
              <w:rPr>
                <w:rStyle w:val="Guidance"/>
                <w:b/>
                <w:bCs w:val="0"/>
              </w:rPr>
              <w:t>Financial assets</w:t>
            </w:r>
          </w:p>
        </w:tc>
        <w:tc>
          <w:tcPr>
            <w:tcW w:w="1346" w:type="dxa"/>
          </w:tcPr>
          <w:p w14:paraId="7DCE3F42"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Pr>
          <w:p w14:paraId="6C5DBED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Pr>
          <w:p w14:paraId="636FEFB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Pr>
          <w:p w14:paraId="584CFC34"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Pr>
          <w:p w14:paraId="1C7428DD"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323BF3" w14:paraId="7423F141"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3CAC702E" w14:textId="77777777" w:rsidR="003719CD" w:rsidRPr="00056098" w:rsidRDefault="003719CD" w:rsidP="007D536F">
            <w:pPr>
              <w:rPr>
                <w:rStyle w:val="Guidance"/>
              </w:rPr>
            </w:pPr>
            <w:r w:rsidRPr="00056098">
              <w:rPr>
                <w:rStyle w:val="Guidance"/>
              </w:rPr>
              <w:t>Other investments, including derivatives</w:t>
            </w:r>
          </w:p>
        </w:tc>
        <w:tc>
          <w:tcPr>
            <w:tcW w:w="1346" w:type="dxa"/>
          </w:tcPr>
          <w:p w14:paraId="3E5861F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5FB2FE9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70DEF4F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3467EA4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1193F4D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0CC2E805"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21EB4A12" w14:textId="77777777" w:rsidR="003719CD" w:rsidRPr="00056098" w:rsidRDefault="003719CD" w:rsidP="007D536F">
            <w:pPr>
              <w:rPr>
                <w:rStyle w:val="Guidance"/>
              </w:rPr>
            </w:pPr>
            <w:r w:rsidRPr="00056098">
              <w:rPr>
                <w:rStyle w:val="Guidance"/>
              </w:rPr>
              <w:t>Interest rate swaps used for hedging</w:t>
            </w:r>
          </w:p>
        </w:tc>
        <w:tc>
          <w:tcPr>
            <w:tcW w:w="1346" w:type="dxa"/>
          </w:tcPr>
          <w:p w14:paraId="5A8546F7"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460054E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15C7418C"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182A60D8"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2CD1EEC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3321F693" w14:textId="77777777" w:rsidTr="007D536F">
        <w:tc>
          <w:tcPr>
            <w:cnfStyle w:val="001000000000" w:firstRow="0" w:lastRow="0" w:firstColumn="1" w:lastColumn="0" w:oddVBand="0" w:evenVBand="0" w:oddHBand="0" w:evenHBand="0" w:firstRowFirstColumn="0" w:firstRowLastColumn="0" w:lastRowFirstColumn="0" w:lastRowLastColumn="0"/>
            <w:tcW w:w="3233" w:type="dxa"/>
          </w:tcPr>
          <w:p w14:paraId="2C4BCE7A" w14:textId="77777777" w:rsidR="003719CD" w:rsidRPr="00056098" w:rsidRDefault="003719CD" w:rsidP="007D536F">
            <w:pPr>
              <w:ind w:left="170" w:hanging="170"/>
              <w:rPr>
                <w:rStyle w:val="Guidance"/>
              </w:rPr>
            </w:pPr>
            <w:r w:rsidRPr="00056098">
              <w:rPr>
                <w:rStyle w:val="Guidance"/>
              </w:rPr>
              <w:t>Forward exchange contracts used for hedging</w:t>
            </w:r>
          </w:p>
        </w:tc>
        <w:tc>
          <w:tcPr>
            <w:tcW w:w="1346" w:type="dxa"/>
          </w:tcPr>
          <w:p w14:paraId="733CDCC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Pr>
          <w:p w14:paraId="00EFDDC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Pr>
          <w:p w14:paraId="0D1BB00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Pr>
          <w:p w14:paraId="7A3DA24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Pr>
          <w:p w14:paraId="2986CAE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3E56D979"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single" w:sz="6" w:space="0" w:color="4472C4" w:themeColor="accent1"/>
            </w:tcBorders>
          </w:tcPr>
          <w:p w14:paraId="38FD4144" w14:textId="77777777" w:rsidR="003719CD" w:rsidRPr="00056098" w:rsidRDefault="003719CD" w:rsidP="007D536F">
            <w:pPr>
              <w:rPr>
                <w:rStyle w:val="Guidance"/>
              </w:rPr>
            </w:pPr>
            <w:r w:rsidRPr="00056098">
              <w:rPr>
                <w:rStyle w:val="Guidance"/>
              </w:rPr>
              <w:t>Other forward exchange contracts</w:t>
            </w:r>
          </w:p>
        </w:tc>
        <w:tc>
          <w:tcPr>
            <w:tcW w:w="1346" w:type="dxa"/>
            <w:tcBorders>
              <w:bottom w:val="single" w:sz="6" w:space="0" w:color="4472C4" w:themeColor="accent1"/>
            </w:tcBorders>
          </w:tcPr>
          <w:p w14:paraId="66BD9BB4"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single" w:sz="6" w:space="0" w:color="4472C4" w:themeColor="accent1"/>
            </w:tcBorders>
          </w:tcPr>
          <w:p w14:paraId="130B259B"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single" w:sz="6" w:space="0" w:color="4472C4" w:themeColor="accent1"/>
            </w:tcBorders>
          </w:tcPr>
          <w:p w14:paraId="2DAE5D4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single" w:sz="6" w:space="0" w:color="4472C4" w:themeColor="accent1"/>
            </w:tcBorders>
          </w:tcPr>
          <w:p w14:paraId="153D9948"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single" w:sz="6" w:space="0" w:color="4472C4" w:themeColor="accent1"/>
            </w:tcBorders>
          </w:tcPr>
          <w:p w14:paraId="772E17E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AC1D66" w14:paraId="41E6FE97"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single" w:sz="6" w:space="0" w:color="4472C4" w:themeColor="accent1"/>
              <w:bottom w:val="nil"/>
            </w:tcBorders>
          </w:tcPr>
          <w:p w14:paraId="24E1BC6B" w14:textId="77777777" w:rsidR="003719CD" w:rsidRPr="00AC1D66" w:rsidRDefault="003719CD" w:rsidP="007D536F">
            <w:pPr>
              <w:rPr>
                <w:rStyle w:val="Guidance"/>
                <w:b/>
                <w:bCs w:val="0"/>
              </w:rPr>
            </w:pPr>
            <w:r w:rsidRPr="00AC1D66">
              <w:rPr>
                <w:rStyle w:val="Guidance"/>
                <w:b/>
                <w:bCs w:val="0"/>
              </w:rPr>
              <w:t>Financial liabilities</w:t>
            </w:r>
          </w:p>
        </w:tc>
        <w:tc>
          <w:tcPr>
            <w:tcW w:w="1346" w:type="dxa"/>
            <w:tcBorders>
              <w:top w:val="single" w:sz="6" w:space="0" w:color="4472C4" w:themeColor="accent1"/>
              <w:bottom w:val="nil"/>
            </w:tcBorders>
          </w:tcPr>
          <w:p w14:paraId="030616F6"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489" w:type="dxa"/>
            <w:tcBorders>
              <w:top w:val="single" w:sz="6" w:space="0" w:color="4472C4" w:themeColor="accent1"/>
              <w:bottom w:val="nil"/>
            </w:tcBorders>
          </w:tcPr>
          <w:p w14:paraId="1BAB96CA"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379" w:type="dxa"/>
            <w:tcBorders>
              <w:top w:val="single" w:sz="6" w:space="0" w:color="4472C4" w:themeColor="accent1"/>
              <w:bottom w:val="nil"/>
            </w:tcBorders>
          </w:tcPr>
          <w:p w14:paraId="20C47870"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1172" w:type="dxa"/>
            <w:tcBorders>
              <w:top w:val="single" w:sz="6" w:space="0" w:color="4472C4" w:themeColor="accent1"/>
              <w:bottom w:val="nil"/>
            </w:tcBorders>
          </w:tcPr>
          <w:p w14:paraId="2C4D1BE2"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c>
          <w:tcPr>
            <w:tcW w:w="804" w:type="dxa"/>
            <w:tcBorders>
              <w:top w:val="single" w:sz="6" w:space="0" w:color="4472C4" w:themeColor="accent1"/>
              <w:bottom w:val="nil"/>
            </w:tcBorders>
          </w:tcPr>
          <w:p w14:paraId="2533739C" w14:textId="77777777" w:rsidR="003719CD" w:rsidRPr="00AC1D66" w:rsidRDefault="003719CD" w:rsidP="007D536F">
            <w:pPr>
              <w:cnfStyle w:val="000000000000" w:firstRow="0" w:lastRow="0" w:firstColumn="0" w:lastColumn="0" w:oddVBand="0" w:evenVBand="0" w:oddHBand="0" w:evenHBand="0" w:firstRowFirstColumn="0" w:firstRowLastColumn="0" w:lastRowFirstColumn="0" w:lastRowLastColumn="0"/>
              <w:rPr>
                <w:rStyle w:val="Guidance"/>
                <w:b/>
              </w:rPr>
            </w:pPr>
          </w:p>
        </w:tc>
      </w:tr>
      <w:tr w:rsidR="003719CD" w:rsidRPr="00323BF3" w14:paraId="052EC87B"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top w:val="nil"/>
            </w:tcBorders>
          </w:tcPr>
          <w:p w14:paraId="55C1B54E" w14:textId="77777777" w:rsidR="003719CD" w:rsidRPr="00056098" w:rsidRDefault="003719CD" w:rsidP="007D536F">
            <w:pPr>
              <w:rPr>
                <w:rStyle w:val="Guidance"/>
              </w:rPr>
            </w:pPr>
            <w:r w:rsidRPr="00056098">
              <w:rPr>
                <w:rStyle w:val="Guidance"/>
              </w:rPr>
              <w:t>Trade and other payables</w:t>
            </w:r>
          </w:p>
        </w:tc>
        <w:tc>
          <w:tcPr>
            <w:tcW w:w="1346" w:type="dxa"/>
            <w:tcBorders>
              <w:top w:val="nil"/>
            </w:tcBorders>
          </w:tcPr>
          <w:p w14:paraId="035551F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top w:val="nil"/>
            </w:tcBorders>
          </w:tcPr>
          <w:p w14:paraId="7B37633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top w:val="nil"/>
            </w:tcBorders>
          </w:tcPr>
          <w:p w14:paraId="16E77043"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top w:val="nil"/>
            </w:tcBorders>
          </w:tcPr>
          <w:p w14:paraId="47CA7502"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top w:val="nil"/>
            </w:tcBorders>
          </w:tcPr>
          <w:p w14:paraId="3CF7B02F"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03F290BD"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nil"/>
            </w:tcBorders>
          </w:tcPr>
          <w:p w14:paraId="6ECDBC25" w14:textId="77777777" w:rsidR="003719CD" w:rsidRPr="00056098" w:rsidRDefault="003719CD" w:rsidP="007D536F">
            <w:pPr>
              <w:rPr>
                <w:rStyle w:val="Guidance"/>
              </w:rPr>
            </w:pPr>
            <w:r w:rsidRPr="00056098">
              <w:rPr>
                <w:rStyle w:val="Guidance"/>
              </w:rPr>
              <w:t>Interest rate swaps used for hedging</w:t>
            </w:r>
          </w:p>
        </w:tc>
        <w:tc>
          <w:tcPr>
            <w:tcW w:w="1346" w:type="dxa"/>
            <w:tcBorders>
              <w:bottom w:val="nil"/>
            </w:tcBorders>
          </w:tcPr>
          <w:p w14:paraId="65B7D0C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nil"/>
            </w:tcBorders>
          </w:tcPr>
          <w:p w14:paraId="57D03296"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nil"/>
            </w:tcBorders>
          </w:tcPr>
          <w:p w14:paraId="6931805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nil"/>
            </w:tcBorders>
          </w:tcPr>
          <w:p w14:paraId="2B15F110"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nil"/>
            </w:tcBorders>
          </w:tcPr>
          <w:p w14:paraId="03CDA9AA"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r w:rsidR="003719CD" w:rsidRPr="00323BF3" w14:paraId="6677D9F3" w14:textId="77777777" w:rsidTr="007D536F">
        <w:tc>
          <w:tcPr>
            <w:cnfStyle w:val="001000000000" w:firstRow="0" w:lastRow="0" w:firstColumn="1" w:lastColumn="0" w:oddVBand="0" w:evenVBand="0" w:oddHBand="0" w:evenHBand="0" w:firstRowFirstColumn="0" w:firstRowLastColumn="0" w:lastRowFirstColumn="0" w:lastRowLastColumn="0"/>
            <w:tcW w:w="3233" w:type="dxa"/>
            <w:tcBorders>
              <w:bottom w:val="single" w:sz="12" w:space="0" w:color="4472C4" w:themeColor="accent1"/>
            </w:tcBorders>
          </w:tcPr>
          <w:p w14:paraId="0BA75C0F" w14:textId="77777777" w:rsidR="003719CD" w:rsidRPr="00056098" w:rsidRDefault="003719CD" w:rsidP="007D536F">
            <w:pPr>
              <w:ind w:left="170" w:hanging="170"/>
              <w:rPr>
                <w:rStyle w:val="Guidance"/>
              </w:rPr>
            </w:pPr>
            <w:r w:rsidRPr="00056098">
              <w:rPr>
                <w:rStyle w:val="Guidance"/>
              </w:rPr>
              <w:t>Forward exchange contracts used for hedging</w:t>
            </w:r>
          </w:p>
        </w:tc>
        <w:tc>
          <w:tcPr>
            <w:tcW w:w="1346" w:type="dxa"/>
            <w:tcBorders>
              <w:bottom w:val="single" w:sz="12" w:space="0" w:color="4472C4" w:themeColor="accent1"/>
            </w:tcBorders>
          </w:tcPr>
          <w:p w14:paraId="2E83642C"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489" w:type="dxa"/>
            <w:tcBorders>
              <w:bottom w:val="single" w:sz="12" w:space="0" w:color="4472C4" w:themeColor="accent1"/>
            </w:tcBorders>
          </w:tcPr>
          <w:p w14:paraId="01A6B2B9"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379" w:type="dxa"/>
            <w:tcBorders>
              <w:bottom w:val="single" w:sz="12" w:space="0" w:color="4472C4" w:themeColor="accent1"/>
            </w:tcBorders>
          </w:tcPr>
          <w:p w14:paraId="7323024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1172" w:type="dxa"/>
            <w:tcBorders>
              <w:bottom w:val="single" w:sz="12" w:space="0" w:color="4472C4" w:themeColor="accent1"/>
            </w:tcBorders>
          </w:tcPr>
          <w:p w14:paraId="211C2C6D"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c>
          <w:tcPr>
            <w:tcW w:w="804" w:type="dxa"/>
            <w:tcBorders>
              <w:bottom w:val="single" w:sz="12" w:space="0" w:color="4472C4" w:themeColor="accent1"/>
            </w:tcBorders>
          </w:tcPr>
          <w:p w14:paraId="50E1188E" w14:textId="77777777" w:rsidR="003719CD" w:rsidRPr="00056098"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056098">
              <w:rPr>
                <w:rStyle w:val="Guidance"/>
              </w:rPr>
              <w:t>[$XXX]</w:t>
            </w:r>
          </w:p>
        </w:tc>
      </w:tr>
    </w:tbl>
    <w:p w14:paraId="1EF11B5E" w14:textId="77777777" w:rsidR="003719CD" w:rsidRPr="00AC1D66" w:rsidRDefault="003719CD" w:rsidP="007D536F">
      <w:pPr>
        <w:pStyle w:val="Note"/>
        <w:rPr>
          <w:rStyle w:val="Guidance"/>
        </w:rPr>
      </w:pPr>
      <w:r w:rsidRPr="00AC1D66">
        <w:rPr>
          <w:rStyle w:val="Guidance"/>
        </w:rPr>
        <w:t>Note:</w:t>
      </w:r>
    </w:p>
    <w:p w14:paraId="22B3A1B1" w14:textId="77777777" w:rsidR="003719CD" w:rsidRPr="00AC1D66" w:rsidRDefault="003719CD" w:rsidP="007D536F">
      <w:pPr>
        <w:pStyle w:val="Note"/>
        <w:rPr>
          <w:rStyle w:val="Guidance"/>
        </w:rPr>
      </w:pPr>
      <w:r w:rsidRPr="00AC1D66">
        <w:rPr>
          <w:rStyle w:val="Guidance"/>
        </w:rPr>
        <w:t>(a)</w:t>
      </w:r>
      <w:r>
        <w:tab/>
      </w:r>
      <w:r w:rsidRPr="00AC1D66">
        <w:rPr>
          <w:rStyle w:val="Guidance"/>
        </w:rPr>
        <w:t>Comparatives will be required for disclosure.</w:t>
      </w:r>
    </w:p>
    <w:p w14:paraId="604ED426" w14:textId="77777777" w:rsidR="003719CD" w:rsidRDefault="003719CD" w:rsidP="00DC39DE">
      <w:pPr>
        <w:sectPr w:rsidR="003719CD" w:rsidSect="006E0E99">
          <w:type w:val="continuous"/>
          <w:pgSz w:w="11906" w:h="16838" w:code="9"/>
          <w:pgMar w:top="1134" w:right="1134" w:bottom="1134" w:left="1134" w:header="624" w:footer="567" w:gutter="0"/>
          <w:cols w:space="708"/>
          <w:titlePg/>
          <w:docGrid w:linePitch="360"/>
        </w:sectPr>
      </w:pPr>
    </w:p>
    <w:p w14:paraId="4B2D8F45" w14:textId="77777777" w:rsidR="003719CD" w:rsidRDefault="003719CD" w:rsidP="007762BE">
      <w:pPr>
        <w:pStyle w:val="Heading3numbered"/>
      </w:pPr>
      <w:r>
        <w:lastRenderedPageBreak/>
        <w:t xml:space="preserve">Financial instruments: Categorisation </w:t>
      </w:r>
      <w:r w:rsidRPr="00AC1D66">
        <w:rPr>
          <w:rStyle w:val="Reference"/>
        </w:rPr>
        <w:t>[AASB 7.8]</w:t>
      </w:r>
    </w:p>
    <w:p w14:paraId="2DDE1F43" w14:textId="77777777" w:rsidR="003719CD" w:rsidRDefault="003719CD" w:rsidP="007D536F">
      <w:pPr>
        <w:pStyle w:val="TableUnits"/>
      </w:pPr>
      <w:r>
        <w:t>($ thousand)</w:t>
      </w:r>
    </w:p>
    <w:tbl>
      <w:tblPr>
        <w:tblStyle w:val="DTFTable"/>
        <w:tblW w:w="14629" w:type="dxa"/>
        <w:tblLayout w:type="fixed"/>
        <w:tblLook w:val="06A0" w:firstRow="1" w:lastRow="0" w:firstColumn="1" w:lastColumn="0" w:noHBand="1" w:noVBand="1"/>
      </w:tblPr>
      <w:tblGrid>
        <w:gridCol w:w="4368"/>
        <w:gridCol w:w="938"/>
        <w:gridCol w:w="1640"/>
        <w:gridCol w:w="2175"/>
        <w:gridCol w:w="2219"/>
        <w:gridCol w:w="1134"/>
        <w:gridCol w:w="1134"/>
        <w:gridCol w:w="1021"/>
      </w:tblGrid>
      <w:tr w:rsidR="00182709" w14:paraId="1F565561"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368" w:type="dxa"/>
          </w:tcPr>
          <w:p w14:paraId="779AB67D" w14:textId="33E1001C" w:rsidR="00182709" w:rsidRDefault="002A2864">
            <w:pPr>
              <w:keepNext/>
            </w:pPr>
            <w:fldSimple w:instr="DOCPROPERTY  YearCurrent \* MERGEFORMAT">
              <w:r>
                <w:t>20X2</w:t>
              </w:r>
            </w:fldSimple>
          </w:p>
        </w:tc>
        <w:tc>
          <w:tcPr>
            <w:tcW w:w="938" w:type="dxa"/>
          </w:tcPr>
          <w:p w14:paraId="0557BF3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Cash and deposits</w:t>
            </w:r>
          </w:p>
        </w:tc>
        <w:tc>
          <w:tcPr>
            <w:tcW w:w="1640" w:type="dxa"/>
          </w:tcPr>
          <w:p w14:paraId="12505B4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 liabilities designated at fair value through profit/loss (FVTPL)</w:t>
            </w:r>
          </w:p>
        </w:tc>
        <w:tc>
          <w:tcPr>
            <w:tcW w:w="2175" w:type="dxa"/>
          </w:tcPr>
          <w:p w14:paraId="2FCB988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 liabilities  mandatorily measured at fair value through profit/loss (FVTPL)</w:t>
            </w:r>
          </w:p>
        </w:tc>
        <w:tc>
          <w:tcPr>
            <w:tcW w:w="2219" w:type="dxa"/>
          </w:tcPr>
          <w:p w14:paraId="30A6462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measured at fair value through other comprehensive income</w:t>
            </w:r>
            <w:r>
              <w:br/>
            </w:r>
            <w:r>
              <w:rPr>
                <w:sz w:val="17"/>
              </w:rPr>
              <w:t>(FVOCI)</w:t>
            </w:r>
          </w:p>
        </w:tc>
        <w:tc>
          <w:tcPr>
            <w:tcW w:w="1134" w:type="dxa"/>
          </w:tcPr>
          <w:p w14:paraId="75DF513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assets at amortised cost (AC)</w:t>
            </w:r>
          </w:p>
        </w:tc>
        <w:tc>
          <w:tcPr>
            <w:tcW w:w="1134" w:type="dxa"/>
          </w:tcPr>
          <w:p w14:paraId="133A8FA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liabilities at amortised cost (AC)</w:t>
            </w:r>
          </w:p>
        </w:tc>
        <w:tc>
          <w:tcPr>
            <w:tcW w:w="1021" w:type="dxa"/>
          </w:tcPr>
          <w:p w14:paraId="48A5E53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182709" w14:paraId="36F17E9B" w14:textId="77777777">
        <w:tc>
          <w:tcPr>
            <w:cnfStyle w:val="001000000000" w:firstRow="0" w:lastRow="0" w:firstColumn="1" w:lastColumn="0" w:oddVBand="0" w:evenVBand="0" w:oddHBand="0" w:evenHBand="0" w:firstRowFirstColumn="0" w:firstRowLastColumn="0" w:lastRowFirstColumn="0" w:lastRowLastColumn="0"/>
            <w:tcW w:w="4368" w:type="dxa"/>
          </w:tcPr>
          <w:p w14:paraId="4E163624" w14:textId="77777777" w:rsidR="00182709" w:rsidRDefault="0044097C">
            <w:r>
              <w:rPr>
                <w:b/>
                <w:sz w:val="17"/>
              </w:rPr>
              <w:t>Contractual financial assets</w:t>
            </w:r>
          </w:p>
        </w:tc>
        <w:tc>
          <w:tcPr>
            <w:tcW w:w="938" w:type="dxa"/>
          </w:tcPr>
          <w:p w14:paraId="4527DC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2555D4E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68D5EA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7189746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41430EE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44A0517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55624B5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AC64719" w14:textId="77777777">
        <w:tc>
          <w:tcPr>
            <w:cnfStyle w:val="001000000000" w:firstRow="0" w:lastRow="0" w:firstColumn="1" w:lastColumn="0" w:oddVBand="0" w:evenVBand="0" w:oddHBand="0" w:evenHBand="0" w:firstRowFirstColumn="0" w:firstRowLastColumn="0" w:lastRowFirstColumn="0" w:lastRowLastColumn="0"/>
            <w:tcW w:w="4368" w:type="dxa"/>
          </w:tcPr>
          <w:p w14:paraId="6992E203" w14:textId="77777777" w:rsidR="00182709" w:rsidRDefault="0044097C">
            <w:r>
              <w:rPr>
                <w:sz w:val="17"/>
              </w:rPr>
              <w:t>Cash and deposits</w:t>
            </w:r>
          </w:p>
        </w:tc>
        <w:tc>
          <w:tcPr>
            <w:tcW w:w="938" w:type="dxa"/>
          </w:tcPr>
          <w:p w14:paraId="42F587E6" w14:textId="00D76848" w:rsidR="00182709" w:rsidRDefault="00B07AE9">
            <w:pPr>
              <w:cnfStyle w:val="000000000000" w:firstRow="0" w:lastRow="0" w:firstColumn="0" w:lastColumn="0" w:oddVBand="0" w:evenVBand="0" w:oddHBand="0" w:evenHBand="0" w:firstRowFirstColumn="0" w:firstRowLastColumn="0" w:lastRowFirstColumn="0" w:lastRowLastColumn="0"/>
            </w:pPr>
            <w:r>
              <w:rPr>
                <w:sz w:val="17"/>
              </w:rPr>
              <w:t>71</w:t>
            </w:r>
            <w:r w:rsidR="0044097C">
              <w:rPr>
                <w:sz w:val="17"/>
              </w:rPr>
              <w:t xml:space="preserve"> </w:t>
            </w:r>
            <w:r w:rsidR="007940E6">
              <w:rPr>
                <w:sz w:val="17"/>
              </w:rPr>
              <w:t>80</w:t>
            </w:r>
            <w:r>
              <w:rPr>
                <w:sz w:val="17"/>
              </w:rPr>
              <w:t>3</w:t>
            </w:r>
          </w:p>
        </w:tc>
        <w:tc>
          <w:tcPr>
            <w:tcW w:w="1640" w:type="dxa"/>
          </w:tcPr>
          <w:p w14:paraId="606B513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01813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06B607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104943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5AA062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46BBB973" w14:textId="11DDF704" w:rsidR="00182709" w:rsidRDefault="00B07AE9">
            <w:pPr>
              <w:cnfStyle w:val="000000000000" w:firstRow="0" w:lastRow="0" w:firstColumn="0" w:lastColumn="0" w:oddVBand="0" w:evenVBand="0" w:oddHBand="0" w:evenHBand="0" w:firstRowFirstColumn="0" w:firstRowLastColumn="0" w:lastRowFirstColumn="0" w:lastRowLastColumn="0"/>
            </w:pPr>
            <w:r>
              <w:rPr>
                <w:sz w:val="17"/>
              </w:rPr>
              <w:t>71</w:t>
            </w:r>
            <w:r w:rsidR="0044097C">
              <w:rPr>
                <w:sz w:val="17"/>
              </w:rPr>
              <w:t xml:space="preserve"> </w:t>
            </w:r>
            <w:r w:rsidR="007940E6">
              <w:rPr>
                <w:sz w:val="17"/>
              </w:rPr>
              <w:t>803</w:t>
            </w:r>
          </w:p>
        </w:tc>
      </w:tr>
      <w:tr w:rsidR="00182709" w14:paraId="112E097C" w14:textId="77777777">
        <w:tc>
          <w:tcPr>
            <w:cnfStyle w:val="001000000000" w:firstRow="0" w:lastRow="0" w:firstColumn="1" w:lastColumn="0" w:oddVBand="0" w:evenVBand="0" w:oddHBand="0" w:evenHBand="0" w:firstRowFirstColumn="0" w:firstRowLastColumn="0" w:lastRowFirstColumn="0" w:lastRowLastColumn="0"/>
            <w:tcW w:w="4368" w:type="dxa"/>
          </w:tcPr>
          <w:p w14:paraId="13A24727" w14:textId="77777777" w:rsidR="00182709" w:rsidRDefault="0044097C">
            <w:r>
              <w:rPr>
                <w:b/>
                <w:sz w:val="17"/>
              </w:rPr>
              <w:t xml:space="preserve">Receivables </w:t>
            </w:r>
            <w:r>
              <w:rPr>
                <w:b/>
                <w:sz w:val="17"/>
                <w:vertAlign w:val="superscript"/>
              </w:rPr>
              <w:t>(a)</w:t>
            </w:r>
          </w:p>
        </w:tc>
        <w:tc>
          <w:tcPr>
            <w:tcW w:w="938" w:type="dxa"/>
          </w:tcPr>
          <w:p w14:paraId="5390581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638F67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0F75415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2058C8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9176A6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625A4EF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3D94D1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r>
      <w:tr w:rsidR="00182709" w14:paraId="23E7D406" w14:textId="77777777">
        <w:tc>
          <w:tcPr>
            <w:cnfStyle w:val="001000000000" w:firstRow="0" w:lastRow="0" w:firstColumn="1" w:lastColumn="0" w:oddVBand="0" w:evenVBand="0" w:oddHBand="0" w:evenHBand="0" w:firstRowFirstColumn="0" w:firstRowLastColumn="0" w:lastRowFirstColumn="0" w:lastRowLastColumn="0"/>
            <w:tcW w:w="4368" w:type="dxa"/>
          </w:tcPr>
          <w:p w14:paraId="2E2E885B" w14:textId="77777777" w:rsidR="00182709" w:rsidRDefault="0044097C">
            <w:r>
              <w:rPr>
                <w:sz w:val="17"/>
              </w:rPr>
              <w:t>Finance lease receivables</w:t>
            </w:r>
          </w:p>
        </w:tc>
        <w:tc>
          <w:tcPr>
            <w:tcW w:w="938" w:type="dxa"/>
          </w:tcPr>
          <w:p w14:paraId="4A31C8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72DD0E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587113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9ACB6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1EA396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11A8599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0280D7E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r>
      <w:tr w:rsidR="00182709" w14:paraId="4ADE2E95" w14:textId="77777777">
        <w:tc>
          <w:tcPr>
            <w:cnfStyle w:val="001000000000" w:firstRow="0" w:lastRow="0" w:firstColumn="1" w:lastColumn="0" w:oddVBand="0" w:evenVBand="0" w:oddHBand="0" w:evenHBand="0" w:firstRowFirstColumn="0" w:firstRowLastColumn="0" w:lastRowFirstColumn="0" w:lastRowLastColumn="0"/>
            <w:tcW w:w="4368" w:type="dxa"/>
          </w:tcPr>
          <w:p w14:paraId="0FBD9D83" w14:textId="77777777" w:rsidR="00182709" w:rsidRDefault="0044097C">
            <w:r>
              <w:rPr>
                <w:sz w:val="17"/>
              </w:rPr>
              <w:t>Sale of goods and services</w:t>
            </w:r>
          </w:p>
        </w:tc>
        <w:tc>
          <w:tcPr>
            <w:tcW w:w="938" w:type="dxa"/>
          </w:tcPr>
          <w:p w14:paraId="78505E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E58024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15CEC0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74D8DC1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E80DDC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1 374</w:t>
            </w:r>
          </w:p>
        </w:tc>
        <w:tc>
          <w:tcPr>
            <w:tcW w:w="1134" w:type="dxa"/>
          </w:tcPr>
          <w:p w14:paraId="70C94A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752C98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1 374</w:t>
            </w:r>
          </w:p>
        </w:tc>
      </w:tr>
      <w:tr w:rsidR="00182709" w14:paraId="1AE322B8" w14:textId="77777777">
        <w:tc>
          <w:tcPr>
            <w:cnfStyle w:val="001000000000" w:firstRow="0" w:lastRow="0" w:firstColumn="1" w:lastColumn="0" w:oddVBand="0" w:evenVBand="0" w:oddHBand="0" w:evenHBand="0" w:firstRowFirstColumn="0" w:firstRowLastColumn="0" w:lastRowFirstColumn="0" w:lastRowLastColumn="0"/>
            <w:tcW w:w="4368" w:type="dxa"/>
          </w:tcPr>
          <w:p w14:paraId="48ADDB47" w14:textId="77777777" w:rsidR="00182709" w:rsidRDefault="0044097C">
            <w:r>
              <w:rPr>
                <w:sz w:val="17"/>
              </w:rPr>
              <w:t>Loans to third parties</w:t>
            </w:r>
          </w:p>
        </w:tc>
        <w:tc>
          <w:tcPr>
            <w:tcW w:w="938" w:type="dxa"/>
          </w:tcPr>
          <w:p w14:paraId="50C201C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DCAA7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28017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27229D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5FBD07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544</w:t>
            </w:r>
          </w:p>
        </w:tc>
        <w:tc>
          <w:tcPr>
            <w:tcW w:w="1134" w:type="dxa"/>
          </w:tcPr>
          <w:p w14:paraId="5878B9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2A730D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544</w:t>
            </w:r>
          </w:p>
        </w:tc>
      </w:tr>
      <w:tr w:rsidR="00182709" w14:paraId="65B6AEAD" w14:textId="77777777">
        <w:tc>
          <w:tcPr>
            <w:cnfStyle w:val="001000000000" w:firstRow="0" w:lastRow="0" w:firstColumn="1" w:lastColumn="0" w:oddVBand="0" w:evenVBand="0" w:oddHBand="0" w:evenHBand="0" w:firstRowFirstColumn="0" w:firstRowLastColumn="0" w:lastRowFirstColumn="0" w:lastRowLastColumn="0"/>
            <w:tcW w:w="4368" w:type="dxa"/>
          </w:tcPr>
          <w:p w14:paraId="16B7A784" w14:textId="77777777" w:rsidR="00182709" w:rsidRDefault="0044097C">
            <w:r>
              <w:rPr>
                <w:sz w:val="17"/>
              </w:rPr>
              <w:t>Accrued investment income</w:t>
            </w:r>
          </w:p>
        </w:tc>
        <w:tc>
          <w:tcPr>
            <w:tcW w:w="938" w:type="dxa"/>
          </w:tcPr>
          <w:p w14:paraId="1EA22F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4EF3AC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753780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6D4FF31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F2CB00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1 864</w:t>
            </w:r>
          </w:p>
        </w:tc>
        <w:tc>
          <w:tcPr>
            <w:tcW w:w="1134" w:type="dxa"/>
          </w:tcPr>
          <w:p w14:paraId="60693F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40A3C48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1 864</w:t>
            </w:r>
          </w:p>
        </w:tc>
      </w:tr>
      <w:tr w:rsidR="00182709" w14:paraId="041F50B6" w14:textId="77777777">
        <w:tc>
          <w:tcPr>
            <w:cnfStyle w:val="001000000000" w:firstRow="0" w:lastRow="0" w:firstColumn="1" w:lastColumn="0" w:oddVBand="0" w:evenVBand="0" w:oddHBand="0" w:evenHBand="0" w:firstRowFirstColumn="0" w:firstRowLastColumn="0" w:lastRowFirstColumn="0" w:lastRowLastColumn="0"/>
            <w:tcW w:w="4368" w:type="dxa"/>
          </w:tcPr>
          <w:p w14:paraId="2C5821ED" w14:textId="77777777" w:rsidR="00182709" w:rsidRDefault="0044097C">
            <w:r>
              <w:rPr>
                <w:sz w:val="17"/>
              </w:rPr>
              <w:t>Other receivables</w:t>
            </w:r>
          </w:p>
        </w:tc>
        <w:tc>
          <w:tcPr>
            <w:tcW w:w="938" w:type="dxa"/>
          </w:tcPr>
          <w:p w14:paraId="4C1A5D5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2A7B76B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D865FD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071688C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68A08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334</w:t>
            </w:r>
          </w:p>
        </w:tc>
        <w:tc>
          <w:tcPr>
            <w:tcW w:w="1134" w:type="dxa"/>
          </w:tcPr>
          <w:p w14:paraId="7872C2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6590EEA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334</w:t>
            </w:r>
          </w:p>
        </w:tc>
      </w:tr>
      <w:tr w:rsidR="00182709" w14:paraId="173F82E2" w14:textId="77777777">
        <w:tc>
          <w:tcPr>
            <w:cnfStyle w:val="001000000000" w:firstRow="0" w:lastRow="0" w:firstColumn="1" w:lastColumn="0" w:oddVBand="0" w:evenVBand="0" w:oddHBand="0" w:evenHBand="0" w:firstRowFirstColumn="0" w:firstRowLastColumn="0" w:lastRowFirstColumn="0" w:lastRowLastColumn="0"/>
            <w:tcW w:w="4368" w:type="dxa"/>
          </w:tcPr>
          <w:p w14:paraId="40680EC3" w14:textId="77777777" w:rsidR="00182709" w:rsidRDefault="0044097C">
            <w:r>
              <w:rPr>
                <w:b/>
                <w:sz w:val="17"/>
              </w:rPr>
              <w:t>Investments and other contractual financial assets</w:t>
            </w:r>
          </w:p>
        </w:tc>
        <w:tc>
          <w:tcPr>
            <w:tcW w:w="938" w:type="dxa"/>
          </w:tcPr>
          <w:p w14:paraId="730B34F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0FFBD7A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4B8DC9B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198017F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6225530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4CEFE32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29EA294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r>
      <w:tr w:rsidR="00182709" w14:paraId="43DA156B" w14:textId="77777777">
        <w:tc>
          <w:tcPr>
            <w:cnfStyle w:val="001000000000" w:firstRow="0" w:lastRow="0" w:firstColumn="1" w:lastColumn="0" w:oddVBand="0" w:evenVBand="0" w:oddHBand="0" w:evenHBand="0" w:firstRowFirstColumn="0" w:firstRowLastColumn="0" w:lastRowFirstColumn="0" w:lastRowLastColumn="0"/>
            <w:tcW w:w="4368" w:type="dxa"/>
          </w:tcPr>
          <w:p w14:paraId="7A8CE101" w14:textId="77777777" w:rsidR="00182709" w:rsidRDefault="0044097C">
            <w:r>
              <w:rPr>
                <w:sz w:val="17"/>
              </w:rPr>
              <w:t>Equities – listed securities</w:t>
            </w:r>
          </w:p>
        </w:tc>
        <w:tc>
          <w:tcPr>
            <w:tcW w:w="938" w:type="dxa"/>
          </w:tcPr>
          <w:p w14:paraId="09A0D97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7AC2F4C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4366F7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1 614</w:t>
            </w:r>
          </w:p>
        </w:tc>
        <w:tc>
          <w:tcPr>
            <w:tcW w:w="2219" w:type="dxa"/>
          </w:tcPr>
          <w:p w14:paraId="575FAA3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C119C0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1A9AA9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3A6B5C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1 614</w:t>
            </w:r>
          </w:p>
        </w:tc>
      </w:tr>
      <w:tr w:rsidR="00182709" w14:paraId="4D2DA67C" w14:textId="77777777">
        <w:tc>
          <w:tcPr>
            <w:cnfStyle w:val="001000000000" w:firstRow="0" w:lastRow="0" w:firstColumn="1" w:lastColumn="0" w:oddVBand="0" w:evenVBand="0" w:oddHBand="0" w:evenHBand="0" w:firstRowFirstColumn="0" w:firstRowLastColumn="0" w:lastRowFirstColumn="0" w:lastRowLastColumn="0"/>
            <w:tcW w:w="4368" w:type="dxa"/>
          </w:tcPr>
          <w:p w14:paraId="207491B9" w14:textId="77777777" w:rsidR="00182709" w:rsidRDefault="0044097C">
            <w:r>
              <w:rPr>
                <w:sz w:val="17"/>
              </w:rPr>
              <w:t>Equities – unlisted securities</w:t>
            </w:r>
          </w:p>
        </w:tc>
        <w:tc>
          <w:tcPr>
            <w:tcW w:w="938" w:type="dxa"/>
          </w:tcPr>
          <w:p w14:paraId="330736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6C6AE5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7F1A941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39AF62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322</w:t>
            </w:r>
          </w:p>
        </w:tc>
        <w:tc>
          <w:tcPr>
            <w:tcW w:w="1134" w:type="dxa"/>
          </w:tcPr>
          <w:p w14:paraId="185A6C2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FF3E1A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2A2449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322</w:t>
            </w:r>
          </w:p>
        </w:tc>
      </w:tr>
      <w:tr w:rsidR="00182709" w14:paraId="2B86C557" w14:textId="77777777">
        <w:tc>
          <w:tcPr>
            <w:cnfStyle w:val="001000000000" w:firstRow="0" w:lastRow="0" w:firstColumn="1" w:lastColumn="0" w:oddVBand="0" w:evenVBand="0" w:oddHBand="0" w:evenHBand="0" w:firstRowFirstColumn="0" w:firstRowLastColumn="0" w:lastRowFirstColumn="0" w:lastRowLastColumn="0"/>
            <w:tcW w:w="4368" w:type="dxa"/>
          </w:tcPr>
          <w:p w14:paraId="6B58C02E" w14:textId="77777777" w:rsidR="00182709" w:rsidRDefault="0044097C">
            <w:r>
              <w:rPr>
                <w:sz w:val="17"/>
              </w:rPr>
              <w:t>Managed investment schemes</w:t>
            </w:r>
          </w:p>
        </w:tc>
        <w:tc>
          <w:tcPr>
            <w:tcW w:w="938" w:type="dxa"/>
          </w:tcPr>
          <w:p w14:paraId="46D19C7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726BA57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229</w:t>
            </w:r>
          </w:p>
        </w:tc>
        <w:tc>
          <w:tcPr>
            <w:tcW w:w="2175" w:type="dxa"/>
          </w:tcPr>
          <w:p w14:paraId="26B6CCB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DD7B13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6B5672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84473B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551897D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229</w:t>
            </w:r>
          </w:p>
        </w:tc>
      </w:tr>
      <w:tr w:rsidR="00182709" w14:paraId="042E76E4" w14:textId="77777777">
        <w:tc>
          <w:tcPr>
            <w:cnfStyle w:val="001000000000" w:firstRow="0" w:lastRow="0" w:firstColumn="1" w:lastColumn="0" w:oddVBand="0" w:evenVBand="0" w:oddHBand="0" w:evenHBand="0" w:firstRowFirstColumn="0" w:firstRowLastColumn="0" w:lastRowFirstColumn="0" w:lastRowLastColumn="0"/>
            <w:tcW w:w="4368" w:type="dxa"/>
          </w:tcPr>
          <w:p w14:paraId="6C4D5C17" w14:textId="77777777" w:rsidR="00182709" w:rsidRDefault="0044097C">
            <w:r>
              <w:rPr>
                <w:sz w:val="17"/>
              </w:rPr>
              <w:t>Term deposits</w:t>
            </w:r>
          </w:p>
        </w:tc>
        <w:tc>
          <w:tcPr>
            <w:tcW w:w="938" w:type="dxa"/>
          </w:tcPr>
          <w:p w14:paraId="6ED2D51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2946B5F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8C09FE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30C21C9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1D044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2 890</w:t>
            </w:r>
          </w:p>
        </w:tc>
        <w:tc>
          <w:tcPr>
            <w:tcW w:w="1134" w:type="dxa"/>
          </w:tcPr>
          <w:p w14:paraId="4DCF3C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225A7B0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2 890</w:t>
            </w:r>
          </w:p>
        </w:tc>
      </w:tr>
      <w:tr w:rsidR="00182709" w14:paraId="25D63FE8"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bottom w:val="single" w:sz="12" w:space="0" w:color="auto"/>
            </w:tcBorders>
          </w:tcPr>
          <w:p w14:paraId="0593B6EA" w14:textId="77777777" w:rsidR="00182709" w:rsidRDefault="0044097C">
            <w:r>
              <w:rPr>
                <w:sz w:val="17"/>
              </w:rPr>
              <w:t>Debt securities</w:t>
            </w:r>
          </w:p>
        </w:tc>
        <w:tc>
          <w:tcPr>
            <w:tcW w:w="938" w:type="dxa"/>
            <w:tcBorders>
              <w:bottom w:val="single" w:sz="12" w:space="0" w:color="auto"/>
            </w:tcBorders>
          </w:tcPr>
          <w:p w14:paraId="0EDCD7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Borders>
              <w:bottom w:val="single" w:sz="12" w:space="0" w:color="auto"/>
            </w:tcBorders>
          </w:tcPr>
          <w:p w14:paraId="493D33F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3 823</w:t>
            </w:r>
          </w:p>
        </w:tc>
        <w:tc>
          <w:tcPr>
            <w:tcW w:w="2175" w:type="dxa"/>
            <w:tcBorders>
              <w:bottom w:val="single" w:sz="12" w:space="0" w:color="auto"/>
            </w:tcBorders>
          </w:tcPr>
          <w:p w14:paraId="4C004A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Borders>
              <w:bottom w:val="single" w:sz="12" w:space="0" w:color="auto"/>
            </w:tcBorders>
          </w:tcPr>
          <w:p w14:paraId="4237D9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Borders>
              <w:bottom w:val="single" w:sz="12" w:space="0" w:color="auto"/>
            </w:tcBorders>
          </w:tcPr>
          <w:p w14:paraId="73ABBF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5 198</w:t>
            </w:r>
          </w:p>
        </w:tc>
        <w:tc>
          <w:tcPr>
            <w:tcW w:w="1134" w:type="dxa"/>
            <w:tcBorders>
              <w:bottom w:val="single" w:sz="12" w:space="0" w:color="auto"/>
            </w:tcBorders>
          </w:tcPr>
          <w:p w14:paraId="1EEFC0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Borders>
              <w:bottom w:val="single" w:sz="12" w:space="0" w:color="auto"/>
            </w:tcBorders>
          </w:tcPr>
          <w:p w14:paraId="6EC20F6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9 021</w:t>
            </w:r>
          </w:p>
        </w:tc>
      </w:tr>
      <w:tr w:rsidR="00671D55" w14:paraId="72371ABC" w14:textId="77777777" w:rsidTr="00182709">
        <w:tc>
          <w:tcPr>
            <w:cnfStyle w:val="001000000000" w:firstRow="0" w:lastRow="0" w:firstColumn="1" w:lastColumn="0" w:oddVBand="0" w:evenVBand="0" w:oddHBand="0" w:evenHBand="0" w:firstRowFirstColumn="0" w:firstRowLastColumn="0" w:lastRowFirstColumn="0" w:lastRowLastColumn="0"/>
            <w:tcW w:w="4368" w:type="dxa"/>
          </w:tcPr>
          <w:p w14:paraId="275E7E6D" w14:textId="77777777" w:rsidR="00182709" w:rsidRDefault="0044097C">
            <w:r>
              <w:rPr>
                <w:b/>
                <w:sz w:val="17"/>
              </w:rPr>
              <w:t>Total contractual financial assets</w:t>
            </w:r>
          </w:p>
        </w:tc>
        <w:tc>
          <w:tcPr>
            <w:tcW w:w="938" w:type="dxa"/>
          </w:tcPr>
          <w:p w14:paraId="6F24D896" w14:textId="071D27D2" w:rsidR="00182709" w:rsidRDefault="00B07AE9">
            <w:pPr>
              <w:cnfStyle w:val="000000000000" w:firstRow="0" w:lastRow="0" w:firstColumn="0" w:lastColumn="0" w:oddVBand="0" w:evenVBand="0" w:oddHBand="0" w:evenHBand="0" w:firstRowFirstColumn="0" w:firstRowLastColumn="0" w:lastRowFirstColumn="0" w:lastRowLastColumn="0"/>
            </w:pPr>
            <w:r>
              <w:rPr>
                <w:b/>
                <w:sz w:val="17"/>
              </w:rPr>
              <w:t>71</w:t>
            </w:r>
            <w:r w:rsidR="0044097C">
              <w:rPr>
                <w:b/>
                <w:sz w:val="17"/>
              </w:rPr>
              <w:t xml:space="preserve"> </w:t>
            </w:r>
            <w:r w:rsidR="007940E6">
              <w:rPr>
                <w:b/>
                <w:sz w:val="17"/>
              </w:rPr>
              <w:t>80</w:t>
            </w:r>
            <w:r>
              <w:rPr>
                <w:b/>
                <w:sz w:val="17"/>
              </w:rPr>
              <w:t>3</w:t>
            </w:r>
          </w:p>
        </w:tc>
        <w:tc>
          <w:tcPr>
            <w:tcW w:w="1640" w:type="dxa"/>
          </w:tcPr>
          <w:p w14:paraId="7395ED2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4 052</w:t>
            </w:r>
          </w:p>
        </w:tc>
        <w:tc>
          <w:tcPr>
            <w:tcW w:w="2175" w:type="dxa"/>
          </w:tcPr>
          <w:p w14:paraId="59B7B1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1 614</w:t>
            </w:r>
          </w:p>
        </w:tc>
        <w:tc>
          <w:tcPr>
            <w:tcW w:w="2219" w:type="dxa"/>
          </w:tcPr>
          <w:p w14:paraId="7733C8A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322</w:t>
            </w:r>
          </w:p>
        </w:tc>
        <w:tc>
          <w:tcPr>
            <w:tcW w:w="1134" w:type="dxa"/>
          </w:tcPr>
          <w:p w14:paraId="18A623D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12 204</w:t>
            </w:r>
          </w:p>
        </w:tc>
        <w:tc>
          <w:tcPr>
            <w:tcW w:w="1134" w:type="dxa"/>
          </w:tcPr>
          <w:p w14:paraId="38B988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021" w:type="dxa"/>
          </w:tcPr>
          <w:p w14:paraId="40C22C4A" w14:textId="5624631B"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8</w:t>
            </w:r>
            <w:r w:rsidR="00157784">
              <w:rPr>
                <w:b/>
                <w:sz w:val="17"/>
              </w:rPr>
              <w:t>9</w:t>
            </w:r>
            <w:r>
              <w:rPr>
                <w:b/>
                <w:sz w:val="17"/>
              </w:rPr>
              <w:t xml:space="preserve"> </w:t>
            </w:r>
            <w:r w:rsidR="007940E6">
              <w:rPr>
                <w:b/>
                <w:sz w:val="17"/>
              </w:rPr>
              <w:t>99</w:t>
            </w:r>
            <w:r w:rsidR="00157784">
              <w:rPr>
                <w:b/>
                <w:sz w:val="17"/>
              </w:rPr>
              <w:t>5</w:t>
            </w:r>
          </w:p>
        </w:tc>
      </w:tr>
      <w:tr w:rsidR="00671D55" w14:paraId="57BEDE7C" w14:textId="77777777" w:rsidTr="00182709">
        <w:tc>
          <w:tcPr>
            <w:cnfStyle w:val="001000000000" w:firstRow="0" w:lastRow="0" w:firstColumn="1" w:lastColumn="0" w:oddVBand="0" w:evenVBand="0" w:oddHBand="0" w:evenHBand="0" w:firstRowFirstColumn="0" w:firstRowLastColumn="0" w:lastRowFirstColumn="0" w:lastRowLastColumn="0"/>
            <w:tcW w:w="4368" w:type="dxa"/>
          </w:tcPr>
          <w:p w14:paraId="07150AC3" w14:textId="77777777" w:rsidR="00182709" w:rsidRDefault="0044097C">
            <w:r>
              <w:rPr>
                <w:b/>
                <w:sz w:val="17"/>
              </w:rPr>
              <w:t>Contractual financial liabilities</w:t>
            </w:r>
          </w:p>
        </w:tc>
        <w:tc>
          <w:tcPr>
            <w:tcW w:w="938" w:type="dxa"/>
          </w:tcPr>
          <w:p w14:paraId="4D4A966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4178FD2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5993C3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14C6211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FEFF1A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3176B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3492CED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3EC7F52" w14:textId="77777777">
        <w:tc>
          <w:tcPr>
            <w:cnfStyle w:val="001000000000" w:firstRow="0" w:lastRow="0" w:firstColumn="1" w:lastColumn="0" w:oddVBand="0" w:evenVBand="0" w:oddHBand="0" w:evenHBand="0" w:firstRowFirstColumn="0" w:firstRowLastColumn="0" w:lastRowFirstColumn="0" w:lastRowLastColumn="0"/>
            <w:tcW w:w="4368" w:type="dxa"/>
          </w:tcPr>
          <w:p w14:paraId="025CA68A" w14:textId="77777777" w:rsidR="00182709" w:rsidRDefault="0044097C">
            <w:r>
              <w:rPr>
                <w:b/>
                <w:sz w:val="17"/>
              </w:rPr>
              <w:t>Payables</w:t>
            </w:r>
            <w:r>
              <w:rPr>
                <w:b/>
                <w:sz w:val="17"/>
                <w:vertAlign w:val="superscript"/>
              </w:rPr>
              <w:t xml:space="preserve"> (a)</w:t>
            </w:r>
          </w:p>
        </w:tc>
        <w:tc>
          <w:tcPr>
            <w:tcW w:w="938" w:type="dxa"/>
          </w:tcPr>
          <w:p w14:paraId="376DA60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0486D5E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43C8BF5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0761E7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520DBE4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7448D2A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28C620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8FAF860" w14:textId="77777777">
        <w:tc>
          <w:tcPr>
            <w:cnfStyle w:val="001000000000" w:firstRow="0" w:lastRow="0" w:firstColumn="1" w:lastColumn="0" w:oddVBand="0" w:evenVBand="0" w:oddHBand="0" w:evenHBand="0" w:firstRowFirstColumn="0" w:firstRowLastColumn="0" w:lastRowFirstColumn="0" w:lastRowLastColumn="0"/>
            <w:tcW w:w="4368" w:type="dxa"/>
          </w:tcPr>
          <w:p w14:paraId="32DD5ED5" w14:textId="77777777" w:rsidR="00182709" w:rsidRDefault="0044097C">
            <w:r>
              <w:rPr>
                <w:sz w:val="17"/>
              </w:rPr>
              <w:t>Supplies and services</w:t>
            </w:r>
          </w:p>
        </w:tc>
        <w:tc>
          <w:tcPr>
            <w:tcW w:w="938" w:type="dxa"/>
          </w:tcPr>
          <w:p w14:paraId="718BD6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1CAC78F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FA9963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7F57B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F88FED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5A52FD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4 508</w:t>
            </w:r>
          </w:p>
        </w:tc>
        <w:tc>
          <w:tcPr>
            <w:tcW w:w="1021" w:type="dxa"/>
          </w:tcPr>
          <w:p w14:paraId="1D29D5C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4 508</w:t>
            </w:r>
          </w:p>
        </w:tc>
      </w:tr>
      <w:tr w:rsidR="00182709" w14:paraId="2FA1AE97" w14:textId="77777777">
        <w:tc>
          <w:tcPr>
            <w:cnfStyle w:val="001000000000" w:firstRow="0" w:lastRow="0" w:firstColumn="1" w:lastColumn="0" w:oddVBand="0" w:evenVBand="0" w:oddHBand="0" w:evenHBand="0" w:firstRowFirstColumn="0" w:firstRowLastColumn="0" w:lastRowFirstColumn="0" w:lastRowLastColumn="0"/>
            <w:tcW w:w="4368" w:type="dxa"/>
          </w:tcPr>
          <w:p w14:paraId="7F1766D8" w14:textId="77777777" w:rsidR="00182709" w:rsidRDefault="0044097C">
            <w:r>
              <w:rPr>
                <w:sz w:val="17"/>
              </w:rPr>
              <w:t>Amounts payable to government and agencies</w:t>
            </w:r>
          </w:p>
        </w:tc>
        <w:tc>
          <w:tcPr>
            <w:tcW w:w="938" w:type="dxa"/>
          </w:tcPr>
          <w:p w14:paraId="3FD162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5ECA45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10C9AC3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23E1B0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243905C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A9FA37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10 891</w:t>
            </w:r>
          </w:p>
        </w:tc>
        <w:tc>
          <w:tcPr>
            <w:tcW w:w="1021" w:type="dxa"/>
          </w:tcPr>
          <w:p w14:paraId="195010D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10 891</w:t>
            </w:r>
          </w:p>
        </w:tc>
      </w:tr>
      <w:tr w:rsidR="00182709" w14:paraId="23386A01" w14:textId="77777777">
        <w:tc>
          <w:tcPr>
            <w:cnfStyle w:val="001000000000" w:firstRow="0" w:lastRow="0" w:firstColumn="1" w:lastColumn="0" w:oddVBand="0" w:evenVBand="0" w:oddHBand="0" w:evenHBand="0" w:firstRowFirstColumn="0" w:firstRowLastColumn="0" w:lastRowFirstColumn="0" w:lastRowLastColumn="0"/>
            <w:tcW w:w="4368" w:type="dxa"/>
          </w:tcPr>
          <w:p w14:paraId="68B3A514" w14:textId="77777777" w:rsidR="00182709" w:rsidRDefault="0044097C">
            <w:r>
              <w:rPr>
                <w:sz w:val="17"/>
              </w:rPr>
              <w:t>Other payables</w:t>
            </w:r>
          </w:p>
        </w:tc>
        <w:tc>
          <w:tcPr>
            <w:tcW w:w="938" w:type="dxa"/>
          </w:tcPr>
          <w:p w14:paraId="4ED0E26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3E89959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3F3C2FA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02FCC7D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368ABF4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3D991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817</w:t>
            </w:r>
          </w:p>
        </w:tc>
        <w:tc>
          <w:tcPr>
            <w:tcW w:w="1021" w:type="dxa"/>
          </w:tcPr>
          <w:p w14:paraId="4CB6FDE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817</w:t>
            </w:r>
          </w:p>
        </w:tc>
      </w:tr>
      <w:tr w:rsidR="00182709" w14:paraId="0F77A681" w14:textId="77777777">
        <w:tc>
          <w:tcPr>
            <w:cnfStyle w:val="001000000000" w:firstRow="0" w:lastRow="0" w:firstColumn="1" w:lastColumn="0" w:oddVBand="0" w:evenVBand="0" w:oddHBand="0" w:evenHBand="0" w:firstRowFirstColumn="0" w:firstRowLastColumn="0" w:lastRowFirstColumn="0" w:lastRowLastColumn="0"/>
            <w:tcW w:w="4368" w:type="dxa"/>
          </w:tcPr>
          <w:p w14:paraId="46477A56" w14:textId="77777777" w:rsidR="00182709" w:rsidRDefault="0044097C">
            <w:r>
              <w:rPr>
                <w:b/>
                <w:sz w:val="17"/>
              </w:rPr>
              <w:t>Borrowings</w:t>
            </w:r>
          </w:p>
        </w:tc>
        <w:tc>
          <w:tcPr>
            <w:tcW w:w="938" w:type="dxa"/>
          </w:tcPr>
          <w:p w14:paraId="3F2D042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40" w:type="dxa"/>
          </w:tcPr>
          <w:p w14:paraId="3D04BD2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175" w:type="dxa"/>
          </w:tcPr>
          <w:p w14:paraId="79DA815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2219" w:type="dxa"/>
          </w:tcPr>
          <w:p w14:paraId="4EA0316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72943E1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3C1FEED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021" w:type="dxa"/>
          </w:tcPr>
          <w:p w14:paraId="301ACEA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r>
      <w:tr w:rsidR="00182709" w14:paraId="0998046F" w14:textId="77777777">
        <w:tc>
          <w:tcPr>
            <w:cnfStyle w:val="001000000000" w:firstRow="0" w:lastRow="0" w:firstColumn="1" w:lastColumn="0" w:oddVBand="0" w:evenVBand="0" w:oddHBand="0" w:evenHBand="0" w:firstRowFirstColumn="0" w:firstRowLastColumn="0" w:lastRowFirstColumn="0" w:lastRowLastColumn="0"/>
            <w:tcW w:w="4368" w:type="dxa"/>
          </w:tcPr>
          <w:p w14:paraId="7C3B6CAA" w14:textId="77777777" w:rsidR="00182709" w:rsidRDefault="0044097C">
            <w:r>
              <w:rPr>
                <w:sz w:val="17"/>
              </w:rPr>
              <w:t>Bank overdrafts</w:t>
            </w:r>
          </w:p>
        </w:tc>
        <w:tc>
          <w:tcPr>
            <w:tcW w:w="938" w:type="dxa"/>
          </w:tcPr>
          <w:p w14:paraId="0EC4B2B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2B09D59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33543FB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21D80B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0DEA9A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91FD4C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Pr>
          <w:p w14:paraId="553266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r>
      <w:tr w:rsidR="00182709" w14:paraId="2EE39457" w14:textId="77777777">
        <w:tc>
          <w:tcPr>
            <w:cnfStyle w:val="001000000000" w:firstRow="0" w:lastRow="0" w:firstColumn="1" w:lastColumn="0" w:oddVBand="0" w:evenVBand="0" w:oddHBand="0" w:evenHBand="0" w:firstRowFirstColumn="0" w:firstRowLastColumn="0" w:lastRowFirstColumn="0" w:lastRowLastColumn="0"/>
            <w:tcW w:w="4368" w:type="dxa"/>
          </w:tcPr>
          <w:p w14:paraId="27EED6EA" w14:textId="77777777" w:rsidR="00182709" w:rsidRDefault="0044097C">
            <w:r>
              <w:rPr>
                <w:sz w:val="17"/>
              </w:rPr>
              <w:t>Lease liabilities</w:t>
            </w:r>
          </w:p>
        </w:tc>
        <w:tc>
          <w:tcPr>
            <w:tcW w:w="938" w:type="dxa"/>
          </w:tcPr>
          <w:p w14:paraId="10B7988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6E62BAB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CA128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2D8BC3B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5DFF0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B12122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8 064</w:t>
            </w:r>
          </w:p>
        </w:tc>
        <w:tc>
          <w:tcPr>
            <w:tcW w:w="1021" w:type="dxa"/>
          </w:tcPr>
          <w:p w14:paraId="5F5083F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8 064</w:t>
            </w:r>
          </w:p>
        </w:tc>
      </w:tr>
      <w:tr w:rsidR="00182709" w14:paraId="62DD13C9" w14:textId="77777777">
        <w:tc>
          <w:tcPr>
            <w:cnfStyle w:val="001000000000" w:firstRow="0" w:lastRow="0" w:firstColumn="1" w:lastColumn="0" w:oddVBand="0" w:evenVBand="0" w:oddHBand="0" w:evenHBand="0" w:firstRowFirstColumn="0" w:firstRowLastColumn="0" w:lastRowFirstColumn="0" w:lastRowLastColumn="0"/>
            <w:tcW w:w="4368" w:type="dxa"/>
          </w:tcPr>
          <w:p w14:paraId="6BBE9FE0" w14:textId="77777777" w:rsidR="00182709" w:rsidRDefault="0044097C">
            <w:r>
              <w:rPr>
                <w:sz w:val="17"/>
              </w:rPr>
              <w:t>Service concession financial liability</w:t>
            </w:r>
          </w:p>
        </w:tc>
        <w:tc>
          <w:tcPr>
            <w:tcW w:w="938" w:type="dxa"/>
          </w:tcPr>
          <w:p w14:paraId="0B083F2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566B688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7194CC3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746B52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54449C4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72BEA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58 500</w:t>
            </w:r>
          </w:p>
        </w:tc>
        <w:tc>
          <w:tcPr>
            <w:tcW w:w="1021" w:type="dxa"/>
          </w:tcPr>
          <w:p w14:paraId="1AC06B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58 500</w:t>
            </w:r>
          </w:p>
        </w:tc>
      </w:tr>
      <w:tr w:rsidR="00182709" w14:paraId="54B017F6" w14:textId="77777777">
        <w:tc>
          <w:tcPr>
            <w:cnfStyle w:val="001000000000" w:firstRow="0" w:lastRow="0" w:firstColumn="1" w:lastColumn="0" w:oddVBand="0" w:evenVBand="0" w:oddHBand="0" w:evenHBand="0" w:firstRowFirstColumn="0" w:firstRowLastColumn="0" w:lastRowFirstColumn="0" w:lastRowLastColumn="0"/>
            <w:tcW w:w="4368" w:type="dxa"/>
          </w:tcPr>
          <w:p w14:paraId="564CEFD1" w14:textId="77777777" w:rsidR="00182709" w:rsidRDefault="0044097C">
            <w:r>
              <w:rPr>
                <w:sz w:val="17"/>
              </w:rPr>
              <w:t>Advances from government</w:t>
            </w:r>
          </w:p>
        </w:tc>
        <w:tc>
          <w:tcPr>
            <w:tcW w:w="938" w:type="dxa"/>
          </w:tcPr>
          <w:p w14:paraId="6099110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6B2FD75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2564361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107BC6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78D4E9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30DEF8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5 313</w:t>
            </w:r>
          </w:p>
        </w:tc>
        <w:tc>
          <w:tcPr>
            <w:tcW w:w="1021" w:type="dxa"/>
          </w:tcPr>
          <w:p w14:paraId="48AA9F5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5 313</w:t>
            </w:r>
          </w:p>
        </w:tc>
      </w:tr>
      <w:tr w:rsidR="00182709" w14:paraId="0CCA1EDD" w14:textId="77777777">
        <w:tc>
          <w:tcPr>
            <w:cnfStyle w:val="001000000000" w:firstRow="0" w:lastRow="0" w:firstColumn="1" w:lastColumn="0" w:oddVBand="0" w:evenVBand="0" w:oddHBand="0" w:evenHBand="0" w:firstRowFirstColumn="0" w:firstRowLastColumn="0" w:lastRowFirstColumn="0" w:lastRowLastColumn="0"/>
            <w:tcW w:w="4368" w:type="dxa"/>
          </w:tcPr>
          <w:p w14:paraId="0294282A" w14:textId="77777777" w:rsidR="00182709" w:rsidRDefault="0044097C">
            <w:r>
              <w:rPr>
                <w:sz w:val="17"/>
              </w:rPr>
              <w:t>Loans from TCV</w:t>
            </w:r>
          </w:p>
        </w:tc>
        <w:tc>
          <w:tcPr>
            <w:tcW w:w="938" w:type="dxa"/>
          </w:tcPr>
          <w:p w14:paraId="08D5870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Pr>
          <w:p w14:paraId="02AA2B7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Pr>
          <w:p w14:paraId="5551E10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219" w:type="dxa"/>
          </w:tcPr>
          <w:p w14:paraId="41331A6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608895D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72EA452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48 696</w:t>
            </w:r>
          </w:p>
        </w:tc>
        <w:tc>
          <w:tcPr>
            <w:tcW w:w="1021" w:type="dxa"/>
          </w:tcPr>
          <w:p w14:paraId="206CE64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48 696</w:t>
            </w:r>
          </w:p>
        </w:tc>
      </w:tr>
      <w:tr w:rsidR="00182709" w14:paraId="267D347B" w14:textId="77777777" w:rsidTr="00182709">
        <w:tc>
          <w:tcPr>
            <w:cnfStyle w:val="001000000000" w:firstRow="0" w:lastRow="0" w:firstColumn="1" w:lastColumn="0" w:oddVBand="0" w:evenVBand="0" w:oddHBand="0" w:evenHBand="0" w:firstRowFirstColumn="0" w:firstRowLastColumn="0" w:lastRowFirstColumn="0" w:lastRowLastColumn="0"/>
            <w:tcW w:w="4368" w:type="dxa"/>
            <w:tcBorders>
              <w:bottom w:val="single" w:sz="12" w:space="0" w:color="auto"/>
            </w:tcBorders>
          </w:tcPr>
          <w:p w14:paraId="410EB032" w14:textId="77777777" w:rsidR="00182709" w:rsidRDefault="0044097C" w:rsidP="00C4054C">
            <w:pPr>
              <w:ind w:left="170" w:hanging="170"/>
            </w:pPr>
            <w:r>
              <w:rPr>
                <w:sz w:val="17"/>
              </w:rPr>
              <w:t>Financial liabilities designated at fair value through profit or loss</w:t>
            </w:r>
            <w:r>
              <w:rPr>
                <w:sz w:val="17"/>
                <w:vertAlign w:val="superscript"/>
              </w:rPr>
              <w:t xml:space="preserve"> (a)</w:t>
            </w:r>
          </w:p>
        </w:tc>
        <w:tc>
          <w:tcPr>
            <w:tcW w:w="938" w:type="dxa"/>
            <w:tcBorders>
              <w:bottom w:val="single" w:sz="12" w:space="0" w:color="auto"/>
            </w:tcBorders>
          </w:tcPr>
          <w:p w14:paraId="6B8A329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640" w:type="dxa"/>
            <w:tcBorders>
              <w:bottom w:val="single" w:sz="12" w:space="0" w:color="auto"/>
            </w:tcBorders>
          </w:tcPr>
          <w:p w14:paraId="2FC3050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2175" w:type="dxa"/>
            <w:tcBorders>
              <w:bottom w:val="single" w:sz="12" w:space="0" w:color="auto"/>
            </w:tcBorders>
          </w:tcPr>
          <w:p w14:paraId="67A485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150</w:t>
            </w:r>
          </w:p>
        </w:tc>
        <w:tc>
          <w:tcPr>
            <w:tcW w:w="2219" w:type="dxa"/>
            <w:tcBorders>
              <w:bottom w:val="single" w:sz="12" w:space="0" w:color="auto"/>
            </w:tcBorders>
          </w:tcPr>
          <w:p w14:paraId="2DB2D1A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Borders>
              <w:bottom w:val="single" w:sz="12" w:space="0" w:color="auto"/>
            </w:tcBorders>
          </w:tcPr>
          <w:p w14:paraId="4020E2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Borders>
              <w:bottom w:val="single" w:sz="12" w:space="0" w:color="auto"/>
            </w:tcBorders>
          </w:tcPr>
          <w:p w14:paraId="48B09AB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021" w:type="dxa"/>
            <w:tcBorders>
              <w:bottom w:val="single" w:sz="12" w:space="0" w:color="auto"/>
            </w:tcBorders>
          </w:tcPr>
          <w:p w14:paraId="3A2B34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150</w:t>
            </w:r>
          </w:p>
        </w:tc>
      </w:tr>
      <w:tr w:rsidR="00671D55" w14:paraId="14DA8A29" w14:textId="77777777" w:rsidTr="00182709">
        <w:tc>
          <w:tcPr>
            <w:cnfStyle w:val="001000000000" w:firstRow="0" w:lastRow="0" w:firstColumn="1" w:lastColumn="0" w:oddVBand="0" w:evenVBand="0" w:oddHBand="0" w:evenHBand="0" w:firstRowFirstColumn="0" w:firstRowLastColumn="0" w:lastRowFirstColumn="0" w:lastRowLastColumn="0"/>
            <w:tcW w:w="4368" w:type="dxa"/>
          </w:tcPr>
          <w:p w14:paraId="2C532AE0" w14:textId="77777777" w:rsidR="00182709" w:rsidRDefault="0044097C">
            <w:r>
              <w:rPr>
                <w:b/>
                <w:sz w:val="17"/>
              </w:rPr>
              <w:t>Total contractual financial liabilities</w:t>
            </w:r>
          </w:p>
        </w:tc>
        <w:tc>
          <w:tcPr>
            <w:tcW w:w="938" w:type="dxa"/>
          </w:tcPr>
          <w:p w14:paraId="0DA0A53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640" w:type="dxa"/>
          </w:tcPr>
          <w:p w14:paraId="66EE567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2175" w:type="dxa"/>
          </w:tcPr>
          <w:p w14:paraId="6078E5C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150</w:t>
            </w:r>
          </w:p>
        </w:tc>
        <w:tc>
          <w:tcPr>
            <w:tcW w:w="2219" w:type="dxa"/>
          </w:tcPr>
          <w:p w14:paraId="19130FF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134" w:type="dxa"/>
          </w:tcPr>
          <w:p w14:paraId="0B58D51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w:t>
            </w:r>
          </w:p>
        </w:tc>
        <w:tc>
          <w:tcPr>
            <w:tcW w:w="1134" w:type="dxa"/>
          </w:tcPr>
          <w:p w14:paraId="69F4BDE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136 789</w:t>
            </w:r>
          </w:p>
        </w:tc>
        <w:tc>
          <w:tcPr>
            <w:tcW w:w="1021" w:type="dxa"/>
          </w:tcPr>
          <w:p w14:paraId="6D27521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136 939</w:t>
            </w:r>
          </w:p>
        </w:tc>
      </w:tr>
    </w:tbl>
    <w:p w14:paraId="6386B4EA" w14:textId="77777777" w:rsidR="003719CD" w:rsidRDefault="003719CD" w:rsidP="007D536F">
      <w:pPr>
        <w:pStyle w:val="Note"/>
      </w:pPr>
      <w:r>
        <w:t>Note:</w:t>
      </w:r>
    </w:p>
    <w:p w14:paraId="41D75E95" w14:textId="77777777" w:rsidR="003719CD" w:rsidRDefault="003719CD" w:rsidP="007D536F">
      <w:pPr>
        <w:pStyle w:val="Note"/>
      </w:pPr>
      <w:r>
        <w:t>(a)</w:t>
      </w:r>
      <w:r>
        <w:tab/>
        <w:t xml:space="preserve">The total amounts disclosed here exclude statutory amounts (e.g. amounts owing from Victorian Government and GST input tax credit recoverable and taxes payable). </w:t>
      </w:r>
      <w:r w:rsidRPr="00AC1D66">
        <w:rPr>
          <w:rStyle w:val="Reference"/>
          <w:sz w:val="14"/>
          <w:szCs w:val="16"/>
        </w:rPr>
        <w:t>[AASB 132.AG12]</w:t>
      </w:r>
    </w:p>
    <w:p w14:paraId="4BD2B954" w14:textId="77777777" w:rsidR="00C4054C" w:rsidRDefault="00C4054C" w:rsidP="00C4054C">
      <w:pPr>
        <w:pStyle w:val="Heading3"/>
        <w:rPr>
          <w:rStyle w:val="Reference"/>
        </w:rPr>
      </w:pPr>
      <w:r>
        <w:lastRenderedPageBreak/>
        <w:t>8.1.1</w:t>
      </w:r>
      <w:r>
        <w:tab/>
        <w:t xml:space="preserve">Financial instruments: Categorisation </w:t>
      </w:r>
      <w:r w:rsidRPr="00C4054C">
        <w:rPr>
          <w:i/>
          <w:iCs/>
        </w:rPr>
        <w:t>(continued)</w:t>
      </w:r>
      <w:r>
        <w:t xml:space="preserve"> </w:t>
      </w:r>
      <w:r w:rsidRPr="00AC1D66">
        <w:rPr>
          <w:rStyle w:val="Reference"/>
        </w:rPr>
        <w:t>[AASB 7.8]</w:t>
      </w:r>
    </w:p>
    <w:p w14:paraId="03C1874C" w14:textId="77777777" w:rsidR="003719CD" w:rsidRDefault="003719CD" w:rsidP="00C4054C">
      <w:pPr>
        <w:pStyle w:val="TableUnits"/>
      </w:pPr>
      <w:r>
        <w:t>($ thousand)</w:t>
      </w:r>
    </w:p>
    <w:tbl>
      <w:tblPr>
        <w:tblStyle w:val="DTFTable"/>
        <w:tblW w:w="14629" w:type="dxa"/>
        <w:tblLayout w:type="fixed"/>
        <w:tblLook w:val="06A0" w:firstRow="1" w:lastRow="0" w:firstColumn="1" w:lastColumn="0" w:noHBand="1" w:noVBand="1"/>
      </w:tblPr>
      <w:tblGrid>
        <w:gridCol w:w="4214"/>
        <w:gridCol w:w="1008"/>
        <w:gridCol w:w="1791"/>
        <w:gridCol w:w="1974"/>
        <w:gridCol w:w="1624"/>
        <w:gridCol w:w="1763"/>
        <w:gridCol w:w="1330"/>
        <w:gridCol w:w="925"/>
      </w:tblGrid>
      <w:tr w:rsidR="00182709" w14:paraId="0A45923C"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14" w:type="dxa"/>
          </w:tcPr>
          <w:p w14:paraId="44890FB9" w14:textId="0706A777" w:rsidR="00182709" w:rsidRDefault="002A2864">
            <w:pPr>
              <w:keepNext/>
            </w:pPr>
            <w:fldSimple w:instr="DOCPROPERTY  YearPrevious  \* MERGEFORMAT">
              <w:r>
                <w:rPr>
                  <w:lang w:val="en-US"/>
                </w:rPr>
                <w:t>20X1</w:t>
              </w:r>
            </w:fldSimple>
          </w:p>
        </w:tc>
        <w:tc>
          <w:tcPr>
            <w:tcW w:w="1008" w:type="dxa"/>
          </w:tcPr>
          <w:p w14:paraId="592CF98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Cash and deposits</w:t>
            </w:r>
          </w:p>
        </w:tc>
        <w:tc>
          <w:tcPr>
            <w:tcW w:w="1791" w:type="dxa"/>
          </w:tcPr>
          <w:p w14:paraId="2D6DC1A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liabilities designated at fair value through profit/loss</w:t>
            </w:r>
          </w:p>
        </w:tc>
        <w:tc>
          <w:tcPr>
            <w:tcW w:w="1974" w:type="dxa"/>
          </w:tcPr>
          <w:p w14:paraId="66AA148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liabilities mandatorily measured at fair value through profit/loss</w:t>
            </w:r>
          </w:p>
        </w:tc>
        <w:tc>
          <w:tcPr>
            <w:tcW w:w="1624" w:type="dxa"/>
          </w:tcPr>
          <w:p w14:paraId="25E367F9"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available‑for‑sale</w:t>
            </w:r>
          </w:p>
        </w:tc>
        <w:tc>
          <w:tcPr>
            <w:tcW w:w="1763" w:type="dxa"/>
          </w:tcPr>
          <w:p w14:paraId="201893E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assets – loans and receivables / held to maturity</w:t>
            </w:r>
          </w:p>
        </w:tc>
        <w:tc>
          <w:tcPr>
            <w:tcW w:w="1330" w:type="dxa"/>
          </w:tcPr>
          <w:p w14:paraId="69EDB8B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Contractual financial liabilities at amortised cost</w:t>
            </w:r>
          </w:p>
        </w:tc>
        <w:tc>
          <w:tcPr>
            <w:tcW w:w="925" w:type="dxa"/>
          </w:tcPr>
          <w:p w14:paraId="5FD5059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Total</w:t>
            </w:r>
          </w:p>
        </w:tc>
      </w:tr>
      <w:tr w:rsidR="00182709" w14:paraId="5649DA81" w14:textId="77777777">
        <w:tc>
          <w:tcPr>
            <w:cnfStyle w:val="001000000000" w:firstRow="0" w:lastRow="0" w:firstColumn="1" w:lastColumn="0" w:oddVBand="0" w:evenVBand="0" w:oddHBand="0" w:evenHBand="0" w:firstRowFirstColumn="0" w:firstRowLastColumn="0" w:lastRowFirstColumn="0" w:lastRowLastColumn="0"/>
            <w:tcW w:w="4214" w:type="dxa"/>
          </w:tcPr>
          <w:p w14:paraId="2A07C9BC" w14:textId="77777777" w:rsidR="00182709" w:rsidRDefault="0044097C">
            <w:r>
              <w:rPr>
                <w:b/>
              </w:rPr>
              <w:t>Contractual financial assets</w:t>
            </w:r>
          </w:p>
        </w:tc>
        <w:tc>
          <w:tcPr>
            <w:tcW w:w="1008" w:type="dxa"/>
          </w:tcPr>
          <w:p w14:paraId="07D3052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457919B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51DD0B1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27FFBB1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18B82DC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6CC00F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1F2E824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D6F4636" w14:textId="77777777">
        <w:tc>
          <w:tcPr>
            <w:cnfStyle w:val="001000000000" w:firstRow="0" w:lastRow="0" w:firstColumn="1" w:lastColumn="0" w:oddVBand="0" w:evenVBand="0" w:oddHBand="0" w:evenHBand="0" w:firstRowFirstColumn="0" w:firstRowLastColumn="0" w:lastRowFirstColumn="0" w:lastRowLastColumn="0"/>
            <w:tcW w:w="4214" w:type="dxa"/>
          </w:tcPr>
          <w:p w14:paraId="6A505D7A" w14:textId="77777777" w:rsidR="00182709" w:rsidRDefault="0044097C">
            <w:r>
              <w:t>Cash and deposits</w:t>
            </w:r>
          </w:p>
        </w:tc>
        <w:tc>
          <w:tcPr>
            <w:tcW w:w="1008" w:type="dxa"/>
          </w:tcPr>
          <w:p w14:paraId="281F10A0" w14:textId="4FB03550" w:rsidR="00182709" w:rsidRDefault="0044097C">
            <w:pPr>
              <w:cnfStyle w:val="000000000000" w:firstRow="0" w:lastRow="0" w:firstColumn="0" w:lastColumn="0" w:oddVBand="0" w:evenVBand="0" w:oddHBand="0" w:evenHBand="0" w:firstRowFirstColumn="0" w:firstRowLastColumn="0" w:lastRowFirstColumn="0" w:lastRowLastColumn="0"/>
            </w:pPr>
            <w:r>
              <w:t>6</w:t>
            </w:r>
            <w:r w:rsidR="00C3289A">
              <w:t>6</w:t>
            </w:r>
            <w:r>
              <w:t xml:space="preserve"> </w:t>
            </w:r>
            <w:r w:rsidR="00C3289A">
              <w:t>443</w:t>
            </w:r>
          </w:p>
        </w:tc>
        <w:tc>
          <w:tcPr>
            <w:tcW w:w="1791" w:type="dxa"/>
          </w:tcPr>
          <w:p w14:paraId="4ACD94E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4BD6466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765780C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5F46EA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5D4673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2C07C59" w14:textId="5540386D" w:rsidR="00182709" w:rsidRDefault="0044097C">
            <w:pPr>
              <w:cnfStyle w:val="000000000000" w:firstRow="0" w:lastRow="0" w:firstColumn="0" w:lastColumn="0" w:oddVBand="0" w:evenVBand="0" w:oddHBand="0" w:evenHBand="0" w:firstRowFirstColumn="0" w:firstRowLastColumn="0" w:lastRowFirstColumn="0" w:lastRowLastColumn="0"/>
            </w:pPr>
            <w:r>
              <w:t>6</w:t>
            </w:r>
            <w:r w:rsidR="00C3289A">
              <w:t>6</w:t>
            </w:r>
            <w:r>
              <w:t xml:space="preserve"> </w:t>
            </w:r>
            <w:r w:rsidR="00C3289A">
              <w:t>443</w:t>
            </w:r>
          </w:p>
        </w:tc>
      </w:tr>
      <w:tr w:rsidR="00182709" w14:paraId="3976C3AA" w14:textId="77777777">
        <w:tc>
          <w:tcPr>
            <w:cnfStyle w:val="001000000000" w:firstRow="0" w:lastRow="0" w:firstColumn="1" w:lastColumn="0" w:oddVBand="0" w:evenVBand="0" w:oddHBand="0" w:evenHBand="0" w:firstRowFirstColumn="0" w:firstRowLastColumn="0" w:lastRowFirstColumn="0" w:lastRowLastColumn="0"/>
            <w:tcW w:w="4214" w:type="dxa"/>
          </w:tcPr>
          <w:p w14:paraId="10E56468" w14:textId="77777777" w:rsidR="00182709" w:rsidRDefault="0044097C">
            <w:r>
              <w:rPr>
                <w:b/>
              </w:rPr>
              <w:t xml:space="preserve">Receivables </w:t>
            </w:r>
            <w:r>
              <w:rPr>
                <w:b/>
                <w:vertAlign w:val="superscript"/>
              </w:rPr>
              <w:t>(a)</w:t>
            </w:r>
          </w:p>
        </w:tc>
        <w:tc>
          <w:tcPr>
            <w:tcW w:w="1008" w:type="dxa"/>
          </w:tcPr>
          <w:p w14:paraId="4B4994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60D82D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60572E4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0B96D69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34B2802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EEAF4D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56C0B1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7900668F" w14:textId="77777777">
        <w:tc>
          <w:tcPr>
            <w:cnfStyle w:val="001000000000" w:firstRow="0" w:lastRow="0" w:firstColumn="1" w:lastColumn="0" w:oddVBand="0" w:evenVBand="0" w:oddHBand="0" w:evenHBand="0" w:firstRowFirstColumn="0" w:firstRowLastColumn="0" w:lastRowFirstColumn="0" w:lastRowLastColumn="0"/>
            <w:tcW w:w="4214" w:type="dxa"/>
          </w:tcPr>
          <w:p w14:paraId="1C3D202F" w14:textId="77777777" w:rsidR="00182709" w:rsidRDefault="0044097C">
            <w:r>
              <w:t>Finance lease receivables</w:t>
            </w:r>
          </w:p>
        </w:tc>
        <w:tc>
          <w:tcPr>
            <w:tcW w:w="1008" w:type="dxa"/>
          </w:tcPr>
          <w:p w14:paraId="7008733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0F3975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A520C8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8B874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4749406F"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c>
          <w:tcPr>
            <w:tcW w:w="1330" w:type="dxa"/>
          </w:tcPr>
          <w:p w14:paraId="6039CC1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2458AD63"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r>
      <w:tr w:rsidR="00182709" w14:paraId="35A518EC" w14:textId="77777777">
        <w:tc>
          <w:tcPr>
            <w:cnfStyle w:val="001000000000" w:firstRow="0" w:lastRow="0" w:firstColumn="1" w:lastColumn="0" w:oddVBand="0" w:evenVBand="0" w:oddHBand="0" w:evenHBand="0" w:firstRowFirstColumn="0" w:firstRowLastColumn="0" w:lastRowFirstColumn="0" w:lastRowLastColumn="0"/>
            <w:tcW w:w="4214" w:type="dxa"/>
          </w:tcPr>
          <w:p w14:paraId="1F6B739D" w14:textId="77777777" w:rsidR="00182709" w:rsidRDefault="0044097C">
            <w:r>
              <w:t>Sale of goods and services</w:t>
            </w:r>
          </w:p>
        </w:tc>
        <w:tc>
          <w:tcPr>
            <w:tcW w:w="1008" w:type="dxa"/>
          </w:tcPr>
          <w:p w14:paraId="783F04A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4A28AD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0AB4D3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5614C3A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5A39524" w14:textId="77777777" w:rsidR="00182709" w:rsidRDefault="0044097C">
            <w:pPr>
              <w:cnfStyle w:val="000000000000" w:firstRow="0" w:lastRow="0" w:firstColumn="0" w:lastColumn="0" w:oddVBand="0" w:evenVBand="0" w:oddHBand="0" w:evenHBand="0" w:firstRowFirstColumn="0" w:firstRowLastColumn="0" w:lastRowFirstColumn="0" w:lastRowLastColumn="0"/>
            </w:pPr>
            <w:r>
              <w:t>965</w:t>
            </w:r>
          </w:p>
        </w:tc>
        <w:tc>
          <w:tcPr>
            <w:tcW w:w="1330" w:type="dxa"/>
          </w:tcPr>
          <w:p w14:paraId="1F9D895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9AB2486" w14:textId="77777777" w:rsidR="00182709" w:rsidRDefault="0044097C">
            <w:pPr>
              <w:cnfStyle w:val="000000000000" w:firstRow="0" w:lastRow="0" w:firstColumn="0" w:lastColumn="0" w:oddVBand="0" w:evenVBand="0" w:oddHBand="0" w:evenHBand="0" w:firstRowFirstColumn="0" w:firstRowLastColumn="0" w:lastRowFirstColumn="0" w:lastRowLastColumn="0"/>
            </w:pPr>
            <w:r>
              <w:t>965</w:t>
            </w:r>
          </w:p>
        </w:tc>
      </w:tr>
      <w:tr w:rsidR="00182709" w14:paraId="0818255D" w14:textId="77777777">
        <w:tc>
          <w:tcPr>
            <w:cnfStyle w:val="001000000000" w:firstRow="0" w:lastRow="0" w:firstColumn="1" w:lastColumn="0" w:oddVBand="0" w:evenVBand="0" w:oddHBand="0" w:evenHBand="0" w:firstRowFirstColumn="0" w:firstRowLastColumn="0" w:lastRowFirstColumn="0" w:lastRowLastColumn="0"/>
            <w:tcW w:w="4214" w:type="dxa"/>
          </w:tcPr>
          <w:p w14:paraId="19B9F379" w14:textId="77777777" w:rsidR="00182709" w:rsidRDefault="0044097C">
            <w:r>
              <w:t>Loans to third parties</w:t>
            </w:r>
          </w:p>
        </w:tc>
        <w:tc>
          <w:tcPr>
            <w:tcW w:w="1008" w:type="dxa"/>
          </w:tcPr>
          <w:p w14:paraId="0DBE255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2ABB09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FA30C0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D10C9E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81E4B3B" w14:textId="77777777" w:rsidR="00182709" w:rsidRDefault="0044097C">
            <w:pPr>
              <w:cnfStyle w:val="000000000000" w:firstRow="0" w:lastRow="0" w:firstColumn="0" w:lastColumn="0" w:oddVBand="0" w:evenVBand="0" w:oddHBand="0" w:evenHBand="0" w:firstRowFirstColumn="0" w:firstRowLastColumn="0" w:lastRowFirstColumn="0" w:lastRowLastColumn="0"/>
            </w:pPr>
            <w:r>
              <w:t>485</w:t>
            </w:r>
          </w:p>
        </w:tc>
        <w:tc>
          <w:tcPr>
            <w:tcW w:w="1330" w:type="dxa"/>
          </w:tcPr>
          <w:p w14:paraId="5D38E5A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6ACE5177" w14:textId="77777777" w:rsidR="00182709" w:rsidRDefault="0044097C">
            <w:pPr>
              <w:cnfStyle w:val="000000000000" w:firstRow="0" w:lastRow="0" w:firstColumn="0" w:lastColumn="0" w:oddVBand="0" w:evenVBand="0" w:oddHBand="0" w:evenHBand="0" w:firstRowFirstColumn="0" w:firstRowLastColumn="0" w:lastRowFirstColumn="0" w:lastRowLastColumn="0"/>
            </w:pPr>
            <w:r>
              <w:t>485</w:t>
            </w:r>
          </w:p>
        </w:tc>
      </w:tr>
      <w:tr w:rsidR="00182709" w14:paraId="2DA8AA37" w14:textId="77777777">
        <w:tc>
          <w:tcPr>
            <w:cnfStyle w:val="001000000000" w:firstRow="0" w:lastRow="0" w:firstColumn="1" w:lastColumn="0" w:oddVBand="0" w:evenVBand="0" w:oddHBand="0" w:evenHBand="0" w:firstRowFirstColumn="0" w:firstRowLastColumn="0" w:lastRowFirstColumn="0" w:lastRowLastColumn="0"/>
            <w:tcW w:w="4214" w:type="dxa"/>
          </w:tcPr>
          <w:p w14:paraId="215E2040" w14:textId="77777777" w:rsidR="00182709" w:rsidRDefault="0044097C">
            <w:r>
              <w:t>Accrued investment income</w:t>
            </w:r>
          </w:p>
        </w:tc>
        <w:tc>
          <w:tcPr>
            <w:tcW w:w="1008" w:type="dxa"/>
          </w:tcPr>
          <w:p w14:paraId="33080B5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6A71AF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3C3195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EB069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0C9BC10"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1 058</w:t>
            </w:r>
          </w:p>
        </w:tc>
        <w:tc>
          <w:tcPr>
            <w:tcW w:w="1330" w:type="dxa"/>
          </w:tcPr>
          <w:p w14:paraId="36408B8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65349799"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1 058</w:t>
            </w:r>
          </w:p>
        </w:tc>
      </w:tr>
      <w:tr w:rsidR="00182709" w14:paraId="02D4D4DB" w14:textId="77777777">
        <w:tc>
          <w:tcPr>
            <w:cnfStyle w:val="001000000000" w:firstRow="0" w:lastRow="0" w:firstColumn="1" w:lastColumn="0" w:oddVBand="0" w:evenVBand="0" w:oddHBand="0" w:evenHBand="0" w:firstRowFirstColumn="0" w:firstRowLastColumn="0" w:lastRowFirstColumn="0" w:lastRowLastColumn="0"/>
            <w:tcW w:w="4214" w:type="dxa"/>
          </w:tcPr>
          <w:p w14:paraId="3A96CD75" w14:textId="77777777" w:rsidR="00182709" w:rsidRDefault="0044097C">
            <w:r>
              <w:t>Other receivables</w:t>
            </w:r>
          </w:p>
        </w:tc>
        <w:tc>
          <w:tcPr>
            <w:tcW w:w="1008" w:type="dxa"/>
          </w:tcPr>
          <w:p w14:paraId="4654D4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F615CC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531DB4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4B4D14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17CCB4DC" w14:textId="77777777" w:rsidR="00182709" w:rsidRDefault="0044097C">
            <w:pPr>
              <w:cnfStyle w:val="000000000000" w:firstRow="0" w:lastRow="0" w:firstColumn="0" w:lastColumn="0" w:oddVBand="0" w:evenVBand="0" w:oddHBand="0" w:evenHBand="0" w:firstRowFirstColumn="0" w:firstRowLastColumn="0" w:lastRowFirstColumn="0" w:lastRowLastColumn="0"/>
            </w:pPr>
            <w:r>
              <w:t>438</w:t>
            </w:r>
          </w:p>
        </w:tc>
        <w:tc>
          <w:tcPr>
            <w:tcW w:w="1330" w:type="dxa"/>
          </w:tcPr>
          <w:p w14:paraId="2343144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5F6D6552" w14:textId="77777777" w:rsidR="00182709" w:rsidRDefault="0044097C">
            <w:pPr>
              <w:cnfStyle w:val="000000000000" w:firstRow="0" w:lastRow="0" w:firstColumn="0" w:lastColumn="0" w:oddVBand="0" w:evenVBand="0" w:oddHBand="0" w:evenHBand="0" w:firstRowFirstColumn="0" w:firstRowLastColumn="0" w:lastRowFirstColumn="0" w:lastRowLastColumn="0"/>
            </w:pPr>
            <w:r>
              <w:t>438</w:t>
            </w:r>
          </w:p>
        </w:tc>
      </w:tr>
      <w:tr w:rsidR="00182709" w14:paraId="59CFE034" w14:textId="77777777">
        <w:tc>
          <w:tcPr>
            <w:cnfStyle w:val="001000000000" w:firstRow="0" w:lastRow="0" w:firstColumn="1" w:lastColumn="0" w:oddVBand="0" w:evenVBand="0" w:oddHBand="0" w:evenHBand="0" w:firstRowFirstColumn="0" w:firstRowLastColumn="0" w:lastRowFirstColumn="0" w:lastRowLastColumn="0"/>
            <w:tcW w:w="4214" w:type="dxa"/>
          </w:tcPr>
          <w:p w14:paraId="39F695C6" w14:textId="77777777" w:rsidR="00182709" w:rsidRDefault="0044097C">
            <w:r>
              <w:rPr>
                <w:b/>
              </w:rPr>
              <w:t>Investments and other contractual financial assets</w:t>
            </w:r>
          </w:p>
        </w:tc>
        <w:tc>
          <w:tcPr>
            <w:tcW w:w="1008" w:type="dxa"/>
          </w:tcPr>
          <w:p w14:paraId="43DC99F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010B325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597AB8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469CCF3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08C6163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24DD6D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6F38318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49C0F917" w14:textId="77777777">
        <w:tc>
          <w:tcPr>
            <w:cnfStyle w:val="001000000000" w:firstRow="0" w:lastRow="0" w:firstColumn="1" w:lastColumn="0" w:oddVBand="0" w:evenVBand="0" w:oddHBand="0" w:evenHBand="0" w:firstRowFirstColumn="0" w:firstRowLastColumn="0" w:lastRowFirstColumn="0" w:lastRowLastColumn="0"/>
            <w:tcW w:w="4214" w:type="dxa"/>
          </w:tcPr>
          <w:p w14:paraId="16D90987" w14:textId="77777777" w:rsidR="00182709" w:rsidRDefault="0044097C">
            <w:r>
              <w:t>Equities – listed securities</w:t>
            </w:r>
          </w:p>
        </w:tc>
        <w:tc>
          <w:tcPr>
            <w:tcW w:w="1008" w:type="dxa"/>
          </w:tcPr>
          <w:p w14:paraId="1F4F435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ED6CBB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151783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D7E3FFB"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1 492</w:t>
            </w:r>
          </w:p>
        </w:tc>
        <w:tc>
          <w:tcPr>
            <w:tcW w:w="1763" w:type="dxa"/>
          </w:tcPr>
          <w:p w14:paraId="2F69642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933786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469E80D3" w14:textId="77777777" w:rsidR="00182709" w:rsidRDefault="0044097C">
            <w:pPr>
              <w:cnfStyle w:val="000000000000" w:firstRow="0" w:lastRow="0" w:firstColumn="0" w:lastColumn="0" w:oddVBand="0" w:evenVBand="0" w:oddHBand="0" w:evenHBand="0" w:firstRowFirstColumn="0" w:firstRowLastColumn="0" w:lastRowFirstColumn="0" w:lastRowLastColumn="0"/>
            </w:pPr>
            <w:r>
              <w:t>1 492</w:t>
            </w:r>
          </w:p>
        </w:tc>
      </w:tr>
      <w:tr w:rsidR="00182709" w14:paraId="011CFA4B" w14:textId="77777777">
        <w:tc>
          <w:tcPr>
            <w:cnfStyle w:val="001000000000" w:firstRow="0" w:lastRow="0" w:firstColumn="1" w:lastColumn="0" w:oddVBand="0" w:evenVBand="0" w:oddHBand="0" w:evenHBand="0" w:firstRowFirstColumn="0" w:firstRowLastColumn="0" w:lastRowFirstColumn="0" w:lastRowLastColumn="0"/>
            <w:tcW w:w="4214" w:type="dxa"/>
          </w:tcPr>
          <w:p w14:paraId="0B20CA6A" w14:textId="77777777" w:rsidR="00182709" w:rsidRDefault="0044097C">
            <w:r>
              <w:t>Equities – unlisted securities</w:t>
            </w:r>
          </w:p>
        </w:tc>
        <w:tc>
          <w:tcPr>
            <w:tcW w:w="1008" w:type="dxa"/>
          </w:tcPr>
          <w:p w14:paraId="0401FCE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B5107A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4EA09A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0254A0E9" w14:textId="77777777" w:rsidR="00182709" w:rsidRDefault="0044097C">
            <w:pPr>
              <w:cnfStyle w:val="000000000000" w:firstRow="0" w:lastRow="0" w:firstColumn="0" w:lastColumn="0" w:oddVBand="0" w:evenVBand="0" w:oddHBand="0" w:evenHBand="0" w:firstRowFirstColumn="0" w:firstRowLastColumn="0" w:lastRowFirstColumn="0" w:lastRowLastColumn="0"/>
            </w:pPr>
            <w:r>
              <w:t>538</w:t>
            </w:r>
          </w:p>
        </w:tc>
        <w:tc>
          <w:tcPr>
            <w:tcW w:w="1763" w:type="dxa"/>
          </w:tcPr>
          <w:p w14:paraId="03ADADC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38F0D92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0AC6A10C" w14:textId="77777777" w:rsidR="00182709" w:rsidRDefault="0044097C">
            <w:pPr>
              <w:cnfStyle w:val="000000000000" w:firstRow="0" w:lastRow="0" w:firstColumn="0" w:lastColumn="0" w:oddVBand="0" w:evenVBand="0" w:oddHBand="0" w:evenHBand="0" w:firstRowFirstColumn="0" w:firstRowLastColumn="0" w:lastRowFirstColumn="0" w:lastRowLastColumn="0"/>
            </w:pPr>
            <w:r>
              <w:t>538</w:t>
            </w:r>
          </w:p>
        </w:tc>
      </w:tr>
      <w:tr w:rsidR="00182709" w14:paraId="6C8E375F" w14:textId="77777777">
        <w:tc>
          <w:tcPr>
            <w:cnfStyle w:val="001000000000" w:firstRow="0" w:lastRow="0" w:firstColumn="1" w:lastColumn="0" w:oddVBand="0" w:evenVBand="0" w:oddHBand="0" w:evenHBand="0" w:firstRowFirstColumn="0" w:firstRowLastColumn="0" w:lastRowFirstColumn="0" w:lastRowLastColumn="0"/>
            <w:tcW w:w="4214" w:type="dxa"/>
          </w:tcPr>
          <w:p w14:paraId="4FBAB3CF" w14:textId="77777777" w:rsidR="00182709" w:rsidRDefault="0044097C">
            <w:r>
              <w:t>Managed investment schemes</w:t>
            </w:r>
          </w:p>
        </w:tc>
        <w:tc>
          <w:tcPr>
            <w:tcW w:w="1008" w:type="dxa"/>
          </w:tcPr>
          <w:p w14:paraId="4890FE9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7D84C05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8D4051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8D395BA" w14:textId="77777777" w:rsidR="00182709" w:rsidRDefault="0044097C">
            <w:pPr>
              <w:cnfStyle w:val="000000000000" w:firstRow="0" w:lastRow="0" w:firstColumn="0" w:lastColumn="0" w:oddVBand="0" w:evenVBand="0" w:oddHBand="0" w:evenHBand="0" w:firstRowFirstColumn="0" w:firstRowLastColumn="0" w:lastRowFirstColumn="0" w:lastRowLastColumn="0"/>
            </w:pPr>
            <w:r>
              <w:t>2 149</w:t>
            </w:r>
          </w:p>
        </w:tc>
        <w:tc>
          <w:tcPr>
            <w:tcW w:w="1763" w:type="dxa"/>
          </w:tcPr>
          <w:p w14:paraId="5823C2A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6EEF88C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76606EF9" w14:textId="77777777" w:rsidR="00182709" w:rsidRDefault="0044097C">
            <w:pPr>
              <w:cnfStyle w:val="000000000000" w:firstRow="0" w:lastRow="0" w:firstColumn="0" w:lastColumn="0" w:oddVBand="0" w:evenVBand="0" w:oddHBand="0" w:evenHBand="0" w:firstRowFirstColumn="0" w:firstRowLastColumn="0" w:lastRowFirstColumn="0" w:lastRowLastColumn="0"/>
            </w:pPr>
            <w:r>
              <w:t>2 149</w:t>
            </w:r>
          </w:p>
        </w:tc>
      </w:tr>
      <w:tr w:rsidR="00182709" w14:paraId="22D98EAE" w14:textId="77777777">
        <w:tc>
          <w:tcPr>
            <w:cnfStyle w:val="001000000000" w:firstRow="0" w:lastRow="0" w:firstColumn="1" w:lastColumn="0" w:oddVBand="0" w:evenVBand="0" w:oddHBand="0" w:evenHBand="0" w:firstRowFirstColumn="0" w:firstRowLastColumn="0" w:lastRowFirstColumn="0" w:lastRowLastColumn="0"/>
            <w:tcW w:w="4214" w:type="dxa"/>
          </w:tcPr>
          <w:p w14:paraId="26EF2D87" w14:textId="77777777" w:rsidR="00182709" w:rsidRDefault="0044097C">
            <w:r>
              <w:t>Term deposits</w:t>
            </w:r>
          </w:p>
        </w:tc>
        <w:tc>
          <w:tcPr>
            <w:tcW w:w="1008" w:type="dxa"/>
          </w:tcPr>
          <w:p w14:paraId="40B24A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2ED05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9F1187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145521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B6C3983" w14:textId="77777777" w:rsidR="00182709" w:rsidRDefault="0044097C">
            <w:pPr>
              <w:cnfStyle w:val="000000000000" w:firstRow="0" w:lastRow="0" w:firstColumn="0" w:lastColumn="0" w:oddVBand="0" w:evenVBand="0" w:oddHBand="0" w:evenHBand="0" w:firstRowFirstColumn="0" w:firstRowLastColumn="0" w:lastRowFirstColumn="0" w:lastRowLastColumn="0"/>
            </w:pPr>
            <w:r>
              <w:t>5 130</w:t>
            </w:r>
          </w:p>
        </w:tc>
        <w:tc>
          <w:tcPr>
            <w:tcW w:w="1330" w:type="dxa"/>
          </w:tcPr>
          <w:p w14:paraId="01E7570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Pr>
          <w:p w14:paraId="23021B2F" w14:textId="77777777" w:rsidR="00182709" w:rsidRDefault="0044097C">
            <w:pPr>
              <w:cnfStyle w:val="000000000000" w:firstRow="0" w:lastRow="0" w:firstColumn="0" w:lastColumn="0" w:oddVBand="0" w:evenVBand="0" w:oddHBand="0" w:evenHBand="0" w:firstRowFirstColumn="0" w:firstRowLastColumn="0" w:lastRowFirstColumn="0" w:lastRowLastColumn="0"/>
            </w:pPr>
            <w:r>
              <w:t>5 130</w:t>
            </w:r>
          </w:p>
        </w:tc>
      </w:tr>
      <w:tr w:rsidR="00182709" w14:paraId="537BB996"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bottom w:val="single" w:sz="12" w:space="0" w:color="auto"/>
            </w:tcBorders>
          </w:tcPr>
          <w:p w14:paraId="0F4360F6" w14:textId="77777777" w:rsidR="00182709" w:rsidRDefault="0044097C">
            <w:r>
              <w:t>Debt securities</w:t>
            </w:r>
          </w:p>
        </w:tc>
        <w:tc>
          <w:tcPr>
            <w:tcW w:w="1008" w:type="dxa"/>
            <w:tcBorders>
              <w:bottom w:val="single" w:sz="12" w:space="0" w:color="auto"/>
            </w:tcBorders>
          </w:tcPr>
          <w:p w14:paraId="26EB76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Borders>
              <w:bottom w:val="single" w:sz="12" w:space="0" w:color="auto"/>
            </w:tcBorders>
          </w:tcPr>
          <w:p w14:paraId="3223D6D5" w14:textId="77777777" w:rsidR="00182709" w:rsidRDefault="0044097C">
            <w:pPr>
              <w:cnfStyle w:val="000000000000" w:firstRow="0" w:lastRow="0" w:firstColumn="0" w:lastColumn="0" w:oddVBand="0" w:evenVBand="0" w:oddHBand="0" w:evenHBand="0" w:firstRowFirstColumn="0" w:firstRowLastColumn="0" w:lastRowFirstColumn="0" w:lastRowLastColumn="0"/>
            </w:pPr>
            <w:r>
              <w:t>2 409</w:t>
            </w:r>
          </w:p>
        </w:tc>
        <w:tc>
          <w:tcPr>
            <w:tcW w:w="1974" w:type="dxa"/>
            <w:tcBorders>
              <w:bottom w:val="single" w:sz="12" w:space="0" w:color="auto"/>
            </w:tcBorders>
          </w:tcPr>
          <w:p w14:paraId="23F5669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Borders>
              <w:bottom w:val="single" w:sz="12" w:space="0" w:color="auto"/>
            </w:tcBorders>
          </w:tcPr>
          <w:p w14:paraId="186DBE6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452EE99C" w14:textId="77777777" w:rsidR="00182709" w:rsidRDefault="0044097C">
            <w:pPr>
              <w:cnfStyle w:val="000000000000" w:firstRow="0" w:lastRow="0" w:firstColumn="0" w:lastColumn="0" w:oddVBand="0" w:evenVBand="0" w:oddHBand="0" w:evenHBand="0" w:firstRowFirstColumn="0" w:firstRowLastColumn="0" w:lastRowFirstColumn="0" w:lastRowLastColumn="0"/>
            </w:pPr>
            <w:r>
              <w:t>5 013</w:t>
            </w:r>
          </w:p>
        </w:tc>
        <w:tc>
          <w:tcPr>
            <w:tcW w:w="1330" w:type="dxa"/>
            <w:tcBorders>
              <w:bottom w:val="single" w:sz="12" w:space="0" w:color="auto"/>
            </w:tcBorders>
          </w:tcPr>
          <w:p w14:paraId="33C4DE3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Borders>
              <w:bottom w:val="single" w:sz="12" w:space="0" w:color="auto"/>
            </w:tcBorders>
          </w:tcPr>
          <w:p w14:paraId="228E9876" w14:textId="77777777" w:rsidR="00182709" w:rsidRDefault="0044097C">
            <w:pPr>
              <w:cnfStyle w:val="000000000000" w:firstRow="0" w:lastRow="0" w:firstColumn="0" w:lastColumn="0" w:oddVBand="0" w:evenVBand="0" w:oddHBand="0" w:evenHBand="0" w:firstRowFirstColumn="0" w:firstRowLastColumn="0" w:lastRowFirstColumn="0" w:lastRowLastColumn="0"/>
            </w:pPr>
            <w:r>
              <w:t>7 422</w:t>
            </w:r>
          </w:p>
        </w:tc>
      </w:tr>
      <w:tr w:rsidR="00671D55" w14:paraId="6B423742" w14:textId="77777777" w:rsidTr="00182709">
        <w:tc>
          <w:tcPr>
            <w:cnfStyle w:val="001000000000" w:firstRow="0" w:lastRow="0" w:firstColumn="1" w:lastColumn="0" w:oddVBand="0" w:evenVBand="0" w:oddHBand="0" w:evenHBand="0" w:firstRowFirstColumn="0" w:firstRowLastColumn="0" w:lastRowFirstColumn="0" w:lastRowLastColumn="0"/>
            <w:tcW w:w="4214" w:type="dxa"/>
          </w:tcPr>
          <w:p w14:paraId="4C8B9DB6" w14:textId="77777777" w:rsidR="00182709" w:rsidRDefault="0044097C">
            <w:r>
              <w:rPr>
                <w:b/>
              </w:rPr>
              <w:t>Total contractual financial assets</w:t>
            </w:r>
          </w:p>
        </w:tc>
        <w:tc>
          <w:tcPr>
            <w:tcW w:w="1008" w:type="dxa"/>
          </w:tcPr>
          <w:p w14:paraId="232E3060" w14:textId="786747C1" w:rsidR="00182709" w:rsidRDefault="0044097C">
            <w:pPr>
              <w:cnfStyle w:val="000000000000" w:firstRow="0" w:lastRow="0" w:firstColumn="0" w:lastColumn="0" w:oddVBand="0" w:evenVBand="0" w:oddHBand="0" w:evenHBand="0" w:firstRowFirstColumn="0" w:firstRowLastColumn="0" w:lastRowFirstColumn="0" w:lastRowLastColumn="0"/>
            </w:pPr>
            <w:r>
              <w:rPr>
                <w:b/>
              </w:rPr>
              <w:t>6</w:t>
            </w:r>
            <w:r w:rsidR="00BE4791">
              <w:rPr>
                <w:b/>
              </w:rPr>
              <w:t>6</w:t>
            </w:r>
            <w:r>
              <w:rPr>
                <w:b/>
              </w:rPr>
              <w:t xml:space="preserve"> </w:t>
            </w:r>
            <w:r w:rsidR="00BE4791">
              <w:rPr>
                <w:b/>
              </w:rPr>
              <w:t>44</w:t>
            </w:r>
            <w:r>
              <w:rPr>
                <w:b/>
              </w:rPr>
              <w:t>3</w:t>
            </w:r>
          </w:p>
        </w:tc>
        <w:tc>
          <w:tcPr>
            <w:tcW w:w="1791" w:type="dxa"/>
          </w:tcPr>
          <w:p w14:paraId="3E02A3D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2 409</w:t>
            </w:r>
          </w:p>
        </w:tc>
        <w:tc>
          <w:tcPr>
            <w:tcW w:w="1974" w:type="dxa"/>
          </w:tcPr>
          <w:p w14:paraId="065589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624" w:type="dxa"/>
          </w:tcPr>
          <w:p w14:paraId="1A8574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4 179</w:t>
            </w:r>
          </w:p>
        </w:tc>
        <w:tc>
          <w:tcPr>
            <w:tcW w:w="1763" w:type="dxa"/>
          </w:tcPr>
          <w:p w14:paraId="0CD19B4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14 320</w:t>
            </w:r>
          </w:p>
        </w:tc>
        <w:tc>
          <w:tcPr>
            <w:tcW w:w="1330" w:type="dxa"/>
          </w:tcPr>
          <w:p w14:paraId="603DAB8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25" w:type="dxa"/>
          </w:tcPr>
          <w:p w14:paraId="38EB6777" w14:textId="6D3BA56A" w:rsidR="00182709" w:rsidRDefault="0044097C">
            <w:pPr>
              <w:cnfStyle w:val="000000000000" w:firstRow="0" w:lastRow="0" w:firstColumn="0" w:lastColumn="0" w:oddVBand="0" w:evenVBand="0" w:oddHBand="0" w:evenHBand="0" w:firstRowFirstColumn="0" w:firstRowLastColumn="0" w:lastRowFirstColumn="0" w:lastRowLastColumn="0"/>
            </w:pPr>
            <w:r>
              <w:rPr>
                <w:b/>
              </w:rPr>
              <w:t>8</w:t>
            </w:r>
            <w:r w:rsidR="00C3289A">
              <w:rPr>
                <w:b/>
              </w:rPr>
              <w:t>7</w:t>
            </w:r>
            <w:r>
              <w:rPr>
                <w:b/>
              </w:rPr>
              <w:t xml:space="preserve"> </w:t>
            </w:r>
            <w:r w:rsidR="00C3289A">
              <w:rPr>
                <w:b/>
              </w:rPr>
              <w:t>35</w:t>
            </w:r>
            <w:r>
              <w:rPr>
                <w:b/>
              </w:rPr>
              <w:t>1</w:t>
            </w:r>
          </w:p>
        </w:tc>
      </w:tr>
      <w:tr w:rsidR="00671D55" w14:paraId="7864F598" w14:textId="77777777" w:rsidTr="00182709">
        <w:tc>
          <w:tcPr>
            <w:cnfStyle w:val="001000000000" w:firstRow="0" w:lastRow="0" w:firstColumn="1" w:lastColumn="0" w:oddVBand="0" w:evenVBand="0" w:oddHBand="0" w:evenHBand="0" w:firstRowFirstColumn="0" w:firstRowLastColumn="0" w:lastRowFirstColumn="0" w:lastRowLastColumn="0"/>
            <w:tcW w:w="4214" w:type="dxa"/>
          </w:tcPr>
          <w:p w14:paraId="54BB1C7E" w14:textId="77777777" w:rsidR="00182709" w:rsidRDefault="0044097C">
            <w:r>
              <w:rPr>
                <w:b/>
              </w:rPr>
              <w:t>Contractual financial liabilities</w:t>
            </w:r>
          </w:p>
        </w:tc>
        <w:tc>
          <w:tcPr>
            <w:tcW w:w="1008" w:type="dxa"/>
          </w:tcPr>
          <w:p w14:paraId="2940DF5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38C611E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1AAD02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3100F35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0C85064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664EED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7CFFA59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9CB18CC" w14:textId="77777777">
        <w:tc>
          <w:tcPr>
            <w:cnfStyle w:val="001000000000" w:firstRow="0" w:lastRow="0" w:firstColumn="1" w:lastColumn="0" w:oddVBand="0" w:evenVBand="0" w:oddHBand="0" w:evenHBand="0" w:firstRowFirstColumn="0" w:firstRowLastColumn="0" w:lastRowFirstColumn="0" w:lastRowLastColumn="0"/>
            <w:tcW w:w="4214" w:type="dxa"/>
          </w:tcPr>
          <w:p w14:paraId="33F3288D" w14:textId="77777777" w:rsidR="00182709" w:rsidRDefault="0044097C">
            <w:r>
              <w:rPr>
                <w:b/>
              </w:rPr>
              <w:t>Payables</w:t>
            </w:r>
            <w:r>
              <w:rPr>
                <w:b/>
                <w:vertAlign w:val="superscript"/>
              </w:rPr>
              <w:t xml:space="preserve"> (a)</w:t>
            </w:r>
          </w:p>
        </w:tc>
        <w:tc>
          <w:tcPr>
            <w:tcW w:w="1008" w:type="dxa"/>
          </w:tcPr>
          <w:p w14:paraId="126787D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28D3C63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5F67BD7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29DB57E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5EC796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29E0C4D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2EEBDEB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B6516F0" w14:textId="77777777">
        <w:tc>
          <w:tcPr>
            <w:cnfStyle w:val="001000000000" w:firstRow="0" w:lastRow="0" w:firstColumn="1" w:lastColumn="0" w:oddVBand="0" w:evenVBand="0" w:oddHBand="0" w:evenHBand="0" w:firstRowFirstColumn="0" w:firstRowLastColumn="0" w:lastRowFirstColumn="0" w:lastRowLastColumn="0"/>
            <w:tcW w:w="4214" w:type="dxa"/>
          </w:tcPr>
          <w:p w14:paraId="6F83248C" w14:textId="77777777" w:rsidR="00182709" w:rsidRDefault="0044097C">
            <w:r>
              <w:t>Supplies and services</w:t>
            </w:r>
          </w:p>
        </w:tc>
        <w:tc>
          <w:tcPr>
            <w:tcW w:w="1008" w:type="dxa"/>
          </w:tcPr>
          <w:p w14:paraId="151DF1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8D67CF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178408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F4EFB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541F68A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53FDAAF3"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c>
          <w:tcPr>
            <w:tcW w:w="925" w:type="dxa"/>
          </w:tcPr>
          <w:p w14:paraId="45940A8A"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3 387</w:t>
            </w:r>
          </w:p>
        </w:tc>
      </w:tr>
      <w:tr w:rsidR="00182709" w14:paraId="04CDCA95" w14:textId="77777777">
        <w:tc>
          <w:tcPr>
            <w:cnfStyle w:val="001000000000" w:firstRow="0" w:lastRow="0" w:firstColumn="1" w:lastColumn="0" w:oddVBand="0" w:evenVBand="0" w:oddHBand="0" w:evenHBand="0" w:firstRowFirstColumn="0" w:firstRowLastColumn="0" w:lastRowFirstColumn="0" w:lastRowLastColumn="0"/>
            <w:tcW w:w="4214" w:type="dxa"/>
          </w:tcPr>
          <w:p w14:paraId="502DE7FA" w14:textId="77777777" w:rsidR="00182709" w:rsidRDefault="0044097C">
            <w:r>
              <w:t>Amounts payable to government and agencies</w:t>
            </w:r>
          </w:p>
        </w:tc>
        <w:tc>
          <w:tcPr>
            <w:tcW w:w="1008" w:type="dxa"/>
          </w:tcPr>
          <w:p w14:paraId="0C29462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67501F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71D9124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F9E4A4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694CA5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522E35C"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c>
          <w:tcPr>
            <w:tcW w:w="925" w:type="dxa"/>
          </w:tcPr>
          <w:p w14:paraId="5679415F" w14:textId="77777777" w:rsidR="00182709" w:rsidRDefault="0044097C">
            <w:pPr>
              <w:cnfStyle w:val="000000000000" w:firstRow="0" w:lastRow="0" w:firstColumn="0" w:lastColumn="0" w:oddVBand="0" w:evenVBand="0" w:oddHBand="0" w:evenHBand="0" w:firstRowFirstColumn="0" w:firstRowLastColumn="0" w:lastRowFirstColumn="0" w:lastRowLastColumn="0"/>
            </w:pPr>
            <w:r>
              <w:t>1 796</w:t>
            </w:r>
          </w:p>
        </w:tc>
      </w:tr>
      <w:tr w:rsidR="00182709" w14:paraId="5793F2FF" w14:textId="77777777">
        <w:tc>
          <w:tcPr>
            <w:cnfStyle w:val="001000000000" w:firstRow="0" w:lastRow="0" w:firstColumn="1" w:lastColumn="0" w:oddVBand="0" w:evenVBand="0" w:oddHBand="0" w:evenHBand="0" w:firstRowFirstColumn="0" w:firstRowLastColumn="0" w:lastRowFirstColumn="0" w:lastRowLastColumn="0"/>
            <w:tcW w:w="4214" w:type="dxa"/>
          </w:tcPr>
          <w:p w14:paraId="65E16D46" w14:textId="77777777" w:rsidR="00182709" w:rsidRDefault="0044097C">
            <w:r>
              <w:t>Other payables</w:t>
            </w:r>
          </w:p>
        </w:tc>
        <w:tc>
          <w:tcPr>
            <w:tcW w:w="1008" w:type="dxa"/>
          </w:tcPr>
          <w:p w14:paraId="142A0AA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2BE72B3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E71BD9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4C821C5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36855BE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35240FF4"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c>
          <w:tcPr>
            <w:tcW w:w="925" w:type="dxa"/>
          </w:tcPr>
          <w:p w14:paraId="4384C55A" w14:textId="77777777" w:rsidR="00182709" w:rsidRDefault="0044097C">
            <w:pPr>
              <w:cnfStyle w:val="000000000000" w:firstRow="0" w:lastRow="0" w:firstColumn="0" w:lastColumn="0" w:oddVBand="0" w:evenVBand="0" w:oddHBand="0" w:evenHBand="0" w:firstRowFirstColumn="0" w:firstRowLastColumn="0" w:lastRowFirstColumn="0" w:lastRowLastColumn="0"/>
            </w:pPr>
            <w:r>
              <w:t>8 925</w:t>
            </w:r>
          </w:p>
        </w:tc>
      </w:tr>
      <w:tr w:rsidR="00182709" w14:paraId="285FA2F6" w14:textId="77777777">
        <w:tc>
          <w:tcPr>
            <w:cnfStyle w:val="001000000000" w:firstRow="0" w:lastRow="0" w:firstColumn="1" w:lastColumn="0" w:oddVBand="0" w:evenVBand="0" w:oddHBand="0" w:evenHBand="0" w:firstRowFirstColumn="0" w:firstRowLastColumn="0" w:lastRowFirstColumn="0" w:lastRowLastColumn="0"/>
            <w:tcW w:w="4214" w:type="dxa"/>
          </w:tcPr>
          <w:p w14:paraId="61DE10A7" w14:textId="77777777" w:rsidR="00182709" w:rsidRDefault="0044097C">
            <w:r>
              <w:rPr>
                <w:b/>
              </w:rPr>
              <w:t>Borrowings</w:t>
            </w:r>
          </w:p>
        </w:tc>
        <w:tc>
          <w:tcPr>
            <w:tcW w:w="1008" w:type="dxa"/>
          </w:tcPr>
          <w:p w14:paraId="1F31C5B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91" w:type="dxa"/>
          </w:tcPr>
          <w:p w14:paraId="537AB84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974" w:type="dxa"/>
          </w:tcPr>
          <w:p w14:paraId="25FD2C0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624" w:type="dxa"/>
          </w:tcPr>
          <w:p w14:paraId="7C8DE7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763" w:type="dxa"/>
          </w:tcPr>
          <w:p w14:paraId="6AF7CC4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30" w:type="dxa"/>
          </w:tcPr>
          <w:p w14:paraId="3F63CC0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25" w:type="dxa"/>
          </w:tcPr>
          <w:p w14:paraId="7297107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1CA1D3F7" w14:textId="77777777">
        <w:tc>
          <w:tcPr>
            <w:cnfStyle w:val="001000000000" w:firstRow="0" w:lastRow="0" w:firstColumn="1" w:lastColumn="0" w:oddVBand="0" w:evenVBand="0" w:oddHBand="0" w:evenHBand="0" w:firstRowFirstColumn="0" w:firstRowLastColumn="0" w:lastRowFirstColumn="0" w:lastRowLastColumn="0"/>
            <w:tcW w:w="4214" w:type="dxa"/>
          </w:tcPr>
          <w:p w14:paraId="77FB8969" w14:textId="77777777" w:rsidR="00182709" w:rsidRDefault="0044097C">
            <w:r>
              <w:t>Bank overdrafts</w:t>
            </w:r>
          </w:p>
        </w:tc>
        <w:tc>
          <w:tcPr>
            <w:tcW w:w="1008" w:type="dxa"/>
          </w:tcPr>
          <w:p w14:paraId="07D37D6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577DAC0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0B3CA4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077836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3F7C1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2BBE51A"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c>
          <w:tcPr>
            <w:tcW w:w="925" w:type="dxa"/>
          </w:tcPr>
          <w:p w14:paraId="7D50B7A3" w14:textId="77777777" w:rsidR="00182709" w:rsidRDefault="0044097C">
            <w:pPr>
              <w:cnfStyle w:val="000000000000" w:firstRow="0" w:lastRow="0" w:firstColumn="0" w:lastColumn="0" w:oddVBand="0" w:evenVBand="0" w:oddHBand="0" w:evenHBand="0" w:firstRowFirstColumn="0" w:firstRowLastColumn="0" w:lastRowFirstColumn="0" w:lastRowLastColumn="0"/>
            </w:pPr>
            <w:r>
              <w:t>5 437</w:t>
            </w:r>
          </w:p>
        </w:tc>
      </w:tr>
      <w:tr w:rsidR="00182709" w14:paraId="7D64C4DD" w14:textId="77777777">
        <w:tc>
          <w:tcPr>
            <w:cnfStyle w:val="001000000000" w:firstRow="0" w:lastRow="0" w:firstColumn="1" w:lastColumn="0" w:oddVBand="0" w:evenVBand="0" w:oddHBand="0" w:evenHBand="0" w:firstRowFirstColumn="0" w:firstRowLastColumn="0" w:lastRowFirstColumn="0" w:lastRowLastColumn="0"/>
            <w:tcW w:w="4214" w:type="dxa"/>
          </w:tcPr>
          <w:p w14:paraId="074D7CEE" w14:textId="77777777" w:rsidR="00182709" w:rsidRDefault="0044097C">
            <w:r>
              <w:t>Lease liabilities</w:t>
            </w:r>
          </w:p>
        </w:tc>
        <w:tc>
          <w:tcPr>
            <w:tcW w:w="1008" w:type="dxa"/>
          </w:tcPr>
          <w:p w14:paraId="42BE73E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F713CA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630EDC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E1E784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1F83FB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BB10AC1"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925" w:type="dxa"/>
          </w:tcPr>
          <w:p w14:paraId="21F6353A"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r>
      <w:tr w:rsidR="00182709" w14:paraId="297628D5" w14:textId="77777777">
        <w:tc>
          <w:tcPr>
            <w:cnfStyle w:val="001000000000" w:firstRow="0" w:lastRow="0" w:firstColumn="1" w:lastColumn="0" w:oddVBand="0" w:evenVBand="0" w:oddHBand="0" w:evenHBand="0" w:firstRowFirstColumn="0" w:firstRowLastColumn="0" w:lastRowFirstColumn="0" w:lastRowLastColumn="0"/>
            <w:tcW w:w="4214" w:type="dxa"/>
          </w:tcPr>
          <w:p w14:paraId="1DE1477A" w14:textId="799B0D9F" w:rsidR="00182709" w:rsidRDefault="0044097C">
            <w:r>
              <w:t xml:space="preserve">Service </w:t>
            </w:r>
            <w:r w:rsidR="00A87414">
              <w:t>concession</w:t>
            </w:r>
            <w:r>
              <w:t xml:space="preserve"> financial liability</w:t>
            </w:r>
          </w:p>
        </w:tc>
        <w:tc>
          <w:tcPr>
            <w:tcW w:w="1008" w:type="dxa"/>
          </w:tcPr>
          <w:p w14:paraId="667FCA1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4F78CC1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683A723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253D4682"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3AC6B37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73E04FBF"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925" w:type="dxa"/>
          </w:tcPr>
          <w:p w14:paraId="7F6038F6"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r>
      <w:tr w:rsidR="00182709" w14:paraId="61D529D0" w14:textId="77777777">
        <w:tc>
          <w:tcPr>
            <w:cnfStyle w:val="001000000000" w:firstRow="0" w:lastRow="0" w:firstColumn="1" w:lastColumn="0" w:oddVBand="0" w:evenVBand="0" w:oddHBand="0" w:evenHBand="0" w:firstRowFirstColumn="0" w:firstRowLastColumn="0" w:lastRowFirstColumn="0" w:lastRowLastColumn="0"/>
            <w:tcW w:w="4214" w:type="dxa"/>
          </w:tcPr>
          <w:p w14:paraId="350949C6" w14:textId="77777777" w:rsidR="00182709" w:rsidRDefault="0044097C">
            <w:r>
              <w:t>Advances from government</w:t>
            </w:r>
          </w:p>
        </w:tc>
        <w:tc>
          <w:tcPr>
            <w:tcW w:w="1008" w:type="dxa"/>
          </w:tcPr>
          <w:p w14:paraId="405FF4F7"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3C457EDF"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5121145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7D172E7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7D5D8C2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8D68B9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925" w:type="dxa"/>
          </w:tcPr>
          <w:p w14:paraId="29B6B89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r>
      <w:tr w:rsidR="00182709" w14:paraId="5F0C8E7E" w14:textId="77777777">
        <w:tc>
          <w:tcPr>
            <w:cnfStyle w:val="001000000000" w:firstRow="0" w:lastRow="0" w:firstColumn="1" w:lastColumn="0" w:oddVBand="0" w:evenVBand="0" w:oddHBand="0" w:evenHBand="0" w:firstRowFirstColumn="0" w:firstRowLastColumn="0" w:lastRowFirstColumn="0" w:lastRowLastColumn="0"/>
            <w:tcW w:w="4214" w:type="dxa"/>
          </w:tcPr>
          <w:p w14:paraId="49B1F50B" w14:textId="77777777" w:rsidR="00182709" w:rsidRDefault="0044097C">
            <w:r>
              <w:t>Loans from TCV</w:t>
            </w:r>
          </w:p>
        </w:tc>
        <w:tc>
          <w:tcPr>
            <w:tcW w:w="1008" w:type="dxa"/>
          </w:tcPr>
          <w:p w14:paraId="4B1270B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Pr>
          <w:p w14:paraId="1D7B5F3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Pr>
          <w:p w14:paraId="2100C46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624" w:type="dxa"/>
          </w:tcPr>
          <w:p w14:paraId="357B943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Pr>
          <w:p w14:paraId="60F0B713"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Pr>
          <w:p w14:paraId="0DAC323E"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c>
          <w:tcPr>
            <w:tcW w:w="925" w:type="dxa"/>
          </w:tcPr>
          <w:p w14:paraId="22101BF0" w14:textId="77777777" w:rsidR="00182709" w:rsidRDefault="0044097C">
            <w:pPr>
              <w:cnfStyle w:val="000000000000" w:firstRow="0" w:lastRow="0" w:firstColumn="0" w:lastColumn="0" w:oddVBand="0" w:evenVBand="0" w:oddHBand="0" w:evenHBand="0" w:firstRowFirstColumn="0" w:firstRowLastColumn="0" w:lastRowFirstColumn="0" w:lastRowLastColumn="0"/>
            </w:pPr>
            <w:r>
              <w:t>27 705</w:t>
            </w:r>
          </w:p>
        </w:tc>
      </w:tr>
      <w:tr w:rsidR="00182709" w14:paraId="309B12F8" w14:textId="77777777" w:rsidTr="00182709">
        <w:tc>
          <w:tcPr>
            <w:cnfStyle w:val="001000000000" w:firstRow="0" w:lastRow="0" w:firstColumn="1" w:lastColumn="0" w:oddVBand="0" w:evenVBand="0" w:oddHBand="0" w:evenHBand="0" w:firstRowFirstColumn="0" w:firstRowLastColumn="0" w:lastRowFirstColumn="0" w:lastRowLastColumn="0"/>
            <w:tcW w:w="4214" w:type="dxa"/>
            <w:tcBorders>
              <w:bottom w:val="single" w:sz="12" w:space="0" w:color="auto"/>
            </w:tcBorders>
          </w:tcPr>
          <w:p w14:paraId="7FC35C79" w14:textId="77777777" w:rsidR="00182709" w:rsidRDefault="0044097C">
            <w:r>
              <w:t>Financial liabilities designated at fair value through profit or loss</w:t>
            </w:r>
          </w:p>
        </w:tc>
        <w:tc>
          <w:tcPr>
            <w:tcW w:w="1008" w:type="dxa"/>
            <w:tcBorders>
              <w:bottom w:val="single" w:sz="12" w:space="0" w:color="auto"/>
            </w:tcBorders>
          </w:tcPr>
          <w:p w14:paraId="04BF92F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91" w:type="dxa"/>
            <w:tcBorders>
              <w:bottom w:val="single" w:sz="12" w:space="0" w:color="auto"/>
            </w:tcBorders>
          </w:tcPr>
          <w:p w14:paraId="4475845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974" w:type="dxa"/>
            <w:tcBorders>
              <w:bottom w:val="single" w:sz="12" w:space="0" w:color="auto"/>
            </w:tcBorders>
          </w:tcPr>
          <w:p w14:paraId="6B63C8F0"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1624" w:type="dxa"/>
            <w:tcBorders>
              <w:bottom w:val="single" w:sz="12" w:space="0" w:color="auto"/>
            </w:tcBorders>
          </w:tcPr>
          <w:p w14:paraId="6E20814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63" w:type="dxa"/>
            <w:tcBorders>
              <w:bottom w:val="single" w:sz="12" w:space="0" w:color="auto"/>
            </w:tcBorders>
          </w:tcPr>
          <w:p w14:paraId="700C051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30" w:type="dxa"/>
            <w:tcBorders>
              <w:bottom w:val="single" w:sz="12" w:space="0" w:color="auto"/>
            </w:tcBorders>
          </w:tcPr>
          <w:p w14:paraId="182B1E4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25" w:type="dxa"/>
            <w:tcBorders>
              <w:bottom w:val="single" w:sz="12" w:space="0" w:color="auto"/>
            </w:tcBorders>
          </w:tcPr>
          <w:p w14:paraId="4935D0E1"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671D55" w14:paraId="1FDA5F6F" w14:textId="77777777" w:rsidTr="00182709">
        <w:tc>
          <w:tcPr>
            <w:cnfStyle w:val="001000000000" w:firstRow="0" w:lastRow="0" w:firstColumn="1" w:lastColumn="0" w:oddVBand="0" w:evenVBand="0" w:oddHBand="0" w:evenHBand="0" w:firstRowFirstColumn="0" w:firstRowLastColumn="0" w:lastRowFirstColumn="0" w:lastRowLastColumn="0"/>
            <w:tcW w:w="4214" w:type="dxa"/>
          </w:tcPr>
          <w:p w14:paraId="483375A8" w14:textId="77777777" w:rsidR="00182709" w:rsidRDefault="0044097C">
            <w:r>
              <w:rPr>
                <w:b/>
              </w:rPr>
              <w:t>Total contractual financial liabilities</w:t>
            </w:r>
          </w:p>
        </w:tc>
        <w:tc>
          <w:tcPr>
            <w:tcW w:w="1008" w:type="dxa"/>
          </w:tcPr>
          <w:p w14:paraId="7935856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91" w:type="dxa"/>
          </w:tcPr>
          <w:p w14:paraId="154B6B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974" w:type="dxa"/>
          </w:tcPr>
          <w:p w14:paraId="097937A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200</w:t>
            </w:r>
          </w:p>
        </w:tc>
        <w:tc>
          <w:tcPr>
            <w:tcW w:w="1624" w:type="dxa"/>
          </w:tcPr>
          <w:p w14:paraId="0A58A42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63" w:type="dxa"/>
          </w:tcPr>
          <w:p w14:paraId="059D9B7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330" w:type="dxa"/>
          </w:tcPr>
          <w:p w14:paraId="0A6232B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139 156</w:t>
            </w:r>
          </w:p>
        </w:tc>
        <w:tc>
          <w:tcPr>
            <w:tcW w:w="925" w:type="dxa"/>
          </w:tcPr>
          <w:p w14:paraId="74418F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139 356</w:t>
            </w:r>
          </w:p>
        </w:tc>
      </w:tr>
    </w:tbl>
    <w:p w14:paraId="1BB57DE8" w14:textId="77777777" w:rsidR="003719CD" w:rsidRDefault="003719CD" w:rsidP="007D536F">
      <w:pPr>
        <w:pStyle w:val="Note"/>
      </w:pPr>
      <w:r>
        <w:t>Note:</w:t>
      </w:r>
    </w:p>
    <w:p w14:paraId="1CABEDF2" w14:textId="77777777" w:rsidR="003719CD" w:rsidRDefault="003719CD" w:rsidP="007D536F">
      <w:pPr>
        <w:pStyle w:val="Note"/>
      </w:pPr>
      <w:r>
        <w:t>(a)</w:t>
      </w:r>
      <w:r>
        <w:tab/>
        <w:t xml:space="preserve">The total amounts disclosed here exclude statutory amounts (e.g. amounts owing from Victorian Government and GST input tax credit recoverable and taxes payable). </w:t>
      </w:r>
      <w:r w:rsidRPr="00AC1D66">
        <w:rPr>
          <w:rStyle w:val="Reference"/>
          <w:sz w:val="14"/>
          <w:szCs w:val="16"/>
        </w:rPr>
        <w:t>[AASB 132.AG12]</w:t>
      </w:r>
    </w:p>
    <w:p w14:paraId="0AD42D64" w14:textId="77777777" w:rsidR="003719CD" w:rsidRDefault="003719CD" w:rsidP="00DC39DE"/>
    <w:p w14:paraId="08DE0BF4" w14:textId="77777777" w:rsidR="003719CD" w:rsidRDefault="003719CD" w:rsidP="00DC39DE">
      <w:pPr>
        <w:sectPr w:rsidR="003719CD" w:rsidSect="00994C66">
          <w:headerReference w:type="even" r:id="rId100"/>
          <w:headerReference w:type="default" r:id="rId101"/>
          <w:footerReference w:type="even" r:id="rId102"/>
          <w:footerReference w:type="default" r:id="rId103"/>
          <w:pgSz w:w="16838" w:h="11906" w:orient="landscape" w:code="9"/>
          <w:pgMar w:top="1134" w:right="1134" w:bottom="1134" w:left="1134" w:header="624" w:footer="567" w:gutter="0"/>
          <w:cols w:space="708"/>
          <w:docGrid w:linePitch="360"/>
        </w:sectPr>
      </w:pPr>
    </w:p>
    <w:p w14:paraId="497D5313" w14:textId="7F9DDA45" w:rsidR="003719CD" w:rsidRDefault="003719CD" w:rsidP="007762BE">
      <w:pPr>
        <w:pStyle w:val="Heading3numbered"/>
      </w:pPr>
      <w:r>
        <w:lastRenderedPageBreak/>
        <w:t xml:space="preserve">Financial instruments – Net holding gain/(loss) on financial instruments by category </w:t>
      </w:r>
      <w:r w:rsidRPr="00AC1D66">
        <w:rPr>
          <w:rStyle w:val="Reference"/>
        </w:rPr>
        <w:t>[AASB</w:t>
      </w:r>
      <w:r w:rsidR="00A75720">
        <w:rPr>
          <w:rStyle w:val="Reference"/>
        </w:rPr>
        <w:t xml:space="preserve"> </w:t>
      </w:r>
      <w:r w:rsidRPr="00AC1D66">
        <w:rPr>
          <w:rStyle w:val="Reference"/>
        </w:rPr>
        <w:t>7.20]</w:t>
      </w:r>
    </w:p>
    <w:p w14:paraId="67E8EC06"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560"/>
        <w:gridCol w:w="3759"/>
        <w:gridCol w:w="864"/>
        <w:gridCol w:w="864"/>
        <w:gridCol w:w="864"/>
        <w:gridCol w:w="1020"/>
        <w:gridCol w:w="708"/>
      </w:tblGrid>
      <w:tr w:rsidR="00182709" w14:paraId="62F78992"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48525A68" w14:textId="77777777" w:rsidR="00182709" w:rsidRDefault="0044097C">
            <w:pPr>
              <w:keepNext/>
              <w:jc w:val="left"/>
            </w:pPr>
            <w:r>
              <w:rPr>
                <w:color w:val="4472C4"/>
                <w:sz w:val="13"/>
              </w:rPr>
              <w:t>Source reference</w:t>
            </w:r>
          </w:p>
        </w:tc>
        <w:tc>
          <w:tcPr>
            <w:tcW w:w="3759" w:type="dxa"/>
          </w:tcPr>
          <w:p w14:paraId="1A6325D2" w14:textId="45717C5D" w:rsidR="00182709" w:rsidRDefault="00170214">
            <w:pPr>
              <w:keepNext/>
              <w:jc w:val="left"/>
            </w:pPr>
            <w:fldSimple w:instr="DOCPROPERTY  YearCurrent \* MERGEFORMAT">
              <w:r>
                <w:t>20X2</w:t>
              </w:r>
            </w:fldSimple>
          </w:p>
        </w:tc>
        <w:tc>
          <w:tcPr>
            <w:tcW w:w="864" w:type="dxa"/>
          </w:tcPr>
          <w:p w14:paraId="68AE9B30" w14:textId="77777777" w:rsidR="00182709" w:rsidRDefault="0044097C">
            <w:pPr>
              <w:keepNext/>
            </w:pPr>
            <w:r>
              <w:t>Net holding gain/(loss)</w:t>
            </w:r>
          </w:p>
        </w:tc>
        <w:tc>
          <w:tcPr>
            <w:tcW w:w="864" w:type="dxa"/>
          </w:tcPr>
          <w:p w14:paraId="0D847F98" w14:textId="77777777" w:rsidR="00182709" w:rsidRDefault="0044097C">
            <w:pPr>
              <w:keepNext/>
            </w:pPr>
            <w:r>
              <w:t>Total interest income/ (expense)</w:t>
            </w:r>
          </w:p>
        </w:tc>
        <w:tc>
          <w:tcPr>
            <w:tcW w:w="864" w:type="dxa"/>
          </w:tcPr>
          <w:p w14:paraId="2F1FA710" w14:textId="77777777" w:rsidR="00182709" w:rsidRDefault="0044097C">
            <w:pPr>
              <w:keepNext/>
            </w:pPr>
            <w:r>
              <w:t>Fee income/ (expense)</w:t>
            </w:r>
          </w:p>
        </w:tc>
        <w:tc>
          <w:tcPr>
            <w:tcW w:w="1020" w:type="dxa"/>
          </w:tcPr>
          <w:p w14:paraId="6C58D72B" w14:textId="77777777" w:rsidR="00182709" w:rsidRDefault="0044097C">
            <w:pPr>
              <w:keepNext/>
            </w:pPr>
            <w:r>
              <w:t>Impairment loss</w:t>
            </w:r>
          </w:p>
        </w:tc>
        <w:tc>
          <w:tcPr>
            <w:tcW w:w="708" w:type="dxa"/>
          </w:tcPr>
          <w:p w14:paraId="27437BF7" w14:textId="77777777" w:rsidR="00182709" w:rsidRDefault="0044097C">
            <w:pPr>
              <w:keepNext/>
            </w:pPr>
            <w:r>
              <w:t>Total</w:t>
            </w:r>
          </w:p>
        </w:tc>
      </w:tr>
      <w:tr w:rsidR="00182709" w14:paraId="48937455" w14:textId="77777777" w:rsidTr="005B452C">
        <w:tc>
          <w:tcPr>
            <w:tcW w:w="1560" w:type="dxa"/>
          </w:tcPr>
          <w:p w14:paraId="4D6593E2" w14:textId="77777777" w:rsidR="00182709" w:rsidRDefault="00182709">
            <w:pPr>
              <w:jc w:val="left"/>
            </w:pPr>
          </w:p>
        </w:tc>
        <w:tc>
          <w:tcPr>
            <w:tcW w:w="3759" w:type="dxa"/>
          </w:tcPr>
          <w:p w14:paraId="4CE729E1" w14:textId="77777777" w:rsidR="00182709" w:rsidRDefault="0044097C" w:rsidP="000064CD">
            <w:pPr>
              <w:ind w:left="170" w:hanging="170"/>
              <w:jc w:val="left"/>
            </w:pPr>
            <w:r>
              <w:rPr>
                <w:b/>
              </w:rPr>
              <w:t>Contractual financial assets</w:t>
            </w:r>
          </w:p>
        </w:tc>
        <w:tc>
          <w:tcPr>
            <w:tcW w:w="864" w:type="dxa"/>
          </w:tcPr>
          <w:p w14:paraId="5B3E8257" w14:textId="77777777" w:rsidR="00182709" w:rsidRDefault="00182709"/>
        </w:tc>
        <w:tc>
          <w:tcPr>
            <w:tcW w:w="864" w:type="dxa"/>
          </w:tcPr>
          <w:p w14:paraId="081B2923" w14:textId="77777777" w:rsidR="00182709" w:rsidRDefault="00182709"/>
        </w:tc>
        <w:tc>
          <w:tcPr>
            <w:tcW w:w="864" w:type="dxa"/>
          </w:tcPr>
          <w:p w14:paraId="1505DBEA" w14:textId="77777777" w:rsidR="00182709" w:rsidRDefault="00182709"/>
        </w:tc>
        <w:tc>
          <w:tcPr>
            <w:tcW w:w="1020" w:type="dxa"/>
          </w:tcPr>
          <w:p w14:paraId="1CD25C54" w14:textId="77777777" w:rsidR="00182709" w:rsidRDefault="00182709"/>
        </w:tc>
        <w:tc>
          <w:tcPr>
            <w:tcW w:w="708" w:type="dxa"/>
          </w:tcPr>
          <w:p w14:paraId="4D2CBE75" w14:textId="77777777" w:rsidR="00182709" w:rsidRDefault="00182709"/>
        </w:tc>
      </w:tr>
      <w:tr w:rsidR="00182709" w14:paraId="1B71436C" w14:textId="77777777" w:rsidTr="005B452C">
        <w:tc>
          <w:tcPr>
            <w:tcW w:w="1560" w:type="dxa"/>
          </w:tcPr>
          <w:p w14:paraId="5BE2B4F2" w14:textId="77777777" w:rsidR="00182709" w:rsidRDefault="0044097C">
            <w:pPr>
              <w:jc w:val="left"/>
            </w:pPr>
            <w:r w:rsidRPr="2856114A">
              <w:rPr>
                <w:color w:val="4472C4" w:themeColor="accent1"/>
                <w:sz w:val="13"/>
                <w:szCs w:val="13"/>
              </w:rPr>
              <w:t>AASB 7.20 (a)(i)</w:t>
            </w:r>
          </w:p>
        </w:tc>
        <w:tc>
          <w:tcPr>
            <w:tcW w:w="3759" w:type="dxa"/>
          </w:tcPr>
          <w:p w14:paraId="2344A07A" w14:textId="77777777" w:rsidR="00182709" w:rsidRDefault="0044097C" w:rsidP="000064CD">
            <w:pPr>
              <w:ind w:left="170" w:hanging="170"/>
              <w:jc w:val="left"/>
            </w:pPr>
            <w:r>
              <w:t>Debt investments mandatorily measured at fair value through profit/loss</w:t>
            </w:r>
          </w:p>
        </w:tc>
        <w:tc>
          <w:tcPr>
            <w:tcW w:w="864" w:type="dxa"/>
          </w:tcPr>
          <w:p w14:paraId="1ACD25C4" w14:textId="77777777" w:rsidR="00182709" w:rsidRDefault="0044097C">
            <w:r>
              <w:t>65</w:t>
            </w:r>
          </w:p>
        </w:tc>
        <w:tc>
          <w:tcPr>
            <w:tcW w:w="864" w:type="dxa"/>
          </w:tcPr>
          <w:p w14:paraId="4B2E8195" w14:textId="77777777" w:rsidR="00182709" w:rsidRDefault="0044097C">
            <w:r>
              <w:t>1 689</w:t>
            </w:r>
          </w:p>
        </w:tc>
        <w:tc>
          <w:tcPr>
            <w:tcW w:w="864" w:type="dxa"/>
          </w:tcPr>
          <w:p w14:paraId="522DFF81" w14:textId="77777777" w:rsidR="00182709" w:rsidRDefault="0044097C">
            <w:r>
              <w:t>..</w:t>
            </w:r>
          </w:p>
        </w:tc>
        <w:tc>
          <w:tcPr>
            <w:tcW w:w="1020" w:type="dxa"/>
          </w:tcPr>
          <w:p w14:paraId="49AFD18D" w14:textId="77777777" w:rsidR="00182709" w:rsidRDefault="0044097C">
            <w:r>
              <w:t>..</w:t>
            </w:r>
          </w:p>
        </w:tc>
        <w:tc>
          <w:tcPr>
            <w:tcW w:w="708" w:type="dxa"/>
          </w:tcPr>
          <w:p w14:paraId="7906F851" w14:textId="77777777" w:rsidR="00182709" w:rsidRDefault="0044097C">
            <w:r>
              <w:t>1 754</w:t>
            </w:r>
          </w:p>
        </w:tc>
      </w:tr>
      <w:tr w:rsidR="00182709" w14:paraId="25572494" w14:textId="77777777" w:rsidTr="005B452C">
        <w:tc>
          <w:tcPr>
            <w:tcW w:w="1560" w:type="dxa"/>
          </w:tcPr>
          <w:p w14:paraId="633453C9" w14:textId="77777777" w:rsidR="00182709" w:rsidRDefault="0044097C">
            <w:pPr>
              <w:jc w:val="left"/>
            </w:pPr>
            <w:r w:rsidRPr="2856114A">
              <w:rPr>
                <w:color w:val="4472C4" w:themeColor="accent1"/>
                <w:sz w:val="13"/>
                <w:szCs w:val="13"/>
              </w:rPr>
              <w:t>AASB 7.20(a)(i), (b)</w:t>
            </w:r>
          </w:p>
        </w:tc>
        <w:tc>
          <w:tcPr>
            <w:tcW w:w="3759" w:type="dxa"/>
          </w:tcPr>
          <w:p w14:paraId="697F1FC8" w14:textId="77777777" w:rsidR="00182709" w:rsidRDefault="0044097C" w:rsidP="000064CD">
            <w:pPr>
              <w:ind w:left="170" w:hanging="170"/>
              <w:jc w:val="left"/>
            </w:pPr>
            <w:r>
              <w:t>Equity investments designated at fair value through profit/loss</w:t>
            </w:r>
          </w:p>
        </w:tc>
        <w:tc>
          <w:tcPr>
            <w:tcW w:w="864" w:type="dxa"/>
          </w:tcPr>
          <w:p w14:paraId="4CF32CB9" w14:textId="77777777" w:rsidR="00182709" w:rsidRDefault="0044097C">
            <w:r>
              <w:t>(2 105)</w:t>
            </w:r>
          </w:p>
        </w:tc>
        <w:tc>
          <w:tcPr>
            <w:tcW w:w="864" w:type="dxa"/>
          </w:tcPr>
          <w:p w14:paraId="280792B8" w14:textId="77777777" w:rsidR="00182709" w:rsidRDefault="0044097C">
            <w:r>
              <w:t>..</w:t>
            </w:r>
          </w:p>
        </w:tc>
        <w:tc>
          <w:tcPr>
            <w:tcW w:w="864" w:type="dxa"/>
          </w:tcPr>
          <w:p w14:paraId="45946AB2" w14:textId="77777777" w:rsidR="00182709" w:rsidRDefault="0044097C">
            <w:r>
              <w:t>..</w:t>
            </w:r>
          </w:p>
        </w:tc>
        <w:tc>
          <w:tcPr>
            <w:tcW w:w="1020" w:type="dxa"/>
          </w:tcPr>
          <w:p w14:paraId="69CDFDF0" w14:textId="77777777" w:rsidR="00182709" w:rsidRDefault="0044097C">
            <w:r>
              <w:t>..</w:t>
            </w:r>
          </w:p>
        </w:tc>
        <w:tc>
          <w:tcPr>
            <w:tcW w:w="708" w:type="dxa"/>
          </w:tcPr>
          <w:p w14:paraId="1E93C0C6" w14:textId="77777777" w:rsidR="00182709" w:rsidRDefault="0044097C">
            <w:r>
              <w:t>(2 105)</w:t>
            </w:r>
          </w:p>
        </w:tc>
      </w:tr>
      <w:tr w:rsidR="00182709" w14:paraId="008734F6" w14:textId="77777777" w:rsidTr="005B452C">
        <w:tc>
          <w:tcPr>
            <w:tcW w:w="1560" w:type="dxa"/>
          </w:tcPr>
          <w:p w14:paraId="1B230188" w14:textId="77777777" w:rsidR="00182709" w:rsidRDefault="0044097C">
            <w:pPr>
              <w:jc w:val="left"/>
            </w:pPr>
            <w:r>
              <w:rPr>
                <w:color w:val="4472C4"/>
                <w:sz w:val="13"/>
              </w:rPr>
              <w:t>AASB 7.20(a)(vii)</w:t>
            </w:r>
          </w:p>
        </w:tc>
        <w:tc>
          <w:tcPr>
            <w:tcW w:w="3759" w:type="dxa"/>
          </w:tcPr>
          <w:p w14:paraId="28FE87FD" w14:textId="77777777" w:rsidR="00182709" w:rsidRDefault="0044097C" w:rsidP="000064CD">
            <w:pPr>
              <w:ind w:left="170" w:hanging="170"/>
              <w:jc w:val="left"/>
            </w:pPr>
            <w:r>
              <w:t>Equity investments designated at fair value through other comprehensive income – recognised in other comprehensive income</w:t>
            </w:r>
          </w:p>
        </w:tc>
        <w:tc>
          <w:tcPr>
            <w:tcW w:w="864" w:type="dxa"/>
          </w:tcPr>
          <w:p w14:paraId="47B3B69F" w14:textId="77777777" w:rsidR="00182709" w:rsidRDefault="0044097C">
            <w:r>
              <w:t>(173)</w:t>
            </w:r>
          </w:p>
        </w:tc>
        <w:tc>
          <w:tcPr>
            <w:tcW w:w="864" w:type="dxa"/>
          </w:tcPr>
          <w:p w14:paraId="5471D710" w14:textId="77777777" w:rsidR="00182709" w:rsidRDefault="0044097C">
            <w:r>
              <w:t>..</w:t>
            </w:r>
          </w:p>
        </w:tc>
        <w:tc>
          <w:tcPr>
            <w:tcW w:w="864" w:type="dxa"/>
          </w:tcPr>
          <w:p w14:paraId="2E5470D5" w14:textId="77777777" w:rsidR="00182709" w:rsidRDefault="0044097C">
            <w:r>
              <w:t>..</w:t>
            </w:r>
          </w:p>
        </w:tc>
        <w:tc>
          <w:tcPr>
            <w:tcW w:w="1020" w:type="dxa"/>
          </w:tcPr>
          <w:p w14:paraId="7879640E" w14:textId="77777777" w:rsidR="00182709" w:rsidRDefault="0044097C">
            <w:r>
              <w:t>..</w:t>
            </w:r>
          </w:p>
        </w:tc>
        <w:tc>
          <w:tcPr>
            <w:tcW w:w="708" w:type="dxa"/>
          </w:tcPr>
          <w:p w14:paraId="640074A1" w14:textId="77777777" w:rsidR="00182709" w:rsidRDefault="0044097C">
            <w:r>
              <w:t>(173)</w:t>
            </w:r>
          </w:p>
        </w:tc>
      </w:tr>
      <w:tr w:rsidR="00182709" w14:paraId="7E84CAE1" w14:textId="77777777" w:rsidTr="005B452C">
        <w:tc>
          <w:tcPr>
            <w:tcW w:w="1560" w:type="dxa"/>
          </w:tcPr>
          <w:p w14:paraId="5E076721" w14:textId="77777777" w:rsidR="00182709" w:rsidRDefault="0044097C">
            <w:pPr>
              <w:jc w:val="left"/>
            </w:pPr>
            <w:r>
              <w:rPr>
                <w:color w:val="4472C4"/>
                <w:sz w:val="13"/>
              </w:rPr>
              <w:t>AASB 7.20 (a)(vi)</w:t>
            </w:r>
          </w:p>
        </w:tc>
        <w:tc>
          <w:tcPr>
            <w:tcW w:w="3759" w:type="dxa"/>
            <w:tcBorders>
              <w:bottom w:val="single" w:sz="12" w:space="0" w:color="auto"/>
            </w:tcBorders>
          </w:tcPr>
          <w:p w14:paraId="5D0C4BCF" w14:textId="77777777" w:rsidR="00182709" w:rsidRDefault="0044097C" w:rsidP="000064CD">
            <w:pPr>
              <w:ind w:left="170" w:hanging="170"/>
              <w:jc w:val="left"/>
            </w:pPr>
            <w:r>
              <w:t>Financial assets at amortised cost – other than on derecognition</w:t>
            </w:r>
          </w:p>
        </w:tc>
        <w:tc>
          <w:tcPr>
            <w:tcW w:w="864" w:type="dxa"/>
            <w:tcBorders>
              <w:bottom w:val="single" w:sz="12" w:space="0" w:color="auto"/>
            </w:tcBorders>
          </w:tcPr>
          <w:p w14:paraId="3BC51BF1" w14:textId="77777777" w:rsidR="00182709" w:rsidRDefault="0044097C">
            <w:r>
              <w:t>(471)</w:t>
            </w:r>
          </w:p>
        </w:tc>
        <w:tc>
          <w:tcPr>
            <w:tcW w:w="864" w:type="dxa"/>
            <w:tcBorders>
              <w:bottom w:val="single" w:sz="12" w:space="0" w:color="auto"/>
            </w:tcBorders>
          </w:tcPr>
          <w:p w14:paraId="13CDBAEE" w14:textId="77777777" w:rsidR="00182709" w:rsidRDefault="0044097C">
            <w:r>
              <w:t>2 175</w:t>
            </w:r>
          </w:p>
        </w:tc>
        <w:tc>
          <w:tcPr>
            <w:tcW w:w="864" w:type="dxa"/>
            <w:tcBorders>
              <w:bottom w:val="single" w:sz="12" w:space="0" w:color="auto"/>
            </w:tcBorders>
          </w:tcPr>
          <w:p w14:paraId="5688EFC9" w14:textId="77777777" w:rsidR="00182709" w:rsidRDefault="0044097C">
            <w:r>
              <w:t>..</w:t>
            </w:r>
          </w:p>
        </w:tc>
        <w:tc>
          <w:tcPr>
            <w:tcW w:w="1020" w:type="dxa"/>
            <w:tcBorders>
              <w:bottom w:val="single" w:sz="12" w:space="0" w:color="auto"/>
            </w:tcBorders>
          </w:tcPr>
          <w:p w14:paraId="5E63DC1E" w14:textId="77777777" w:rsidR="00182709" w:rsidRDefault="0044097C">
            <w:r>
              <w:t>(455)</w:t>
            </w:r>
          </w:p>
        </w:tc>
        <w:tc>
          <w:tcPr>
            <w:tcW w:w="708" w:type="dxa"/>
            <w:tcBorders>
              <w:bottom w:val="single" w:sz="12" w:space="0" w:color="auto"/>
            </w:tcBorders>
          </w:tcPr>
          <w:p w14:paraId="38004C88" w14:textId="77777777" w:rsidR="00182709" w:rsidRDefault="0044097C">
            <w:r>
              <w:t>1 249</w:t>
            </w:r>
          </w:p>
        </w:tc>
      </w:tr>
      <w:tr w:rsidR="00671D55" w14:paraId="6AAA2669" w14:textId="77777777" w:rsidTr="005B452C">
        <w:tc>
          <w:tcPr>
            <w:tcW w:w="1560" w:type="dxa"/>
          </w:tcPr>
          <w:p w14:paraId="476812E6" w14:textId="77777777" w:rsidR="00182709" w:rsidRDefault="00182709">
            <w:pPr>
              <w:jc w:val="left"/>
            </w:pPr>
          </w:p>
        </w:tc>
        <w:tc>
          <w:tcPr>
            <w:tcW w:w="3759" w:type="dxa"/>
          </w:tcPr>
          <w:p w14:paraId="7EA9D073" w14:textId="77777777" w:rsidR="00182709" w:rsidRDefault="0044097C" w:rsidP="000064CD">
            <w:pPr>
              <w:ind w:left="170" w:hanging="170"/>
              <w:jc w:val="left"/>
            </w:pPr>
            <w:r>
              <w:rPr>
                <w:b/>
              </w:rPr>
              <w:t>Total contractual financial assets</w:t>
            </w:r>
          </w:p>
        </w:tc>
        <w:tc>
          <w:tcPr>
            <w:tcW w:w="864" w:type="dxa"/>
          </w:tcPr>
          <w:p w14:paraId="53AED63E" w14:textId="77777777" w:rsidR="00182709" w:rsidRDefault="0044097C">
            <w:r>
              <w:rPr>
                <w:b/>
              </w:rPr>
              <w:t>(2 684)</w:t>
            </w:r>
          </w:p>
        </w:tc>
        <w:tc>
          <w:tcPr>
            <w:tcW w:w="864" w:type="dxa"/>
          </w:tcPr>
          <w:p w14:paraId="755DFC23" w14:textId="77777777" w:rsidR="00182709" w:rsidRDefault="0044097C">
            <w:r>
              <w:rPr>
                <w:b/>
              </w:rPr>
              <w:t>3 864</w:t>
            </w:r>
          </w:p>
        </w:tc>
        <w:tc>
          <w:tcPr>
            <w:tcW w:w="864" w:type="dxa"/>
          </w:tcPr>
          <w:p w14:paraId="319EAEF8" w14:textId="77777777" w:rsidR="00182709" w:rsidRDefault="0044097C">
            <w:r>
              <w:rPr>
                <w:b/>
              </w:rPr>
              <w:t>..</w:t>
            </w:r>
          </w:p>
        </w:tc>
        <w:tc>
          <w:tcPr>
            <w:tcW w:w="1020" w:type="dxa"/>
          </w:tcPr>
          <w:p w14:paraId="2FAB3B6F" w14:textId="77777777" w:rsidR="00182709" w:rsidRDefault="0044097C">
            <w:r>
              <w:rPr>
                <w:b/>
              </w:rPr>
              <w:t>(455)</w:t>
            </w:r>
          </w:p>
        </w:tc>
        <w:tc>
          <w:tcPr>
            <w:tcW w:w="708" w:type="dxa"/>
          </w:tcPr>
          <w:p w14:paraId="5713D4E9" w14:textId="77777777" w:rsidR="00182709" w:rsidRDefault="0044097C">
            <w:r>
              <w:rPr>
                <w:b/>
              </w:rPr>
              <w:t>725</w:t>
            </w:r>
          </w:p>
        </w:tc>
      </w:tr>
      <w:tr w:rsidR="00671D55" w14:paraId="6D6948E9" w14:textId="77777777" w:rsidTr="005B452C">
        <w:tc>
          <w:tcPr>
            <w:tcW w:w="1560" w:type="dxa"/>
          </w:tcPr>
          <w:p w14:paraId="3FBB5953" w14:textId="77777777" w:rsidR="00182709" w:rsidRDefault="00182709">
            <w:pPr>
              <w:jc w:val="left"/>
            </w:pPr>
          </w:p>
        </w:tc>
        <w:tc>
          <w:tcPr>
            <w:tcW w:w="3759" w:type="dxa"/>
          </w:tcPr>
          <w:p w14:paraId="115E9734" w14:textId="77777777" w:rsidR="00182709" w:rsidRDefault="0044097C" w:rsidP="000064CD">
            <w:pPr>
              <w:ind w:left="170" w:hanging="170"/>
              <w:jc w:val="left"/>
            </w:pPr>
            <w:r>
              <w:rPr>
                <w:b/>
              </w:rPr>
              <w:t>Contractual financial liabilities</w:t>
            </w:r>
          </w:p>
        </w:tc>
        <w:tc>
          <w:tcPr>
            <w:tcW w:w="864" w:type="dxa"/>
          </w:tcPr>
          <w:p w14:paraId="74DB5564" w14:textId="77777777" w:rsidR="00182709" w:rsidRDefault="00182709"/>
        </w:tc>
        <w:tc>
          <w:tcPr>
            <w:tcW w:w="864" w:type="dxa"/>
          </w:tcPr>
          <w:p w14:paraId="1D67E3AD" w14:textId="77777777" w:rsidR="00182709" w:rsidRDefault="00182709"/>
        </w:tc>
        <w:tc>
          <w:tcPr>
            <w:tcW w:w="864" w:type="dxa"/>
          </w:tcPr>
          <w:p w14:paraId="3596318D" w14:textId="77777777" w:rsidR="00182709" w:rsidRDefault="00182709"/>
        </w:tc>
        <w:tc>
          <w:tcPr>
            <w:tcW w:w="1020" w:type="dxa"/>
          </w:tcPr>
          <w:p w14:paraId="5DF7AF8F" w14:textId="77777777" w:rsidR="00182709" w:rsidRDefault="00182709"/>
        </w:tc>
        <w:tc>
          <w:tcPr>
            <w:tcW w:w="708" w:type="dxa"/>
          </w:tcPr>
          <w:p w14:paraId="0216E9C7" w14:textId="77777777" w:rsidR="00182709" w:rsidRDefault="00182709"/>
        </w:tc>
      </w:tr>
      <w:tr w:rsidR="00182709" w14:paraId="5AF747CF" w14:textId="77777777" w:rsidTr="005B452C">
        <w:tc>
          <w:tcPr>
            <w:tcW w:w="1560" w:type="dxa"/>
          </w:tcPr>
          <w:p w14:paraId="2F06319D" w14:textId="77777777" w:rsidR="00182709" w:rsidRDefault="0044097C">
            <w:pPr>
              <w:jc w:val="left"/>
            </w:pPr>
            <w:r w:rsidRPr="2856114A">
              <w:rPr>
                <w:color w:val="4472C4" w:themeColor="accent1"/>
                <w:sz w:val="13"/>
                <w:szCs w:val="13"/>
              </w:rPr>
              <w:t>AASB 7.20(a)(v),(b), (c)(i)</w:t>
            </w:r>
          </w:p>
        </w:tc>
        <w:tc>
          <w:tcPr>
            <w:tcW w:w="3759" w:type="dxa"/>
          </w:tcPr>
          <w:p w14:paraId="1BAA111B" w14:textId="77777777" w:rsidR="00182709" w:rsidRDefault="0044097C" w:rsidP="000064CD">
            <w:pPr>
              <w:ind w:left="170" w:hanging="170"/>
              <w:jc w:val="left"/>
            </w:pPr>
            <w:r>
              <w:t>Financial liabilities at amortised cost</w:t>
            </w:r>
          </w:p>
        </w:tc>
        <w:tc>
          <w:tcPr>
            <w:tcW w:w="864" w:type="dxa"/>
          </w:tcPr>
          <w:p w14:paraId="665EEDB5" w14:textId="77777777" w:rsidR="00182709" w:rsidRDefault="0044097C">
            <w:r>
              <w:t>1 830</w:t>
            </w:r>
          </w:p>
        </w:tc>
        <w:tc>
          <w:tcPr>
            <w:tcW w:w="864" w:type="dxa"/>
          </w:tcPr>
          <w:p w14:paraId="62D21BBB" w14:textId="77777777" w:rsidR="00182709" w:rsidRDefault="0044097C">
            <w:r>
              <w:t>(10 566)</w:t>
            </w:r>
          </w:p>
        </w:tc>
        <w:tc>
          <w:tcPr>
            <w:tcW w:w="864" w:type="dxa"/>
          </w:tcPr>
          <w:p w14:paraId="317ED31D" w14:textId="77777777" w:rsidR="00182709" w:rsidRDefault="0044097C">
            <w:r>
              <w:t>307</w:t>
            </w:r>
          </w:p>
        </w:tc>
        <w:tc>
          <w:tcPr>
            <w:tcW w:w="1020" w:type="dxa"/>
          </w:tcPr>
          <w:p w14:paraId="6975D4E0" w14:textId="77777777" w:rsidR="00182709" w:rsidRDefault="0044097C">
            <w:r>
              <w:t>..</w:t>
            </w:r>
          </w:p>
        </w:tc>
        <w:tc>
          <w:tcPr>
            <w:tcW w:w="708" w:type="dxa"/>
          </w:tcPr>
          <w:p w14:paraId="6874914E" w14:textId="77777777" w:rsidR="00182709" w:rsidRDefault="0044097C">
            <w:r>
              <w:t>(8 429)</w:t>
            </w:r>
          </w:p>
        </w:tc>
      </w:tr>
      <w:tr w:rsidR="00182709" w14:paraId="09886596" w14:textId="77777777" w:rsidTr="005B452C">
        <w:tc>
          <w:tcPr>
            <w:tcW w:w="1560" w:type="dxa"/>
          </w:tcPr>
          <w:p w14:paraId="5B8AAE4F" w14:textId="77777777" w:rsidR="00182709" w:rsidRDefault="0044097C">
            <w:pPr>
              <w:jc w:val="left"/>
            </w:pPr>
            <w:r w:rsidRPr="2856114A">
              <w:rPr>
                <w:color w:val="4472C4" w:themeColor="accent1"/>
                <w:sz w:val="13"/>
                <w:szCs w:val="13"/>
              </w:rPr>
              <w:t>AASB 7.20(a)(i),(b), (c)(i)</w:t>
            </w:r>
          </w:p>
        </w:tc>
        <w:tc>
          <w:tcPr>
            <w:tcW w:w="3759" w:type="dxa"/>
            <w:tcBorders>
              <w:bottom w:val="single" w:sz="12" w:space="0" w:color="auto"/>
            </w:tcBorders>
          </w:tcPr>
          <w:p w14:paraId="724DEBEE" w14:textId="77777777" w:rsidR="00182709" w:rsidRDefault="0044097C" w:rsidP="000064CD">
            <w:pPr>
              <w:ind w:left="170" w:hanging="170"/>
              <w:jc w:val="left"/>
            </w:pPr>
            <w:r>
              <w:t>Financial liabilities designated at fair value through profit/loss</w:t>
            </w:r>
          </w:p>
        </w:tc>
        <w:tc>
          <w:tcPr>
            <w:tcW w:w="864" w:type="dxa"/>
            <w:tcBorders>
              <w:bottom w:val="single" w:sz="12" w:space="0" w:color="auto"/>
            </w:tcBorders>
          </w:tcPr>
          <w:p w14:paraId="3261047F" w14:textId="77777777" w:rsidR="00182709" w:rsidRDefault="0044097C">
            <w:r>
              <w:t>20</w:t>
            </w:r>
          </w:p>
        </w:tc>
        <w:tc>
          <w:tcPr>
            <w:tcW w:w="864" w:type="dxa"/>
            <w:tcBorders>
              <w:bottom w:val="single" w:sz="12" w:space="0" w:color="auto"/>
            </w:tcBorders>
          </w:tcPr>
          <w:p w14:paraId="4EF63981" w14:textId="77777777" w:rsidR="00182709" w:rsidRDefault="0044097C">
            <w:r>
              <w:t>..</w:t>
            </w:r>
          </w:p>
        </w:tc>
        <w:tc>
          <w:tcPr>
            <w:tcW w:w="864" w:type="dxa"/>
            <w:tcBorders>
              <w:bottom w:val="single" w:sz="12" w:space="0" w:color="auto"/>
            </w:tcBorders>
          </w:tcPr>
          <w:p w14:paraId="5708DAA3" w14:textId="77777777" w:rsidR="00182709" w:rsidRDefault="0044097C">
            <w:r>
              <w:t>..</w:t>
            </w:r>
          </w:p>
        </w:tc>
        <w:tc>
          <w:tcPr>
            <w:tcW w:w="1020" w:type="dxa"/>
            <w:tcBorders>
              <w:bottom w:val="single" w:sz="12" w:space="0" w:color="auto"/>
            </w:tcBorders>
          </w:tcPr>
          <w:p w14:paraId="09B871B7" w14:textId="77777777" w:rsidR="00182709" w:rsidRDefault="0044097C">
            <w:r>
              <w:t>..</w:t>
            </w:r>
          </w:p>
        </w:tc>
        <w:tc>
          <w:tcPr>
            <w:tcW w:w="708" w:type="dxa"/>
            <w:tcBorders>
              <w:bottom w:val="single" w:sz="12" w:space="0" w:color="auto"/>
            </w:tcBorders>
          </w:tcPr>
          <w:p w14:paraId="03EF2C70" w14:textId="77777777" w:rsidR="00182709" w:rsidRDefault="0044097C">
            <w:r>
              <w:t>20</w:t>
            </w:r>
          </w:p>
        </w:tc>
      </w:tr>
      <w:tr w:rsidR="00671D55" w14:paraId="70319706" w14:textId="77777777" w:rsidTr="005B452C">
        <w:tc>
          <w:tcPr>
            <w:tcW w:w="1560" w:type="dxa"/>
            <w:tcBorders>
              <w:bottom w:val="nil"/>
            </w:tcBorders>
          </w:tcPr>
          <w:p w14:paraId="50ADD500" w14:textId="77777777" w:rsidR="00182709" w:rsidRDefault="00182709">
            <w:pPr>
              <w:jc w:val="left"/>
            </w:pPr>
          </w:p>
        </w:tc>
        <w:tc>
          <w:tcPr>
            <w:tcW w:w="3759" w:type="dxa"/>
          </w:tcPr>
          <w:p w14:paraId="37D152F7" w14:textId="77777777" w:rsidR="00182709" w:rsidRDefault="0044097C" w:rsidP="000064CD">
            <w:pPr>
              <w:ind w:left="170" w:hanging="170"/>
              <w:jc w:val="left"/>
            </w:pPr>
            <w:r>
              <w:rPr>
                <w:b/>
              </w:rPr>
              <w:t>Total contractual financial liabilities</w:t>
            </w:r>
          </w:p>
        </w:tc>
        <w:tc>
          <w:tcPr>
            <w:tcW w:w="864" w:type="dxa"/>
          </w:tcPr>
          <w:p w14:paraId="7468B222" w14:textId="77777777" w:rsidR="00182709" w:rsidRDefault="0044097C">
            <w:r>
              <w:rPr>
                <w:b/>
              </w:rPr>
              <w:t>1 850</w:t>
            </w:r>
          </w:p>
        </w:tc>
        <w:tc>
          <w:tcPr>
            <w:tcW w:w="864" w:type="dxa"/>
          </w:tcPr>
          <w:p w14:paraId="6F86AB79" w14:textId="77777777" w:rsidR="00182709" w:rsidRDefault="0044097C">
            <w:r>
              <w:rPr>
                <w:b/>
              </w:rPr>
              <w:t>(10 566)</w:t>
            </w:r>
          </w:p>
        </w:tc>
        <w:tc>
          <w:tcPr>
            <w:tcW w:w="864" w:type="dxa"/>
          </w:tcPr>
          <w:p w14:paraId="1C6D3B2B" w14:textId="77777777" w:rsidR="00182709" w:rsidRDefault="0044097C">
            <w:r>
              <w:rPr>
                <w:b/>
              </w:rPr>
              <w:t>307</w:t>
            </w:r>
          </w:p>
        </w:tc>
        <w:tc>
          <w:tcPr>
            <w:tcW w:w="1020" w:type="dxa"/>
          </w:tcPr>
          <w:p w14:paraId="25839DFD" w14:textId="77777777" w:rsidR="00182709" w:rsidRDefault="0044097C">
            <w:r>
              <w:rPr>
                <w:b/>
              </w:rPr>
              <w:t>..</w:t>
            </w:r>
          </w:p>
        </w:tc>
        <w:tc>
          <w:tcPr>
            <w:tcW w:w="708" w:type="dxa"/>
          </w:tcPr>
          <w:p w14:paraId="4550C3AF" w14:textId="4338C1EC" w:rsidR="00182709" w:rsidRDefault="0044097C">
            <w:r>
              <w:rPr>
                <w:b/>
              </w:rPr>
              <w:t>(8 409)</w:t>
            </w:r>
          </w:p>
        </w:tc>
      </w:tr>
    </w:tbl>
    <w:p w14:paraId="2AD940E8" w14:textId="77777777" w:rsidR="003719CD" w:rsidRDefault="003719CD" w:rsidP="00DC39DE"/>
    <w:tbl>
      <w:tblPr>
        <w:tblStyle w:val="DTFTable"/>
        <w:tblW w:w="9639" w:type="dxa"/>
        <w:tblLayout w:type="fixed"/>
        <w:tblLook w:val="0620" w:firstRow="1" w:lastRow="0" w:firstColumn="0" w:lastColumn="0" w:noHBand="1" w:noVBand="1"/>
      </w:tblPr>
      <w:tblGrid>
        <w:gridCol w:w="1560"/>
        <w:gridCol w:w="3759"/>
        <w:gridCol w:w="864"/>
        <w:gridCol w:w="864"/>
        <w:gridCol w:w="864"/>
        <w:gridCol w:w="864"/>
        <w:gridCol w:w="864"/>
      </w:tblGrid>
      <w:tr w:rsidR="00182709" w14:paraId="2980A8E7" w14:textId="77777777" w:rsidTr="005B452C">
        <w:trPr>
          <w:cnfStyle w:val="100000000000" w:firstRow="1" w:lastRow="0" w:firstColumn="0" w:lastColumn="0" w:oddVBand="0" w:evenVBand="0" w:oddHBand="0" w:evenHBand="0" w:firstRowFirstColumn="0" w:firstRowLastColumn="0" w:lastRowFirstColumn="0" w:lastRowLastColumn="0"/>
          <w:tblHeader/>
        </w:trPr>
        <w:tc>
          <w:tcPr>
            <w:tcW w:w="1560" w:type="dxa"/>
            <w:tcBorders>
              <w:top w:val="nil"/>
              <w:bottom w:val="nil"/>
            </w:tcBorders>
            <w:shd w:val="clear" w:color="auto" w:fill="FFFFFF" w:themeFill="background1"/>
          </w:tcPr>
          <w:p w14:paraId="4D6702DA" w14:textId="77777777" w:rsidR="00182709" w:rsidRDefault="0044097C">
            <w:pPr>
              <w:keepNext/>
              <w:jc w:val="left"/>
            </w:pPr>
            <w:r>
              <w:rPr>
                <w:color w:val="4472C4"/>
                <w:sz w:val="13"/>
              </w:rPr>
              <w:t>Source reference</w:t>
            </w:r>
          </w:p>
        </w:tc>
        <w:tc>
          <w:tcPr>
            <w:tcW w:w="3759" w:type="dxa"/>
          </w:tcPr>
          <w:p w14:paraId="03E552D2" w14:textId="2D0A9C84" w:rsidR="00182709" w:rsidRDefault="00170214">
            <w:pPr>
              <w:keepNext/>
              <w:jc w:val="left"/>
            </w:pPr>
            <w:fldSimple w:instr="DOCPROPERTY  YearPrevious  \* MERGEFORMAT">
              <w:r>
                <w:rPr>
                  <w:lang w:val="en-US"/>
                </w:rPr>
                <w:t>20X1</w:t>
              </w:r>
            </w:fldSimple>
          </w:p>
        </w:tc>
        <w:tc>
          <w:tcPr>
            <w:tcW w:w="864" w:type="dxa"/>
          </w:tcPr>
          <w:p w14:paraId="0FA6EBCD" w14:textId="072828E3" w:rsidR="00182709" w:rsidRDefault="00182709">
            <w:pPr>
              <w:keepNext/>
            </w:pPr>
          </w:p>
        </w:tc>
        <w:tc>
          <w:tcPr>
            <w:tcW w:w="864" w:type="dxa"/>
          </w:tcPr>
          <w:p w14:paraId="11B0E314" w14:textId="441F7DC1" w:rsidR="00182709" w:rsidRDefault="00182709">
            <w:pPr>
              <w:keepNext/>
            </w:pPr>
          </w:p>
        </w:tc>
        <w:tc>
          <w:tcPr>
            <w:tcW w:w="864" w:type="dxa"/>
          </w:tcPr>
          <w:p w14:paraId="4A04344E" w14:textId="2D983B16" w:rsidR="00182709" w:rsidRDefault="00182709">
            <w:pPr>
              <w:keepNext/>
            </w:pPr>
          </w:p>
        </w:tc>
        <w:tc>
          <w:tcPr>
            <w:tcW w:w="864" w:type="dxa"/>
          </w:tcPr>
          <w:p w14:paraId="1E577D76" w14:textId="7EF23996" w:rsidR="00182709" w:rsidRDefault="00182709">
            <w:pPr>
              <w:keepNext/>
            </w:pPr>
          </w:p>
        </w:tc>
        <w:tc>
          <w:tcPr>
            <w:tcW w:w="864" w:type="dxa"/>
          </w:tcPr>
          <w:p w14:paraId="1D74EBA4" w14:textId="5FB00665" w:rsidR="00182709" w:rsidRDefault="00182709">
            <w:pPr>
              <w:keepNext/>
            </w:pPr>
          </w:p>
        </w:tc>
      </w:tr>
      <w:tr w:rsidR="00182709" w14:paraId="2BFBAE28" w14:textId="77777777" w:rsidTr="005B452C">
        <w:tc>
          <w:tcPr>
            <w:tcW w:w="1560" w:type="dxa"/>
          </w:tcPr>
          <w:p w14:paraId="47DC73D8" w14:textId="77777777" w:rsidR="00182709" w:rsidRDefault="00182709">
            <w:pPr>
              <w:jc w:val="left"/>
            </w:pPr>
          </w:p>
        </w:tc>
        <w:tc>
          <w:tcPr>
            <w:tcW w:w="3759" w:type="dxa"/>
          </w:tcPr>
          <w:p w14:paraId="6F54FBB5" w14:textId="77777777" w:rsidR="00182709" w:rsidRDefault="0044097C" w:rsidP="000064CD">
            <w:pPr>
              <w:ind w:left="170" w:hanging="170"/>
              <w:jc w:val="left"/>
            </w:pPr>
            <w:r>
              <w:rPr>
                <w:b/>
              </w:rPr>
              <w:t>Contractual financial assets</w:t>
            </w:r>
          </w:p>
        </w:tc>
        <w:tc>
          <w:tcPr>
            <w:tcW w:w="864" w:type="dxa"/>
          </w:tcPr>
          <w:p w14:paraId="2A495195" w14:textId="77777777" w:rsidR="00182709" w:rsidRDefault="00182709"/>
        </w:tc>
        <w:tc>
          <w:tcPr>
            <w:tcW w:w="864" w:type="dxa"/>
          </w:tcPr>
          <w:p w14:paraId="59CB7A4C" w14:textId="77777777" w:rsidR="00182709" w:rsidRDefault="00182709"/>
        </w:tc>
        <w:tc>
          <w:tcPr>
            <w:tcW w:w="864" w:type="dxa"/>
          </w:tcPr>
          <w:p w14:paraId="6E1FA626" w14:textId="77777777" w:rsidR="00182709" w:rsidRDefault="00182709"/>
        </w:tc>
        <w:tc>
          <w:tcPr>
            <w:tcW w:w="864" w:type="dxa"/>
          </w:tcPr>
          <w:p w14:paraId="4F35F943" w14:textId="77777777" w:rsidR="00182709" w:rsidRDefault="00182709"/>
        </w:tc>
        <w:tc>
          <w:tcPr>
            <w:tcW w:w="864" w:type="dxa"/>
          </w:tcPr>
          <w:p w14:paraId="64A86A1C" w14:textId="77777777" w:rsidR="00182709" w:rsidRDefault="00182709"/>
        </w:tc>
      </w:tr>
      <w:tr w:rsidR="00182709" w14:paraId="7E2ED9CB" w14:textId="77777777" w:rsidTr="005B452C">
        <w:tc>
          <w:tcPr>
            <w:tcW w:w="1560" w:type="dxa"/>
          </w:tcPr>
          <w:p w14:paraId="71550347" w14:textId="77777777" w:rsidR="00182709" w:rsidRDefault="0044097C">
            <w:pPr>
              <w:jc w:val="left"/>
            </w:pPr>
            <w:r w:rsidRPr="2856114A">
              <w:rPr>
                <w:color w:val="4472C4" w:themeColor="accent1"/>
                <w:sz w:val="13"/>
                <w:szCs w:val="13"/>
              </w:rPr>
              <w:t>AASB 7.20 (a)(i)</w:t>
            </w:r>
          </w:p>
        </w:tc>
        <w:tc>
          <w:tcPr>
            <w:tcW w:w="3759" w:type="dxa"/>
          </w:tcPr>
          <w:p w14:paraId="656BB752" w14:textId="77777777" w:rsidR="00182709" w:rsidRDefault="0044097C" w:rsidP="000064CD">
            <w:pPr>
              <w:ind w:left="170" w:hanging="170"/>
              <w:jc w:val="left"/>
            </w:pPr>
            <w:r>
              <w:t>Debt investments mandatorily measured at fair value through profit/loss</w:t>
            </w:r>
          </w:p>
        </w:tc>
        <w:tc>
          <w:tcPr>
            <w:tcW w:w="864" w:type="dxa"/>
          </w:tcPr>
          <w:p w14:paraId="7064C0CB" w14:textId="77777777" w:rsidR="00182709" w:rsidRDefault="0044097C">
            <w:r>
              <w:t>400</w:t>
            </w:r>
          </w:p>
        </w:tc>
        <w:tc>
          <w:tcPr>
            <w:tcW w:w="864" w:type="dxa"/>
          </w:tcPr>
          <w:p w14:paraId="64451D30" w14:textId="77777777" w:rsidR="00182709" w:rsidRDefault="0044097C">
            <w:r>
              <w:t>1 262</w:t>
            </w:r>
          </w:p>
        </w:tc>
        <w:tc>
          <w:tcPr>
            <w:tcW w:w="864" w:type="dxa"/>
          </w:tcPr>
          <w:p w14:paraId="4A7D9493" w14:textId="77777777" w:rsidR="00182709" w:rsidRDefault="0044097C">
            <w:r>
              <w:t>..</w:t>
            </w:r>
          </w:p>
        </w:tc>
        <w:tc>
          <w:tcPr>
            <w:tcW w:w="864" w:type="dxa"/>
          </w:tcPr>
          <w:p w14:paraId="4EB9B8F2" w14:textId="77777777" w:rsidR="00182709" w:rsidRDefault="0044097C">
            <w:r>
              <w:t>..</w:t>
            </w:r>
          </w:p>
        </w:tc>
        <w:tc>
          <w:tcPr>
            <w:tcW w:w="864" w:type="dxa"/>
          </w:tcPr>
          <w:p w14:paraId="45F90B2F" w14:textId="77777777" w:rsidR="00182709" w:rsidRDefault="0044097C">
            <w:r>
              <w:t>1 662</w:t>
            </w:r>
          </w:p>
        </w:tc>
      </w:tr>
      <w:tr w:rsidR="00182709" w14:paraId="1B88CAC7" w14:textId="77777777" w:rsidTr="005B452C">
        <w:tc>
          <w:tcPr>
            <w:tcW w:w="1560" w:type="dxa"/>
          </w:tcPr>
          <w:p w14:paraId="66664B23" w14:textId="77777777" w:rsidR="00182709" w:rsidRDefault="0044097C">
            <w:pPr>
              <w:jc w:val="left"/>
            </w:pPr>
            <w:r w:rsidRPr="2856114A">
              <w:rPr>
                <w:color w:val="4472C4" w:themeColor="accent1"/>
                <w:sz w:val="13"/>
                <w:szCs w:val="13"/>
              </w:rPr>
              <w:t>AASB 7.20(a)(i), (b)</w:t>
            </w:r>
          </w:p>
        </w:tc>
        <w:tc>
          <w:tcPr>
            <w:tcW w:w="3759" w:type="dxa"/>
          </w:tcPr>
          <w:p w14:paraId="7D5D6A6F" w14:textId="77777777" w:rsidR="00182709" w:rsidRDefault="0044097C" w:rsidP="000064CD">
            <w:pPr>
              <w:ind w:left="170" w:hanging="170"/>
              <w:jc w:val="left"/>
            </w:pPr>
            <w:r>
              <w:t>Equity investments designated at fair value through profit/loss</w:t>
            </w:r>
          </w:p>
        </w:tc>
        <w:tc>
          <w:tcPr>
            <w:tcW w:w="864" w:type="dxa"/>
          </w:tcPr>
          <w:p w14:paraId="03C913AC" w14:textId="77777777" w:rsidR="00182709" w:rsidRDefault="0044097C">
            <w:r>
              <w:t>210</w:t>
            </w:r>
          </w:p>
        </w:tc>
        <w:tc>
          <w:tcPr>
            <w:tcW w:w="864" w:type="dxa"/>
          </w:tcPr>
          <w:p w14:paraId="54045DF6" w14:textId="77777777" w:rsidR="00182709" w:rsidRDefault="0044097C">
            <w:r>
              <w:t>1 635</w:t>
            </w:r>
          </w:p>
        </w:tc>
        <w:tc>
          <w:tcPr>
            <w:tcW w:w="864" w:type="dxa"/>
          </w:tcPr>
          <w:p w14:paraId="46959436" w14:textId="77777777" w:rsidR="00182709" w:rsidRDefault="0044097C">
            <w:r>
              <w:t>..</w:t>
            </w:r>
          </w:p>
        </w:tc>
        <w:tc>
          <w:tcPr>
            <w:tcW w:w="864" w:type="dxa"/>
          </w:tcPr>
          <w:p w14:paraId="7363C065" w14:textId="77777777" w:rsidR="00182709" w:rsidRDefault="0044097C">
            <w:r>
              <w:t>(276)</w:t>
            </w:r>
          </w:p>
        </w:tc>
        <w:tc>
          <w:tcPr>
            <w:tcW w:w="864" w:type="dxa"/>
          </w:tcPr>
          <w:p w14:paraId="54D8C84B" w14:textId="77777777" w:rsidR="00182709" w:rsidRDefault="0044097C">
            <w:r>
              <w:t>1 569</w:t>
            </w:r>
          </w:p>
        </w:tc>
      </w:tr>
      <w:tr w:rsidR="00182709" w14:paraId="118789BA" w14:textId="77777777" w:rsidTr="005B452C">
        <w:tc>
          <w:tcPr>
            <w:tcW w:w="1560" w:type="dxa"/>
          </w:tcPr>
          <w:p w14:paraId="69D7EC7D" w14:textId="77777777" w:rsidR="00182709" w:rsidRDefault="0044097C">
            <w:pPr>
              <w:jc w:val="left"/>
            </w:pPr>
            <w:r>
              <w:rPr>
                <w:color w:val="4472C4"/>
                <w:sz w:val="13"/>
              </w:rPr>
              <w:t>AASB 7.20(a)(vii)</w:t>
            </w:r>
          </w:p>
        </w:tc>
        <w:tc>
          <w:tcPr>
            <w:tcW w:w="3759" w:type="dxa"/>
          </w:tcPr>
          <w:p w14:paraId="1B985A18" w14:textId="77777777" w:rsidR="00182709" w:rsidRDefault="0044097C" w:rsidP="000064CD">
            <w:pPr>
              <w:ind w:left="170" w:hanging="170"/>
              <w:jc w:val="left"/>
            </w:pPr>
            <w:r>
              <w:t>Equity investments designated at fair value through other comprehensive income – recognised in other comprehensive income</w:t>
            </w:r>
          </w:p>
        </w:tc>
        <w:tc>
          <w:tcPr>
            <w:tcW w:w="864" w:type="dxa"/>
          </w:tcPr>
          <w:p w14:paraId="3EC506A9" w14:textId="77777777" w:rsidR="00182709" w:rsidRDefault="0044097C">
            <w:r>
              <w:t>..</w:t>
            </w:r>
          </w:p>
        </w:tc>
        <w:tc>
          <w:tcPr>
            <w:tcW w:w="864" w:type="dxa"/>
          </w:tcPr>
          <w:p w14:paraId="279D6739" w14:textId="77777777" w:rsidR="00182709" w:rsidRDefault="0044097C">
            <w:r>
              <w:t>..</w:t>
            </w:r>
          </w:p>
        </w:tc>
        <w:tc>
          <w:tcPr>
            <w:tcW w:w="864" w:type="dxa"/>
          </w:tcPr>
          <w:p w14:paraId="5C8DC9C6" w14:textId="77777777" w:rsidR="00182709" w:rsidRDefault="0044097C">
            <w:r>
              <w:t>..</w:t>
            </w:r>
          </w:p>
        </w:tc>
        <w:tc>
          <w:tcPr>
            <w:tcW w:w="864" w:type="dxa"/>
          </w:tcPr>
          <w:p w14:paraId="4682A97D" w14:textId="77777777" w:rsidR="00182709" w:rsidRDefault="0044097C">
            <w:r>
              <w:t>..</w:t>
            </w:r>
          </w:p>
        </w:tc>
        <w:tc>
          <w:tcPr>
            <w:tcW w:w="864" w:type="dxa"/>
          </w:tcPr>
          <w:p w14:paraId="1DAD0438" w14:textId="77777777" w:rsidR="00182709" w:rsidRDefault="0044097C">
            <w:r>
              <w:t>..</w:t>
            </w:r>
          </w:p>
        </w:tc>
      </w:tr>
      <w:tr w:rsidR="00182709" w14:paraId="321BC128" w14:textId="77777777" w:rsidTr="005B452C">
        <w:tc>
          <w:tcPr>
            <w:tcW w:w="1560" w:type="dxa"/>
          </w:tcPr>
          <w:p w14:paraId="17BB4C96" w14:textId="77777777" w:rsidR="00182709" w:rsidRDefault="0044097C">
            <w:pPr>
              <w:jc w:val="left"/>
            </w:pPr>
            <w:r>
              <w:rPr>
                <w:color w:val="4472C4"/>
                <w:sz w:val="13"/>
              </w:rPr>
              <w:t>AASB 7.20 (a)(vi)</w:t>
            </w:r>
          </w:p>
        </w:tc>
        <w:tc>
          <w:tcPr>
            <w:tcW w:w="3759" w:type="dxa"/>
            <w:tcBorders>
              <w:bottom w:val="single" w:sz="12" w:space="0" w:color="auto"/>
            </w:tcBorders>
          </w:tcPr>
          <w:p w14:paraId="0775C9D2" w14:textId="77777777" w:rsidR="00182709" w:rsidRDefault="0044097C" w:rsidP="000064CD">
            <w:pPr>
              <w:ind w:left="170" w:hanging="170"/>
              <w:jc w:val="left"/>
            </w:pPr>
            <w:r>
              <w:t>Financial assets at amortised cost</w:t>
            </w:r>
          </w:p>
        </w:tc>
        <w:tc>
          <w:tcPr>
            <w:tcW w:w="864" w:type="dxa"/>
            <w:tcBorders>
              <w:bottom w:val="single" w:sz="12" w:space="0" w:color="auto"/>
            </w:tcBorders>
          </w:tcPr>
          <w:p w14:paraId="4CCC4106" w14:textId="77777777" w:rsidR="00182709" w:rsidRDefault="0044097C">
            <w:r>
              <w:t>..</w:t>
            </w:r>
          </w:p>
        </w:tc>
        <w:tc>
          <w:tcPr>
            <w:tcW w:w="864" w:type="dxa"/>
            <w:tcBorders>
              <w:bottom w:val="single" w:sz="12" w:space="0" w:color="auto"/>
            </w:tcBorders>
          </w:tcPr>
          <w:p w14:paraId="52E764CF" w14:textId="77777777" w:rsidR="00182709" w:rsidRDefault="0044097C">
            <w:r>
              <w:t>..</w:t>
            </w:r>
          </w:p>
        </w:tc>
        <w:tc>
          <w:tcPr>
            <w:tcW w:w="864" w:type="dxa"/>
            <w:tcBorders>
              <w:bottom w:val="single" w:sz="12" w:space="0" w:color="auto"/>
            </w:tcBorders>
          </w:tcPr>
          <w:p w14:paraId="12134D0B" w14:textId="77777777" w:rsidR="00182709" w:rsidRDefault="0044097C">
            <w:r>
              <w:t>..</w:t>
            </w:r>
          </w:p>
        </w:tc>
        <w:tc>
          <w:tcPr>
            <w:tcW w:w="864" w:type="dxa"/>
            <w:tcBorders>
              <w:bottom w:val="single" w:sz="12" w:space="0" w:color="auto"/>
            </w:tcBorders>
          </w:tcPr>
          <w:p w14:paraId="097F4B6F" w14:textId="77777777" w:rsidR="00182709" w:rsidRDefault="0044097C">
            <w:r>
              <w:t>..</w:t>
            </w:r>
          </w:p>
        </w:tc>
        <w:tc>
          <w:tcPr>
            <w:tcW w:w="864" w:type="dxa"/>
            <w:tcBorders>
              <w:bottom w:val="single" w:sz="12" w:space="0" w:color="auto"/>
            </w:tcBorders>
          </w:tcPr>
          <w:p w14:paraId="737D89C8" w14:textId="77777777" w:rsidR="00182709" w:rsidRDefault="0044097C">
            <w:r>
              <w:t>..</w:t>
            </w:r>
          </w:p>
        </w:tc>
      </w:tr>
      <w:tr w:rsidR="00671D55" w14:paraId="5B5AA27C" w14:textId="77777777" w:rsidTr="005B452C">
        <w:tc>
          <w:tcPr>
            <w:tcW w:w="1560" w:type="dxa"/>
          </w:tcPr>
          <w:p w14:paraId="6DCDECFA" w14:textId="77777777" w:rsidR="00182709" w:rsidRDefault="00182709">
            <w:pPr>
              <w:jc w:val="left"/>
            </w:pPr>
          </w:p>
        </w:tc>
        <w:tc>
          <w:tcPr>
            <w:tcW w:w="3759" w:type="dxa"/>
          </w:tcPr>
          <w:p w14:paraId="10091DAC" w14:textId="77777777" w:rsidR="00182709" w:rsidRDefault="0044097C" w:rsidP="000064CD">
            <w:pPr>
              <w:ind w:left="170" w:hanging="170"/>
              <w:jc w:val="left"/>
            </w:pPr>
            <w:r>
              <w:rPr>
                <w:b/>
              </w:rPr>
              <w:t>Total contractual financial assets</w:t>
            </w:r>
          </w:p>
        </w:tc>
        <w:tc>
          <w:tcPr>
            <w:tcW w:w="864" w:type="dxa"/>
          </w:tcPr>
          <w:p w14:paraId="48C403DC" w14:textId="77777777" w:rsidR="00182709" w:rsidRDefault="0044097C">
            <w:r>
              <w:rPr>
                <w:b/>
              </w:rPr>
              <w:t>610</w:t>
            </w:r>
          </w:p>
        </w:tc>
        <w:tc>
          <w:tcPr>
            <w:tcW w:w="864" w:type="dxa"/>
          </w:tcPr>
          <w:p w14:paraId="22D4E77D" w14:textId="77777777" w:rsidR="00182709" w:rsidRDefault="0044097C">
            <w:r>
              <w:rPr>
                <w:b/>
              </w:rPr>
              <w:t>2 897</w:t>
            </w:r>
          </w:p>
        </w:tc>
        <w:tc>
          <w:tcPr>
            <w:tcW w:w="864" w:type="dxa"/>
          </w:tcPr>
          <w:p w14:paraId="5CC174B5" w14:textId="77777777" w:rsidR="00182709" w:rsidRDefault="0044097C">
            <w:r>
              <w:rPr>
                <w:b/>
              </w:rPr>
              <w:t>..</w:t>
            </w:r>
          </w:p>
        </w:tc>
        <w:tc>
          <w:tcPr>
            <w:tcW w:w="864" w:type="dxa"/>
          </w:tcPr>
          <w:p w14:paraId="04A73CD8" w14:textId="77777777" w:rsidR="00182709" w:rsidRDefault="0044097C">
            <w:r>
              <w:rPr>
                <w:b/>
              </w:rPr>
              <w:t>(276)</w:t>
            </w:r>
          </w:p>
        </w:tc>
        <w:tc>
          <w:tcPr>
            <w:tcW w:w="864" w:type="dxa"/>
          </w:tcPr>
          <w:p w14:paraId="1ED5CBF7" w14:textId="77777777" w:rsidR="00182709" w:rsidRDefault="0044097C">
            <w:r>
              <w:rPr>
                <w:b/>
              </w:rPr>
              <w:t>3 231</w:t>
            </w:r>
          </w:p>
        </w:tc>
      </w:tr>
      <w:tr w:rsidR="00671D55" w14:paraId="252EF5EB" w14:textId="77777777" w:rsidTr="005B452C">
        <w:tc>
          <w:tcPr>
            <w:tcW w:w="1560" w:type="dxa"/>
          </w:tcPr>
          <w:p w14:paraId="6026341F" w14:textId="77777777" w:rsidR="00182709" w:rsidRDefault="00182709">
            <w:pPr>
              <w:jc w:val="left"/>
            </w:pPr>
          </w:p>
        </w:tc>
        <w:tc>
          <w:tcPr>
            <w:tcW w:w="3759" w:type="dxa"/>
          </w:tcPr>
          <w:p w14:paraId="34AA70AA" w14:textId="77777777" w:rsidR="00182709" w:rsidRDefault="0044097C" w:rsidP="000064CD">
            <w:pPr>
              <w:ind w:left="170" w:hanging="170"/>
              <w:jc w:val="left"/>
            </w:pPr>
            <w:r>
              <w:rPr>
                <w:b/>
              </w:rPr>
              <w:t>Contractual financial liabilities</w:t>
            </w:r>
          </w:p>
        </w:tc>
        <w:tc>
          <w:tcPr>
            <w:tcW w:w="864" w:type="dxa"/>
          </w:tcPr>
          <w:p w14:paraId="09B0F6B6" w14:textId="77777777" w:rsidR="00182709" w:rsidRDefault="00182709"/>
        </w:tc>
        <w:tc>
          <w:tcPr>
            <w:tcW w:w="864" w:type="dxa"/>
          </w:tcPr>
          <w:p w14:paraId="64F56C7F" w14:textId="77777777" w:rsidR="00182709" w:rsidRDefault="00182709"/>
        </w:tc>
        <w:tc>
          <w:tcPr>
            <w:tcW w:w="864" w:type="dxa"/>
          </w:tcPr>
          <w:p w14:paraId="36502FCF" w14:textId="77777777" w:rsidR="00182709" w:rsidRDefault="00182709"/>
        </w:tc>
        <w:tc>
          <w:tcPr>
            <w:tcW w:w="864" w:type="dxa"/>
          </w:tcPr>
          <w:p w14:paraId="3D46F2B7" w14:textId="77777777" w:rsidR="00182709" w:rsidRDefault="00182709"/>
        </w:tc>
        <w:tc>
          <w:tcPr>
            <w:tcW w:w="864" w:type="dxa"/>
          </w:tcPr>
          <w:p w14:paraId="65DA1A24" w14:textId="77777777" w:rsidR="00182709" w:rsidRDefault="00182709"/>
        </w:tc>
      </w:tr>
      <w:tr w:rsidR="00182709" w14:paraId="0E4EF027" w14:textId="77777777" w:rsidTr="005B452C">
        <w:tc>
          <w:tcPr>
            <w:tcW w:w="1560" w:type="dxa"/>
          </w:tcPr>
          <w:p w14:paraId="099497A0" w14:textId="77777777" w:rsidR="00182709" w:rsidRDefault="0044097C">
            <w:pPr>
              <w:jc w:val="left"/>
            </w:pPr>
            <w:r w:rsidRPr="2856114A">
              <w:rPr>
                <w:color w:val="4472C4" w:themeColor="accent1"/>
                <w:sz w:val="13"/>
                <w:szCs w:val="13"/>
              </w:rPr>
              <w:t>AASB 7.20(a)(v),(b), (c)(i)</w:t>
            </w:r>
          </w:p>
        </w:tc>
        <w:tc>
          <w:tcPr>
            <w:tcW w:w="3759" w:type="dxa"/>
          </w:tcPr>
          <w:p w14:paraId="24898143" w14:textId="77777777" w:rsidR="00182709" w:rsidRDefault="0044097C" w:rsidP="000064CD">
            <w:pPr>
              <w:ind w:left="170" w:hanging="170"/>
              <w:jc w:val="left"/>
            </w:pPr>
            <w:r>
              <w:t>Financial liabilities at amortised cost</w:t>
            </w:r>
          </w:p>
        </w:tc>
        <w:tc>
          <w:tcPr>
            <w:tcW w:w="864" w:type="dxa"/>
          </w:tcPr>
          <w:p w14:paraId="4A309A4A" w14:textId="77777777" w:rsidR="00182709" w:rsidRDefault="0044097C">
            <w:r>
              <w:t>1 420</w:t>
            </w:r>
          </w:p>
        </w:tc>
        <w:tc>
          <w:tcPr>
            <w:tcW w:w="864" w:type="dxa"/>
          </w:tcPr>
          <w:p w14:paraId="459BF681" w14:textId="77777777" w:rsidR="00182709" w:rsidRDefault="0044097C">
            <w:r>
              <w:t>(8 575)</w:t>
            </w:r>
          </w:p>
        </w:tc>
        <w:tc>
          <w:tcPr>
            <w:tcW w:w="864" w:type="dxa"/>
          </w:tcPr>
          <w:p w14:paraId="0B4C82BE" w14:textId="77777777" w:rsidR="00182709" w:rsidRDefault="0044097C">
            <w:r>
              <w:t>144</w:t>
            </w:r>
          </w:p>
        </w:tc>
        <w:tc>
          <w:tcPr>
            <w:tcW w:w="864" w:type="dxa"/>
          </w:tcPr>
          <w:p w14:paraId="11405844" w14:textId="77777777" w:rsidR="00182709" w:rsidRDefault="0044097C">
            <w:r>
              <w:t>..</w:t>
            </w:r>
          </w:p>
        </w:tc>
        <w:tc>
          <w:tcPr>
            <w:tcW w:w="864" w:type="dxa"/>
          </w:tcPr>
          <w:p w14:paraId="6C86E6BE" w14:textId="77777777" w:rsidR="00182709" w:rsidRDefault="0044097C">
            <w:r>
              <w:t>(7 011)</w:t>
            </w:r>
          </w:p>
        </w:tc>
      </w:tr>
      <w:tr w:rsidR="00182709" w14:paraId="204C732B" w14:textId="77777777" w:rsidTr="005B452C">
        <w:tc>
          <w:tcPr>
            <w:tcW w:w="1560" w:type="dxa"/>
          </w:tcPr>
          <w:p w14:paraId="055FB5A7" w14:textId="77777777" w:rsidR="00182709" w:rsidRDefault="0044097C">
            <w:pPr>
              <w:jc w:val="left"/>
            </w:pPr>
            <w:r w:rsidRPr="2856114A">
              <w:rPr>
                <w:color w:val="4472C4" w:themeColor="accent1"/>
                <w:sz w:val="13"/>
                <w:szCs w:val="13"/>
              </w:rPr>
              <w:t>AASB 7.20(a)(i),(b), (c)(i)</w:t>
            </w:r>
          </w:p>
        </w:tc>
        <w:tc>
          <w:tcPr>
            <w:tcW w:w="3759" w:type="dxa"/>
            <w:tcBorders>
              <w:bottom w:val="single" w:sz="12" w:space="0" w:color="auto"/>
            </w:tcBorders>
          </w:tcPr>
          <w:p w14:paraId="43C884F6" w14:textId="77777777" w:rsidR="00182709" w:rsidRDefault="0044097C" w:rsidP="000064CD">
            <w:pPr>
              <w:ind w:left="170" w:hanging="170"/>
              <w:jc w:val="left"/>
            </w:pPr>
            <w:r>
              <w:t>Financial liabilities designated at fair value through profit/loss</w:t>
            </w:r>
          </w:p>
        </w:tc>
        <w:tc>
          <w:tcPr>
            <w:tcW w:w="864" w:type="dxa"/>
            <w:tcBorders>
              <w:bottom w:val="single" w:sz="12" w:space="0" w:color="auto"/>
            </w:tcBorders>
          </w:tcPr>
          <w:p w14:paraId="7EA19B2B" w14:textId="77777777" w:rsidR="00182709" w:rsidRDefault="0044097C">
            <w:r>
              <w:t>..</w:t>
            </w:r>
          </w:p>
        </w:tc>
        <w:tc>
          <w:tcPr>
            <w:tcW w:w="864" w:type="dxa"/>
            <w:tcBorders>
              <w:bottom w:val="single" w:sz="12" w:space="0" w:color="auto"/>
            </w:tcBorders>
          </w:tcPr>
          <w:p w14:paraId="18CABD9B" w14:textId="77777777" w:rsidR="00182709" w:rsidRDefault="0044097C">
            <w:r>
              <w:t>..</w:t>
            </w:r>
          </w:p>
        </w:tc>
        <w:tc>
          <w:tcPr>
            <w:tcW w:w="864" w:type="dxa"/>
            <w:tcBorders>
              <w:bottom w:val="single" w:sz="12" w:space="0" w:color="auto"/>
            </w:tcBorders>
          </w:tcPr>
          <w:p w14:paraId="34D895E3" w14:textId="77777777" w:rsidR="00182709" w:rsidRDefault="0044097C">
            <w:r>
              <w:t>..</w:t>
            </w:r>
          </w:p>
        </w:tc>
        <w:tc>
          <w:tcPr>
            <w:tcW w:w="864" w:type="dxa"/>
            <w:tcBorders>
              <w:bottom w:val="single" w:sz="12" w:space="0" w:color="auto"/>
            </w:tcBorders>
          </w:tcPr>
          <w:p w14:paraId="73FAF03E" w14:textId="77777777" w:rsidR="00182709" w:rsidRDefault="0044097C">
            <w:r>
              <w:t>..</w:t>
            </w:r>
          </w:p>
        </w:tc>
        <w:tc>
          <w:tcPr>
            <w:tcW w:w="864" w:type="dxa"/>
            <w:tcBorders>
              <w:bottom w:val="single" w:sz="12" w:space="0" w:color="auto"/>
            </w:tcBorders>
          </w:tcPr>
          <w:p w14:paraId="7CDF5F00" w14:textId="77777777" w:rsidR="00182709" w:rsidRDefault="0044097C">
            <w:r>
              <w:t>..</w:t>
            </w:r>
          </w:p>
        </w:tc>
      </w:tr>
      <w:tr w:rsidR="00671D55" w14:paraId="43666F18" w14:textId="77777777" w:rsidTr="005B452C">
        <w:tc>
          <w:tcPr>
            <w:tcW w:w="1560" w:type="dxa"/>
            <w:tcBorders>
              <w:bottom w:val="nil"/>
            </w:tcBorders>
          </w:tcPr>
          <w:p w14:paraId="2FEB0F50" w14:textId="77777777" w:rsidR="00182709" w:rsidRDefault="00182709">
            <w:pPr>
              <w:jc w:val="left"/>
            </w:pPr>
          </w:p>
        </w:tc>
        <w:tc>
          <w:tcPr>
            <w:tcW w:w="3759" w:type="dxa"/>
          </w:tcPr>
          <w:p w14:paraId="67B74FF8" w14:textId="77777777" w:rsidR="00182709" w:rsidRDefault="0044097C" w:rsidP="000064CD">
            <w:pPr>
              <w:ind w:left="170" w:hanging="170"/>
              <w:jc w:val="left"/>
            </w:pPr>
            <w:r>
              <w:rPr>
                <w:b/>
              </w:rPr>
              <w:t>Total contractual financial liabilities</w:t>
            </w:r>
          </w:p>
        </w:tc>
        <w:tc>
          <w:tcPr>
            <w:tcW w:w="864" w:type="dxa"/>
          </w:tcPr>
          <w:p w14:paraId="7E83CA1C" w14:textId="77777777" w:rsidR="00182709" w:rsidRDefault="0044097C">
            <w:r>
              <w:rPr>
                <w:b/>
              </w:rPr>
              <w:t>1 420</w:t>
            </w:r>
          </w:p>
        </w:tc>
        <w:tc>
          <w:tcPr>
            <w:tcW w:w="864" w:type="dxa"/>
          </w:tcPr>
          <w:p w14:paraId="20ED9F64" w14:textId="77777777" w:rsidR="00182709" w:rsidRDefault="0044097C">
            <w:r>
              <w:rPr>
                <w:b/>
              </w:rPr>
              <w:t>(8 575)</w:t>
            </w:r>
          </w:p>
        </w:tc>
        <w:tc>
          <w:tcPr>
            <w:tcW w:w="864" w:type="dxa"/>
          </w:tcPr>
          <w:p w14:paraId="570885AF" w14:textId="77777777" w:rsidR="00182709" w:rsidRDefault="0044097C">
            <w:r>
              <w:rPr>
                <w:b/>
              </w:rPr>
              <w:t>144</w:t>
            </w:r>
          </w:p>
        </w:tc>
        <w:tc>
          <w:tcPr>
            <w:tcW w:w="864" w:type="dxa"/>
          </w:tcPr>
          <w:p w14:paraId="7CFD79EA" w14:textId="77777777" w:rsidR="00182709" w:rsidRDefault="0044097C">
            <w:r>
              <w:rPr>
                <w:b/>
              </w:rPr>
              <w:t>..</w:t>
            </w:r>
          </w:p>
        </w:tc>
        <w:tc>
          <w:tcPr>
            <w:tcW w:w="864" w:type="dxa"/>
          </w:tcPr>
          <w:p w14:paraId="233B0311" w14:textId="33FBB629" w:rsidR="00182709" w:rsidRDefault="0044097C">
            <w:r>
              <w:rPr>
                <w:b/>
              </w:rPr>
              <w:t>(7 011)</w:t>
            </w:r>
          </w:p>
        </w:tc>
      </w:tr>
    </w:tbl>
    <w:p w14:paraId="4073716D" w14:textId="77777777" w:rsidR="003719CD" w:rsidRDefault="003719CD" w:rsidP="00DC39DE"/>
    <w:p w14:paraId="27D32715" w14:textId="77777777" w:rsidR="003719CD" w:rsidRDefault="003719CD" w:rsidP="00DC39DE">
      <w:r>
        <w:t>[</w:t>
      </w:r>
      <w:r w:rsidRPr="00AC1D66">
        <w:rPr>
          <w:b/>
          <w:bCs/>
        </w:rPr>
        <w:t>Note</w:t>
      </w:r>
      <w:r>
        <w:t xml:space="preserve">: Amounts disclosed in this table exclude holding gains and losses related to statutory financial assets and liabilities.] </w:t>
      </w:r>
    </w:p>
    <w:p w14:paraId="6A8F2B37" w14:textId="77777777" w:rsidR="003719CD" w:rsidRDefault="003719CD" w:rsidP="00DC39DE">
      <w:r>
        <w:t>The net holding gains or losses disclosed above are determined as follows:</w:t>
      </w:r>
    </w:p>
    <w:p w14:paraId="1179CDFA" w14:textId="2D38AEDA" w:rsidR="003719CD" w:rsidRDefault="00793EC5" w:rsidP="00310F12">
      <w:pPr>
        <w:pStyle w:val="ListBullet"/>
      </w:pPr>
      <w:r>
        <w:t>F</w:t>
      </w:r>
      <w:r w:rsidR="003719CD">
        <w:t>or cash and cash equivalents, financial assets at amortised cost and debt instruments that are classified as financial assets at fair value through other comprehensive income, the net gain or loss is calculated by taking the movement in the fair value of the asset, the interest income, plus or minus foreign exchange gains or losses arising from revaluation of the financial assets, and minus any impairment recognised in the net result</w:t>
      </w:r>
    </w:p>
    <w:p w14:paraId="08DFA001" w14:textId="72989EDC" w:rsidR="003719CD" w:rsidRDefault="00793EC5" w:rsidP="00310F12">
      <w:pPr>
        <w:pStyle w:val="ListBullet"/>
      </w:pPr>
      <w:r>
        <w:t>F</w:t>
      </w:r>
      <w:r w:rsidR="003719CD">
        <w:t>or financial liabilities measured at amortised cost, the net gain or loss is calculated by taking the interest expense, plus or minus foreign exchange gains or losses arising from the revaluation of financial liabilities measured at amortised cost</w:t>
      </w:r>
    </w:p>
    <w:p w14:paraId="0609F1FA" w14:textId="64134A91" w:rsidR="003719CD" w:rsidRDefault="00793EC5" w:rsidP="00310F12">
      <w:pPr>
        <w:pStyle w:val="ListBullet"/>
      </w:pPr>
      <w:r>
        <w:t>F</w:t>
      </w:r>
      <w:r w:rsidR="003719CD">
        <w:t>or financial asset and liabilities that are mandatorily measured at or designated at fair value through net result, the net gain or loss is calculated by taking the movement in the fair value of the financial asset or liability.</w:t>
      </w:r>
    </w:p>
    <w:p w14:paraId="1014C7E6" w14:textId="77777777" w:rsidR="005B452C" w:rsidRDefault="005B452C">
      <w:pPr>
        <w:keepLines w:val="0"/>
        <w:rPr>
          <w:b/>
          <w:iCs/>
          <w:color w:val="404040" w:themeColor="text1" w:themeTint="BF"/>
        </w:rPr>
      </w:pPr>
      <w:r>
        <w:br w:type="page"/>
      </w:r>
    </w:p>
    <w:p w14:paraId="4694AC5B" w14:textId="638C152A" w:rsidR="003719CD" w:rsidRDefault="003719CD" w:rsidP="007D536F">
      <w:pPr>
        <w:pStyle w:val="Caption"/>
      </w:pPr>
      <w:r>
        <w:lastRenderedPageBreak/>
        <w:t>Financial liabilities designated at fair value through net result changes in fair value relating to the Department’s own credit risk recognised through other comprehensive income</w:t>
      </w:r>
    </w:p>
    <w:tbl>
      <w:tblPr>
        <w:tblStyle w:val="DTFTable"/>
        <w:tblW w:w="9639" w:type="dxa"/>
        <w:tblLayout w:type="fixed"/>
        <w:tblLook w:val="06A0" w:firstRow="1" w:lastRow="0" w:firstColumn="1" w:lastColumn="0" w:noHBand="1" w:noVBand="1"/>
      </w:tblPr>
      <w:tblGrid>
        <w:gridCol w:w="1349"/>
        <w:gridCol w:w="6558"/>
        <w:gridCol w:w="866"/>
        <w:gridCol w:w="866"/>
      </w:tblGrid>
      <w:tr w:rsidR="00170214" w14:paraId="6AAF3FF0" w14:textId="77777777" w:rsidTr="0017021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9" w:type="dxa"/>
            <w:tcBorders>
              <w:top w:val="nil"/>
              <w:bottom w:val="nil"/>
            </w:tcBorders>
            <w:shd w:val="clear" w:color="auto" w:fill="FFFFFF" w:themeFill="background1"/>
          </w:tcPr>
          <w:p w14:paraId="2B81CBBD" w14:textId="77777777" w:rsidR="00170214" w:rsidRDefault="00170214" w:rsidP="00170214">
            <w:pPr>
              <w:keepNext/>
            </w:pPr>
            <w:r>
              <w:rPr>
                <w:color w:val="4472C4"/>
                <w:sz w:val="13"/>
              </w:rPr>
              <w:t>Source reference</w:t>
            </w:r>
          </w:p>
        </w:tc>
        <w:tc>
          <w:tcPr>
            <w:tcW w:w="6558" w:type="dxa"/>
            <w:tcBorders>
              <w:bottom w:val="single" w:sz="12" w:space="0" w:color="auto"/>
            </w:tcBorders>
          </w:tcPr>
          <w:p w14:paraId="2D71CC08" w14:textId="77777777" w:rsidR="00170214" w:rsidRDefault="00170214" w:rsidP="00170214">
            <w:pPr>
              <w:keepNext/>
              <w:jc w:val="left"/>
              <w:cnfStyle w:val="100000000000" w:firstRow="1" w:lastRow="0" w:firstColumn="0" w:lastColumn="0" w:oddVBand="0" w:evenVBand="0" w:oddHBand="0" w:evenHBand="0" w:firstRowFirstColumn="0" w:firstRowLastColumn="0" w:lastRowFirstColumn="0" w:lastRowLastColumn="0"/>
            </w:pPr>
          </w:p>
        </w:tc>
        <w:tc>
          <w:tcPr>
            <w:tcW w:w="866" w:type="dxa"/>
            <w:tcBorders>
              <w:bottom w:val="single" w:sz="12" w:space="0" w:color="auto"/>
            </w:tcBorders>
          </w:tcPr>
          <w:p w14:paraId="01AD157E" w14:textId="5702D820" w:rsidR="00170214" w:rsidRDefault="00170214" w:rsidP="00170214">
            <w:pPr>
              <w:keepNext/>
              <w:cnfStyle w:val="100000000000" w:firstRow="1" w:lastRow="0" w:firstColumn="0" w:lastColumn="0" w:oddVBand="0" w:evenVBand="0" w:oddHBand="0" w:evenHBand="0" w:firstRowFirstColumn="0" w:firstRowLastColumn="0" w:lastRowFirstColumn="0" w:lastRowLastColumn="0"/>
            </w:pPr>
            <w:r>
              <w:rPr>
                <w:iCs/>
              </w:rPr>
              <w:fldChar w:fldCharType="begin"/>
            </w:r>
            <w:r>
              <w:rPr>
                <w:i w:val="0"/>
                <w:iCs/>
              </w:rPr>
              <w:instrText>DOCPROPERTY  YearCurrent \* MERGEFORMAT</w:instrText>
            </w:r>
            <w:r>
              <w:rPr>
                <w:iCs/>
              </w:rPr>
              <w:fldChar w:fldCharType="separate"/>
            </w:r>
            <w:r>
              <w:rPr>
                <w:i w:val="0"/>
                <w:iCs/>
              </w:rPr>
              <w:t>20X2</w:t>
            </w:r>
            <w:r>
              <w:rPr>
                <w:iCs/>
              </w:rPr>
              <w:fldChar w:fldCharType="end"/>
            </w:r>
          </w:p>
        </w:tc>
        <w:tc>
          <w:tcPr>
            <w:tcW w:w="866" w:type="dxa"/>
            <w:tcBorders>
              <w:bottom w:val="single" w:sz="12" w:space="0" w:color="auto"/>
            </w:tcBorders>
          </w:tcPr>
          <w:p w14:paraId="681E3A4B" w14:textId="2237AA37" w:rsidR="00170214" w:rsidRDefault="00170214" w:rsidP="00170214">
            <w:pPr>
              <w:keepNext/>
              <w:cnfStyle w:val="100000000000" w:firstRow="1" w:lastRow="0" w:firstColumn="0" w:lastColumn="0" w:oddVBand="0" w:evenVBand="0" w:oddHBand="0" w:evenHBand="0" w:firstRowFirstColumn="0" w:firstRowLastColumn="0" w:lastRowFirstColumn="0" w:lastRowLastColumn="0"/>
            </w:pPr>
            <w:r>
              <w:rPr>
                <w:iCs/>
              </w:rPr>
              <w:fldChar w:fldCharType="begin"/>
            </w:r>
            <w:r>
              <w:rPr>
                <w:i w:val="0"/>
                <w:iCs/>
              </w:rPr>
              <w:instrText>DOCPROPERTY  YearPrevious  \* MERGEFORMAT</w:instrText>
            </w:r>
            <w:r>
              <w:rPr>
                <w:iCs/>
              </w:rPr>
              <w:fldChar w:fldCharType="separate"/>
            </w:r>
            <w:r>
              <w:rPr>
                <w:i w:val="0"/>
                <w:iCs/>
              </w:rPr>
              <w:t>20X1</w:t>
            </w:r>
            <w:r>
              <w:rPr>
                <w:iCs/>
              </w:rPr>
              <w:fldChar w:fldCharType="end"/>
            </w:r>
          </w:p>
        </w:tc>
      </w:tr>
      <w:tr w:rsidR="00671D55" w14:paraId="3DE36B0F"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6034D239" w14:textId="77777777" w:rsidR="00182709" w:rsidRDefault="0044097C">
            <w:r>
              <w:rPr>
                <w:color w:val="4472C4"/>
                <w:sz w:val="13"/>
              </w:rPr>
              <w:t>AASB 7.10 (a)</w:t>
            </w:r>
          </w:p>
        </w:tc>
        <w:tc>
          <w:tcPr>
            <w:tcW w:w="6558" w:type="dxa"/>
          </w:tcPr>
          <w:p w14:paraId="6571AE18"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Cumulative impact of changes in credit risk</w:t>
            </w:r>
          </w:p>
        </w:tc>
        <w:tc>
          <w:tcPr>
            <w:tcW w:w="866" w:type="dxa"/>
          </w:tcPr>
          <w:p w14:paraId="5530C3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30</w:t>
            </w:r>
          </w:p>
        </w:tc>
        <w:tc>
          <w:tcPr>
            <w:tcW w:w="866" w:type="dxa"/>
          </w:tcPr>
          <w:p w14:paraId="4AC1797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671D55" w14:paraId="01F7481E"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3F1916C8" w14:textId="77777777" w:rsidR="00182709" w:rsidRDefault="00182709"/>
        </w:tc>
        <w:tc>
          <w:tcPr>
            <w:tcW w:w="6558" w:type="dxa"/>
          </w:tcPr>
          <w:p w14:paraId="408BCB4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Carrying amount</w:t>
            </w:r>
          </w:p>
        </w:tc>
        <w:tc>
          <w:tcPr>
            <w:tcW w:w="866" w:type="dxa"/>
          </w:tcPr>
          <w:p w14:paraId="4E0132DC"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866" w:type="dxa"/>
          </w:tcPr>
          <w:p w14:paraId="1F090F3F"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182709" w14:paraId="31A71665"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7AC1BB8C" w14:textId="77777777" w:rsidR="00182709" w:rsidRDefault="00182709"/>
        </w:tc>
        <w:tc>
          <w:tcPr>
            <w:tcW w:w="6558" w:type="dxa"/>
            <w:tcBorders>
              <w:bottom w:val="single" w:sz="12" w:space="0" w:color="auto"/>
            </w:tcBorders>
          </w:tcPr>
          <w:p w14:paraId="7544F32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Contractual amount to be paid</w:t>
            </w:r>
          </w:p>
        </w:tc>
        <w:tc>
          <w:tcPr>
            <w:tcW w:w="866" w:type="dxa"/>
            <w:tcBorders>
              <w:bottom w:val="single" w:sz="12" w:space="0" w:color="auto"/>
            </w:tcBorders>
          </w:tcPr>
          <w:p w14:paraId="713009D5"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866" w:type="dxa"/>
            <w:tcBorders>
              <w:bottom w:val="single" w:sz="12" w:space="0" w:color="auto"/>
            </w:tcBorders>
          </w:tcPr>
          <w:p w14:paraId="5AF63048"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r>
      <w:tr w:rsidR="00671D55" w14:paraId="4F471B5F" w14:textId="77777777" w:rsidTr="00170214">
        <w:tc>
          <w:tcPr>
            <w:cnfStyle w:val="001000000000" w:firstRow="0" w:lastRow="0" w:firstColumn="1" w:lastColumn="0" w:oddVBand="0" w:evenVBand="0" w:oddHBand="0" w:evenHBand="0" w:firstRowFirstColumn="0" w:firstRowLastColumn="0" w:lastRowFirstColumn="0" w:lastRowLastColumn="0"/>
            <w:tcW w:w="1349" w:type="dxa"/>
            <w:tcBorders>
              <w:bottom w:val="nil"/>
            </w:tcBorders>
          </w:tcPr>
          <w:p w14:paraId="7212EB2B" w14:textId="77777777" w:rsidR="00182709" w:rsidRDefault="0044097C">
            <w:r>
              <w:rPr>
                <w:color w:val="4472C4"/>
                <w:sz w:val="13"/>
              </w:rPr>
              <w:t>AASB 7.10 (b)</w:t>
            </w:r>
          </w:p>
        </w:tc>
        <w:tc>
          <w:tcPr>
            <w:tcW w:w="6558" w:type="dxa"/>
          </w:tcPr>
          <w:p w14:paraId="5AD4BF9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Difference</w:t>
            </w:r>
          </w:p>
        </w:tc>
        <w:tc>
          <w:tcPr>
            <w:tcW w:w="866" w:type="dxa"/>
          </w:tcPr>
          <w:p w14:paraId="2EC6DE2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(50)</w:t>
            </w:r>
          </w:p>
        </w:tc>
        <w:tc>
          <w:tcPr>
            <w:tcW w:w="866" w:type="dxa"/>
          </w:tcPr>
          <w:p w14:paraId="1E45069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p w14:paraId="76625048" w14:textId="77777777" w:rsidR="003719CD" w:rsidRDefault="003719CD" w:rsidP="007D536F"/>
    <w:p w14:paraId="34AECBD3" w14:textId="77777777" w:rsidR="003719CD" w:rsidRDefault="003719CD" w:rsidP="007D536F">
      <w:pPr>
        <w:pStyle w:val="GuidanceBlockHeading"/>
      </w:pPr>
      <w:r>
        <w:t>Guidance – Categorisation of financial instruments [AASB 7.8]</w:t>
      </w:r>
    </w:p>
    <w:p w14:paraId="30CE2642" w14:textId="77777777" w:rsidR="003719CD" w:rsidRPr="00427AC0" w:rsidRDefault="003719CD" w:rsidP="007D536F">
      <w:pPr>
        <w:pStyle w:val="GuidanceHeading"/>
        <w:rPr>
          <w:rStyle w:val="Guidance"/>
        </w:rPr>
      </w:pPr>
      <w:r w:rsidRPr="00427AC0">
        <w:rPr>
          <w:rStyle w:val="Guidance"/>
        </w:rPr>
        <w:t>Categories of financial instruments</w:t>
      </w:r>
      <w:r w:rsidRPr="00427AC0">
        <w:rPr>
          <w:rStyle w:val="Reference"/>
        </w:rPr>
        <w:t xml:space="preserve"> [AASB 7.7]</w:t>
      </w:r>
    </w:p>
    <w:p w14:paraId="6F9E8C30" w14:textId="77777777" w:rsidR="003719CD" w:rsidRPr="00427AC0" w:rsidRDefault="003719CD" w:rsidP="007D536F">
      <w:pPr>
        <w:rPr>
          <w:rStyle w:val="Guidance"/>
        </w:rPr>
      </w:pPr>
      <w:r w:rsidRPr="00427AC0">
        <w:rPr>
          <w:rStyle w:val="Guidance"/>
        </w:rPr>
        <w:t>An entity shall disclose the carrying amounts of the following categories either in the balance sheet or in the notes:</w:t>
      </w:r>
    </w:p>
    <w:p w14:paraId="307501F4" w14:textId="77777777" w:rsidR="003719CD" w:rsidRPr="00427AC0" w:rsidRDefault="003719CD" w:rsidP="00310F12">
      <w:pPr>
        <w:pStyle w:val="ListBullet"/>
        <w:rPr>
          <w:rStyle w:val="Guidance"/>
        </w:rPr>
      </w:pPr>
      <w:r w:rsidRPr="00427AC0">
        <w:rPr>
          <w:rStyle w:val="Guidance"/>
        </w:rPr>
        <w:t xml:space="preserve">financial instruments (contractual financial assets or financial liabilities) at fair value through profit or loss, showing separately: </w:t>
      </w:r>
    </w:p>
    <w:p w14:paraId="13D8B281" w14:textId="5A9C29DC" w:rsidR="003719CD" w:rsidRPr="00427AC0" w:rsidRDefault="003719CD" w:rsidP="001C7090">
      <w:pPr>
        <w:pStyle w:val="ListBullet2"/>
        <w:rPr>
          <w:rStyle w:val="Guidance"/>
        </w:rPr>
      </w:pPr>
      <w:r w:rsidRPr="00427AC0">
        <w:rPr>
          <w:rStyle w:val="Guidance"/>
        </w:rPr>
        <w:t xml:space="preserve">those designated as such upon initial recognition </w:t>
      </w:r>
    </w:p>
    <w:p w14:paraId="7B44AF90" w14:textId="77777777" w:rsidR="003719CD" w:rsidRPr="00427AC0" w:rsidRDefault="003719CD" w:rsidP="001C7090">
      <w:pPr>
        <w:pStyle w:val="ListBullet2"/>
        <w:rPr>
          <w:rStyle w:val="Guidance"/>
        </w:rPr>
      </w:pPr>
      <w:r w:rsidRPr="00427AC0">
        <w:rPr>
          <w:rStyle w:val="Guidance"/>
        </w:rPr>
        <w:t>those mandatorily measured as fair value through net result (e.g. those are held for trading).</w:t>
      </w:r>
    </w:p>
    <w:p w14:paraId="15102A11" w14:textId="4DE14692" w:rsidR="003719CD" w:rsidRPr="00427AC0" w:rsidRDefault="003719CD" w:rsidP="00310F12">
      <w:pPr>
        <w:pStyle w:val="ListBullet"/>
        <w:rPr>
          <w:rStyle w:val="Guidance"/>
        </w:rPr>
      </w:pPr>
      <w:r w:rsidRPr="00427AC0">
        <w:rPr>
          <w:rStyle w:val="Guidance"/>
        </w:rPr>
        <w:t>financial assets at amortised cost</w:t>
      </w:r>
    </w:p>
    <w:p w14:paraId="282A804E" w14:textId="565D3757" w:rsidR="003719CD" w:rsidRPr="00427AC0" w:rsidRDefault="003719CD" w:rsidP="00310F12">
      <w:pPr>
        <w:pStyle w:val="ListBullet"/>
        <w:rPr>
          <w:rStyle w:val="Guidance"/>
        </w:rPr>
      </w:pPr>
      <w:r w:rsidRPr="00427AC0">
        <w:rPr>
          <w:rStyle w:val="Guidance"/>
        </w:rPr>
        <w:t>financial instruments at fair value through comprehensive income</w:t>
      </w:r>
    </w:p>
    <w:p w14:paraId="0188F7AC" w14:textId="77777777" w:rsidR="003719CD" w:rsidRPr="00427AC0" w:rsidRDefault="003719CD" w:rsidP="00310F12">
      <w:pPr>
        <w:pStyle w:val="ListBullet"/>
        <w:rPr>
          <w:rStyle w:val="Guidance"/>
        </w:rPr>
      </w:pPr>
      <w:r w:rsidRPr="00427AC0">
        <w:rPr>
          <w:rStyle w:val="Guidance"/>
        </w:rPr>
        <w:t xml:space="preserve">financial liabilities measured at amortised cost. </w:t>
      </w:r>
    </w:p>
    <w:p w14:paraId="7E9231F6" w14:textId="375CB9AB" w:rsidR="003719CD" w:rsidRPr="00427AC0" w:rsidRDefault="003719CD" w:rsidP="007D536F">
      <w:pPr>
        <w:rPr>
          <w:rStyle w:val="Guidance"/>
        </w:rPr>
      </w:pPr>
      <w:r w:rsidRPr="00427AC0">
        <w:rPr>
          <w:rStyle w:val="Guidance"/>
        </w:rPr>
        <w:t xml:space="preserve">Entities in the general government sector and public non-financial corporations sector can refer to FRD 114 </w:t>
      </w:r>
      <w:r w:rsidR="00372B96" w:rsidRPr="00A87414">
        <w:rPr>
          <w:rStyle w:val="Guidance"/>
          <w:i/>
          <w:iCs/>
        </w:rPr>
        <w:t>Financial Instruments</w:t>
      </w:r>
      <w:r w:rsidR="00372B96">
        <w:rPr>
          <w:rStyle w:val="Guidance"/>
        </w:rPr>
        <w:t xml:space="preserve"> </w:t>
      </w:r>
      <w:r w:rsidRPr="00427AC0">
        <w:rPr>
          <w:rStyle w:val="Guidance"/>
        </w:rPr>
        <w:t>for further guidance on the categorisation of financial instruments (for entities in the public financial corporations sector).</w:t>
      </w:r>
    </w:p>
    <w:p w14:paraId="49939837" w14:textId="77777777" w:rsidR="003719CD" w:rsidRPr="00427AC0" w:rsidRDefault="003719CD" w:rsidP="007D536F">
      <w:pPr>
        <w:rPr>
          <w:rStyle w:val="Guidance"/>
        </w:rPr>
      </w:pPr>
      <w:r w:rsidRPr="00427AC0">
        <w:rPr>
          <w:rStyle w:val="Guidance"/>
        </w:rPr>
        <w:t>In relation to the illustrative example in Table 8.1.1, for departments, all trust balances in the Public Account should be included in the category ‘cash and deposit’.</w:t>
      </w:r>
    </w:p>
    <w:p w14:paraId="3E433FEF" w14:textId="4DED0247" w:rsidR="003719CD" w:rsidRPr="00427AC0" w:rsidRDefault="003719CD" w:rsidP="007D536F">
      <w:pPr>
        <w:pStyle w:val="GuidanceHeading"/>
        <w:rPr>
          <w:rStyle w:val="Guidance"/>
        </w:rPr>
      </w:pPr>
      <w:r w:rsidRPr="00427AC0">
        <w:rPr>
          <w:rStyle w:val="Guidance"/>
        </w:rPr>
        <w:t>Capital management objectives</w:t>
      </w:r>
    </w:p>
    <w:p w14:paraId="34F89861" w14:textId="77777777" w:rsidR="003719CD" w:rsidRPr="00427AC0" w:rsidRDefault="003719CD" w:rsidP="007D536F">
      <w:pPr>
        <w:rPr>
          <w:rStyle w:val="Guidance"/>
        </w:rPr>
      </w:pPr>
      <w:r w:rsidRPr="00427AC0">
        <w:rPr>
          <w:rStyle w:val="Guidance"/>
        </w:rPr>
        <w:t>Not-for-profit entities are exempt from the disclosure requirements of AASB 101.134 136, which would otherwise require an entity to disclose information that enables users of its financial statements to evaluate the entity’s objectives, policies and processes for managing capital.</w:t>
      </w:r>
    </w:p>
    <w:p w14:paraId="3FFA91F0" w14:textId="77777777" w:rsidR="003719CD" w:rsidRDefault="003719CD" w:rsidP="007D536F">
      <w:pPr>
        <w:pStyle w:val="GuidanceEnd"/>
      </w:pPr>
    </w:p>
    <w:p w14:paraId="54864635" w14:textId="77777777" w:rsidR="007E486C" w:rsidRDefault="007E486C">
      <w:pPr>
        <w:keepLines w:val="0"/>
        <w:rPr>
          <w:rFonts w:asciiTheme="majorHAnsi" w:eastAsiaTheme="majorEastAsia" w:hAnsiTheme="majorHAnsi" w:cstheme="majorBidi"/>
          <w:b/>
          <w:sz w:val="22"/>
          <w:szCs w:val="24"/>
        </w:rPr>
      </w:pPr>
      <w:r>
        <w:br w:type="page"/>
      </w:r>
    </w:p>
    <w:p w14:paraId="0ABD6FB8" w14:textId="6F7E1F5E" w:rsidR="003719CD" w:rsidRDefault="003719CD" w:rsidP="007762BE">
      <w:pPr>
        <w:pStyle w:val="Heading3numbered"/>
      </w:pPr>
      <w:r>
        <w:lastRenderedPageBreak/>
        <w:t xml:space="preserve">Financial risk management objectives and policies </w:t>
      </w:r>
      <w:r w:rsidRPr="00AC1D66">
        <w:rPr>
          <w:rStyle w:val="Reference"/>
        </w:rPr>
        <w:t>[AASB 7.21]</w:t>
      </w:r>
    </w:p>
    <w:p w14:paraId="20739CEB" w14:textId="77777777" w:rsidR="003719CD" w:rsidRDefault="003719CD" w:rsidP="007D536F">
      <w:pPr>
        <w:jc w:val="center"/>
      </w:pPr>
      <w:r w:rsidRPr="00940E38">
        <w:rPr>
          <w:noProof/>
          <w:lang w:eastAsia="en-AU"/>
        </w:rPr>
        <w:drawing>
          <wp:inline distT="0" distB="0" distL="0" distR="0" wp14:anchorId="605A5F2A" wp14:editId="0601C1F3">
            <wp:extent cx="3088640" cy="1709530"/>
            <wp:effectExtent l="0" t="0" r="0" b="5080"/>
            <wp:docPr id="414" name="Diagram 4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0E57AA42" w14:textId="77777777" w:rsidR="003719CD" w:rsidRDefault="003719CD" w:rsidP="00DC39DE">
      <w:r>
        <w:t xml:space="preserve">As a whole, the Department’s financial risk management program seeks to manage these risks and the associated volatility of its financial performance. </w:t>
      </w:r>
    </w:p>
    <w:p w14:paraId="542B5302" w14:textId="77777777" w:rsidR="003719CD" w:rsidRDefault="003719CD" w:rsidP="00DC39DE">
      <w: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to the financial statements.</w:t>
      </w:r>
    </w:p>
    <w:p w14:paraId="1D1C53F0" w14:textId="77777777" w:rsidR="003719CD" w:rsidRDefault="003719CD" w:rsidP="00DC39DE">
      <w:r>
        <w:t xml:space="preserve">The main purpose in holding financial instruments is to prudentially manage the Department’s financial risks within the government policy parameters. </w:t>
      </w:r>
      <w:r w:rsidRPr="00427AC0">
        <w:rPr>
          <w:rStyle w:val="Reference"/>
        </w:rPr>
        <w:t>[AASB 7.33(a), (b)]</w:t>
      </w:r>
    </w:p>
    <w:p w14:paraId="62CCDA5A" w14:textId="77777777" w:rsidR="003719CD" w:rsidRDefault="003719CD" w:rsidP="00DC39DE">
      <w:r>
        <w:t xml:space="preserve">The Department’s main financial risks include credit risk, liquidity risk, interest rate risk, foreign currency risk and equity price risk. The Department manages these financial risks in accordance with its financial risk management policy. </w:t>
      </w:r>
    </w:p>
    <w:p w14:paraId="67E1A96D" w14:textId="77777777" w:rsidR="003719CD" w:rsidRDefault="003719CD" w:rsidP="00DC39DE">
      <w:r>
        <w:t xml:space="preserve">The Department uses different methods to measure and manage the different risks to which it is exposed. Primary responsibility for the identification and management of financial risks rests with the Accountable Officer of the Department. </w:t>
      </w:r>
      <w:r w:rsidRPr="00427AC0">
        <w:rPr>
          <w:rStyle w:val="Reference"/>
        </w:rPr>
        <w:t>[SD 2.3.1]</w:t>
      </w:r>
    </w:p>
    <w:p w14:paraId="572DA8AB" w14:textId="77777777" w:rsidR="003719CD" w:rsidRDefault="003719CD" w:rsidP="00DC39DE"/>
    <w:p w14:paraId="0DAC7B72" w14:textId="77777777" w:rsidR="003719CD" w:rsidRDefault="003719CD" w:rsidP="007D536F">
      <w:pPr>
        <w:pStyle w:val="GuidanceBlockHeading"/>
      </w:pPr>
      <w:r>
        <w:t xml:space="preserve">Guidance – Financial risk management objectives and policies and nature and extent of disclosures </w:t>
      </w:r>
      <w:r w:rsidRPr="00427AC0">
        <w:rPr>
          <w:sz w:val="18"/>
          <w:szCs w:val="22"/>
        </w:rPr>
        <w:t>[AASB 7.21,31]</w:t>
      </w:r>
    </w:p>
    <w:p w14:paraId="2D08774B" w14:textId="77777777" w:rsidR="003719CD" w:rsidRPr="00574B54" w:rsidRDefault="003719CD" w:rsidP="007D536F">
      <w:pPr>
        <w:rPr>
          <w:rStyle w:val="Guidance"/>
        </w:rPr>
      </w:pPr>
      <w:r w:rsidRPr="00574B54">
        <w:rPr>
          <w:rStyle w:val="Guidance"/>
        </w:rPr>
        <w:t xml:space="preserve">In accordance with paragraph 117 of AASB 101 </w:t>
      </w:r>
      <w:r w:rsidRPr="00574B54">
        <w:rPr>
          <w:rStyle w:val="Guidance"/>
          <w:i/>
          <w:iCs/>
        </w:rPr>
        <w:t>Presentation of Financial Statements</w:t>
      </w:r>
      <w:r w:rsidRPr="00574B54">
        <w:rPr>
          <w:rStyle w:val="Guidance"/>
        </w:rPr>
        <w:t>, an entity discloses, in the summary of significant accounting policies, the measurement basis (or bases) used in preparing the financial statements and the other accounting policies used that are relevant to an understanding of the financial statements.</w:t>
      </w:r>
    </w:p>
    <w:p w14:paraId="38D53889" w14:textId="77777777" w:rsidR="003719CD" w:rsidRPr="00574B54" w:rsidRDefault="003719CD" w:rsidP="007D536F">
      <w:pPr>
        <w:rPr>
          <w:rStyle w:val="Guidance"/>
        </w:rPr>
      </w:pPr>
      <w:r w:rsidRPr="00574B54">
        <w:rPr>
          <w:rStyle w:val="Guidance"/>
        </w:rPr>
        <w:t>AASB 7 requires comprehensive disclosure requirements for financial instruments including, but not limited to, the following:</w:t>
      </w:r>
    </w:p>
    <w:p w14:paraId="66E6B3C3" w14:textId="53208533" w:rsidR="003719CD" w:rsidRPr="00574B54" w:rsidRDefault="004B6D84" w:rsidP="00310F12">
      <w:pPr>
        <w:pStyle w:val="ListBullet"/>
        <w:rPr>
          <w:rStyle w:val="Guidance"/>
        </w:rPr>
      </w:pPr>
      <w:r>
        <w:rPr>
          <w:rStyle w:val="Guidance"/>
        </w:rPr>
        <w:t>T</w:t>
      </w:r>
      <w:r w:rsidR="003719CD" w:rsidRPr="00574B54">
        <w:rPr>
          <w:rStyle w:val="Guidance"/>
        </w:rPr>
        <w:t>he measurement basis (bases) and the criteria used to determine classification for different types of financial instruments</w:t>
      </w:r>
    </w:p>
    <w:p w14:paraId="3B8B316F" w14:textId="21A2DE47" w:rsidR="003719CD" w:rsidRPr="00574B54" w:rsidRDefault="004B6D84" w:rsidP="00310F12">
      <w:pPr>
        <w:pStyle w:val="ListBullet"/>
        <w:rPr>
          <w:rStyle w:val="Guidance"/>
        </w:rPr>
      </w:pPr>
      <w:r>
        <w:rPr>
          <w:rStyle w:val="Guidance"/>
        </w:rPr>
        <w:t>T</w:t>
      </w:r>
      <w:r w:rsidR="003719CD" w:rsidRPr="00574B54">
        <w:rPr>
          <w:rStyle w:val="Guidance"/>
        </w:rPr>
        <w:t>he movements in fair value for financial instruments classified as fair value through profit or loss</w:t>
      </w:r>
    </w:p>
    <w:p w14:paraId="65F430E2" w14:textId="00362117" w:rsidR="003719CD" w:rsidRPr="00574B54" w:rsidRDefault="004B6D84" w:rsidP="00310F12">
      <w:pPr>
        <w:pStyle w:val="ListBullet"/>
        <w:rPr>
          <w:rStyle w:val="Guidance"/>
        </w:rPr>
      </w:pPr>
      <w:r>
        <w:rPr>
          <w:rStyle w:val="Guidance"/>
        </w:rPr>
        <w:t>A</w:t>
      </w:r>
      <w:r w:rsidR="003719CD" w:rsidRPr="00574B54">
        <w:rPr>
          <w:rStyle w:val="Guidance"/>
        </w:rPr>
        <w:t>n entity’s objectives, policies and processes for managing capital</w:t>
      </w:r>
    </w:p>
    <w:p w14:paraId="64044BD4" w14:textId="37A013EC" w:rsidR="003719CD" w:rsidRPr="00574B54" w:rsidRDefault="003719CD" w:rsidP="00310F12">
      <w:pPr>
        <w:pStyle w:val="ListBullet"/>
        <w:rPr>
          <w:rStyle w:val="Guidance"/>
        </w:rPr>
      </w:pPr>
      <w:r w:rsidRPr="00574B54">
        <w:rPr>
          <w:rStyle w:val="Guidance"/>
        </w:rPr>
        <w:t>he qualitative and quantitative disclosures for each type of risk (e.g. credit risk, liquidity risk, and market risk) that the entity is exposed to.</w:t>
      </w:r>
    </w:p>
    <w:p w14:paraId="13DDFC47" w14:textId="77777777" w:rsidR="003719CD" w:rsidRPr="00574B54" w:rsidRDefault="003719CD" w:rsidP="007D536F">
      <w:pPr>
        <w:rPr>
          <w:rStyle w:val="Guidance"/>
        </w:rPr>
      </w:pPr>
      <w:r w:rsidRPr="00574B54">
        <w:rPr>
          <w:rStyle w:val="Guidance"/>
        </w:rPr>
        <w:t xml:space="preserve">AASB 7 requires that an entity provide qualitative and quantitative disclosures for each type of risk arising from financial instruments. </w:t>
      </w:r>
      <w:r w:rsidRPr="00574B54">
        <w:rPr>
          <w:rStyle w:val="Reference"/>
        </w:rPr>
        <w:t>[AASB 7.31]</w:t>
      </w:r>
    </w:p>
    <w:p w14:paraId="4623F7B9" w14:textId="77777777" w:rsidR="003719CD" w:rsidRPr="00574B54" w:rsidRDefault="003719CD" w:rsidP="007D536F">
      <w:pPr>
        <w:rPr>
          <w:rStyle w:val="Guidance"/>
        </w:rPr>
      </w:pPr>
      <w:r w:rsidRPr="00574B54">
        <w:rPr>
          <w:rStyle w:val="Guidance"/>
        </w:rPr>
        <w:t>An entity shall disclose information that enables users of its financial statements to evaluate the nature and extent of risks arising from financial instruments to which the entity is exposed at the end of the reporting period.</w:t>
      </w:r>
    </w:p>
    <w:p w14:paraId="6CE35C6E" w14:textId="77777777" w:rsidR="003719CD" w:rsidRDefault="003719CD" w:rsidP="007D536F">
      <w:pPr>
        <w:pStyle w:val="GuidanceHeading"/>
      </w:pPr>
      <w:r>
        <w:t xml:space="preserve">Qualitative disclosure </w:t>
      </w:r>
      <w:r w:rsidRPr="00427AC0">
        <w:rPr>
          <w:rStyle w:val="Reference"/>
        </w:rPr>
        <w:t>[AASB 7.33]</w:t>
      </w:r>
    </w:p>
    <w:p w14:paraId="695DDB33" w14:textId="77777777" w:rsidR="003719CD" w:rsidRPr="00574B54" w:rsidRDefault="003719CD" w:rsidP="007D536F">
      <w:pPr>
        <w:rPr>
          <w:rStyle w:val="Guidance"/>
        </w:rPr>
      </w:pPr>
      <w:r w:rsidRPr="00574B54">
        <w:rPr>
          <w:rStyle w:val="Guidance"/>
        </w:rPr>
        <w:t>For each type of risk arising from financial instruments, an entity shall disclose:</w:t>
      </w:r>
    </w:p>
    <w:p w14:paraId="468DD638" w14:textId="2AE8E095" w:rsidR="00873F23" w:rsidRPr="00574B54" w:rsidRDefault="003719CD" w:rsidP="00367D84">
      <w:pPr>
        <w:pStyle w:val="ListAlpha"/>
        <w:numPr>
          <w:ilvl w:val="0"/>
          <w:numId w:val="36"/>
        </w:numPr>
        <w:rPr>
          <w:rStyle w:val="Guidance"/>
        </w:rPr>
      </w:pPr>
      <w:r w:rsidRPr="00574B54">
        <w:rPr>
          <w:rStyle w:val="Guidance"/>
        </w:rPr>
        <w:t>the exposures to risk and how they arise</w:t>
      </w:r>
    </w:p>
    <w:p w14:paraId="4BEEE51F" w14:textId="56ECA728" w:rsidR="00873F23" w:rsidRPr="00574B54" w:rsidRDefault="003719CD" w:rsidP="00432865">
      <w:pPr>
        <w:pStyle w:val="ListAlpha"/>
        <w:numPr>
          <w:ilvl w:val="0"/>
          <w:numId w:val="36"/>
        </w:numPr>
        <w:rPr>
          <w:rStyle w:val="Guidance"/>
        </w:rPr>
      </w:pPr>
      <w:r w:rsidRPr="00574B54">
        <w:rPr>
          <w:rStyle w:val="Guidance"/>
        </w:rPr>
        <w:t>its objectives, policies and processes for managing the risk and the methods used to measure the risk</w:t>
      </w:r>
    </w:p>
    <w:p w14:paraId="36FC3520" w14:textId="77777777" w:rsidR="003719CD" w:rsidRPr="00574B54" w:rsidRDefault="003719CD" w:rsidP="00432865">
      <w:pPr>
        <w:pStyle w:val="ListAlpha"/>
        <w:numPr>
          <w:ilvl w:val="0"/>
          <w:numId w:val="36"/>
        </w:numPr>
        <w:rPr>
          <w:rStyle w:val="Guidance"/>
        </w:rPr>
      </w:pPr>
      <w:r w:rsidRPr="00574B54">
        <w:rPr>
          <w:rStyle w:val="Guidance"/>
        </w:rPr>
        <w:t>any changes in (a) or (b) from the previous reporting period.</w:t>
      </w:r>
    </w:p>
    <w:p w14:paraId="048ED48F" w14:textId="77777777" w:rsidR="003719CD" w:rsidRDefault="003719CD" w:rsidP="007D536F">
      <w:pPr>
        <w:pStyle w:val="GuidanceHeading"/>
      </w:pPr>
      <w:r>
        <w:lastRenderedPageBreak/>
        <w:t xml:space="preserve">Quantitative disclosure </w:t>
      </w:r>
      <w:r w:rsidRPr="00427AC0">
        <w:rPr>
          <w:rStyle w:val="Reference"/>
        </w:rPr>
        <w:t>[AASB 7.34-35]</w:t>
      </w:r>
    </w:p>
    <w:p w14:paraId="767D33CF" w14:textId="77777777" w:rsidR="003719CD" w:rsidRPr="00574B54" w:rsidRDefault="003719CD" w:rsidP="007D536F">
      <w:pPr>
        <w:rPr>
          <w:rStyle w:val="Guidance"/>
        </w:rPr>
      </w:pPr>
      <w:r w:rsidRPr="00574B54">
        <w:rPr>
          <w:rStyle w:val="Guidance"/>
        </w:rPr>
        <w:t>For each type of risk arising from financial instruments, an entity shall disclose:</w:t>
      </w:r>
    </w:p>
    <w:p w14:paraId="1E20C844" w14:textId="63CA8D4F" w:rsidR="00873F23" w:rsidRPr="00574B54" w:rsidRDefault="003719CD" w:rsidP="00367D84">
      <w:pPr>
        <w:pStyle w:val="ListAlpha"/>
        <w:numPr>
          <w:ilvl w:val="0"/>
          <w:numId w:val="8"/>
        </w:numPr>
        <w:rPr>
          <w:rStyle w:val="Guidance"/>
        </w:rPr>
      </w:pPr>
      <w:r w:rsidRPr="00574B54">
        <w:rPr>
          <w:rStyle w:val="Guidance"/>
        </w:rPr>
        <w:t xml:space="preserve">summary quantitative data about its exposure to that risk at the end of the reporting period. This disclosure shall be based on the information provided internally to key management personnel of the entity (as defined in AASB 124 </w:t>
      </w:r>
      <w:r w:rsidRPr="00574B54">
        <w:rPr>
          <w:rStyle w:val="Guidance"/>
          <w:i/>
          <w:iCs/>
        </w:rPr>
        <w:t>Related Party Disclosures</w:t>
      </w:r>
      <w:r w:rsidRPr="00574B54">
        <w:rPr>
          <w:rStyle w:val="Guidance"/>
        </w:rPr>
        <w:t>)</w:t>
      </w:r>
    </w:p>
    <w:p w14:paraId="04DAD39E" w14:textId="77777777" w:rsidR="003719CD" w:rsidRPr="00574B54" w:rsidRDefault="003719CD" w:rsidP="00432865">
      <w:pPr>
        <w:pStyle w:val="ListAlpha"/>
        <w:numPr>
          <w:ilvl w:val="0"/>
          <w:numId w:val="8"/>
        </w:numPr>
        <w:rPr>
          <w:rStyle w:val="Guidance"/>
        </w:rPr>
      </w:pPr>
      <w:r w:rsidRPr="00574B54">
        <w:rPr>
          <w:rStyle w:val="Guidance"/>
        </w:rPr>
        <w:t>specific disclosures as required for each type of risk (see credit, liquidity and market risks), to the extent not provided in (a), unless the risk is not material.</w:t>
      </w:r>
    </w:p>
    <w:p w14:paraId="59F50566" w14:textId="77777777" w:rsidR="003719CD" w:rsidRPr="00574B54" w:rsidRDefault="003719CD" w:rsidP="007D536F">
      <w:pPr>
        <w:rPr>
          <w:rStyle w:val="Guidance"/>
        </w:rPr>
      </w:pPr>
      <w:r w:rsidRPr="00574B54">
        <w:rPr>
          <w:rStyle w:val="Guidance"/>
        </w:rPr>
        <w:t>Disclosures provided in this Model only cover credit risk, liquidity risk, and market risk. Entities should consider whether there may be other types of risks that they may need to disclose, specific to their own circumstances.</w:t>
      </w:r>
    </w:p>
    <w:p w14:paraId="27DD1251" w14:textId="77777777" w:rsidR="003719CD" w:rsidRDefault="003719CD" w:rsidP="007D536F">
      <w:pPr>
        <w:pStyle w:val="GuidanceEnd"/>
      </w:pPr>
    </w:p>
    <w:p w14:paraId="6714755B" w14:textId="389A1065" w:rsidR="003719CD" w:rsidRDefault="003719CD" w:rsidP="007D536F">
      <w:pPr>
        <w:pStyle w:val="Heading3"/>
      </w:pPr>
      <w:r>
        <w:t xml:space="preserve">Financial instruments: Credit risk </w:t>
      </w:r>
      <w:r w:rsidRPr="00574B54">
        <w:rPr>
          <w:rStyle w:val="Reference"/>
        </w:rPr>
        <w:t>[AASB 7.33]</w:t>
      </w:r>
    </w:p>
    <w:p w14:paraId="16E70C49" w14:textId="77777777" w:rsidR="003719CD" w:rsidRDefault="003719CD" w:rsidP="00DC39DE">
      <w:r>
        <w:t>Credit risk refers to the possibility that a borrower will default on its financial obligations as and when they fall due. The Department’s exposure to credit risk arises from the potential default of a counter party on their contractual obligations resulting in financial loss to the Department. Credit risk is measured at fair value and is monitored on a regular basis.</w:t>
      </w:r>
    </w:p>
    <w:p w14:paraId="38CF1966" w14:textId="77777777" w:rsidR="003719CD" w:rsidRDefault="003719CD" w:rsidP="00DC39DE">
      <w:r>
        <w:t>Credit risk associated with the Department’s contractual financial assets is minimal because the main debtor is the Victorian Government. For debtors other than the Government, it is the Department’s policy to only deal with entities with high credit ratings of a minimum triple-B rating and to obtain sufficient collateral or credit enhancements, where appropriate.</w:t>
      </w:r>
    </w:p>
    <w:p w14:paraId="7C0E1F77" w14:textId="77777777" w:rsidR="003719CD" w:rsidRDefault="003719CD" w:rsidP="00DC39DE">
      <w:r>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44DA0806" w14:textId="77777777" w:rsidR="003719CD" w:rsidRDefault="003719CD" w:rsidP="00DC39DE">
      <w:r>
        <w:t xml:space="preserve">Provision of impairment for contractual financial assets is recognised when there is objective evidence that the Department will not be able to collect a receivable. Objective evidence includes financial difficulties of the debtor, default payments, debts that are more than 60 days overdue, and changes in debtor credit ratings. </w:t>
      </w:r>
    </w:p>
    <w:p w14:paraId="7B72A851" w14:textId="77777777" w:rsidR="003719CD" w:rsidRDefault="003719CD" w:rsidP="00DC39DE">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78B018F8" w14:textId="77777777" w:rsidR="003719CD" w:rsidRDefault="003719CD" w:rsidP="00DC39DE">
      <w:r>
        <w:t>Except as otherwise detailed in the following table, the carrying amount of contractual financial assets recorded in the financial statements, net of any allowances for losses, represents the Department’s maximum exposure to credit risk without taking account of the value of any collateral obtained.</w:t>
      </w:r>
    </w:p>
    <w:p w14:paraId="16BAD184" w14:textId="5ECC4628" w:rsidR="003719CD" w:rsidRDefault="003719CD" w:rsidP="00DC39DE">
      <w:r>
        <w:t xml:space="preserve">There has been no material change to the Department’s credit risk profile in </w:t>
      </w:r>
      <w:fldSimple w:instr="DOCPROPERTY  FinYearCurrent  \* MERGEFORMAT">
        <w:r w:rsidR="00D530EA">
          <w:t>20X1</w:t>
        </w:r>
        <w:r w:rsidR="00D530EA" w:rsidRPr="00D530EA">
          <w:rPr>
            <w:rFonts w:ascii="Cambria Math" w:hAnsi="Cambria Math" w:cs="Cambria Math"/>
          </w:rPr>
          <w:t>‑</w:t>
        </w:r>
        <w:r w:rsidR="00D530EA">
          <w:t>X2</w:t>
        </w:r>
      </w:fldSimple>
      <w:r>
        <w:t>.</w:t>
      </w:r>
    </w:p>
    <w:p w14:paraId="18046C54" w14:textId="77777777" w:rsidR="003719CD" w:rsidRDefault="003719CD" w:rsidP="007D536F">
      <w:pPr>
        <w:pStyle w:val="Caption"/>
      </w:pPr>
      <w:r>
        <w:t xml:space="preserve">Credit quality of financial assets </w:t>
      </w:r>
      <w:r w:rsidRPr="00326CD2">
        <w:rPr>
          <w:iCs w:val="0"/>
          <w:vertAlign w:val="superscript"/>
        </w:rPr>
        <w:t>(a)(b)</w:t>
      </w:r>
      <w:r>
        <w:t xml:space="preserve"> </w:t>
      </w:r>
      <w:r w:rsidRPr="00326CD2">
        <w:rPr>
          <w:rStyle w:val="Reference"/>
        </w:rPr>
        <w:t>[AASB 7.35M]</w:t>
      </w:r>
      <w:r>
        <w:tab/>
        <w:t>($ thousand)</w:t>
      </w:r>
    </w:p>
    <w:tbl>
      <w:tblPr>
        <w:tblStyle w:val="DTFTable"/>
        <w:tblW w:w="9639" w:type="dxa"/>
        <w:tblLayout w:type="fixed"/>
        <w:tblLook w:val="06A0" w:firstRow="1" w:lastRow="0" w:firstColumn="1" w:lastColumn="0" w:noHBand="1" w:noVBand="1"/>
      </w:tblPr>
      <w:tblGrid>
        <w:gridCol w:w="4962"/>
        <w:gridCol w:w="1275"/>
        <w:gridCol w:w="1418"/>
        <w:gridCol w:w="1134"/>
        <w:gridCol w:w="850"/>
      </w:tblGrid>
      <w:tr w:rsidR="00182709" w14:paraId="5739C428" w14:textId="77777777" w:rsidTr="00F21A9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42C2814B" w14:textId="6A739729" w:rsidR="00182709" w:rsidRDefault="00170214">
            <w:pPr>
              <w:keepNext/>
            </w:pPr>
            <w:fldSimple w:instr="DOCPROPERTY  YearCurrent \* MERGEFORMAT">
              <w:r>
                <w:t>20X2</w:t>
              </w:r>
            </w:fldSimple>
          </w:p>
        </w:tc>
        <w:tc>
          <w:tcPr>
            <w:tcW w:w="1275" w:type="dxa"/>
          </w:tcPr>
          <w:p w14:paraId="3AE6F73C" w14:textId="26D3DDF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institution</w:t>
            </w:r>
            <w:r>
              <w:br/>
            </w:r>
            <w:r>
              <w:rPr>
                <w:sz w:val="17"/>
              </w:rPr>
              <w:t>(</w:t>
            </w:r>
            <w:r w:rsidRPr="2856114A">
              <w:rPr>
                <w:sz w:val="17"/>
                <w:szCs w:val="17"/>
              </w:rPr>
              <w:t>triple</w:t>
            </w:r>
            <w:r w:rsidR="00482F12">
              <w:rPr>
                <w:sz w:val="17"/>
                <w:szCs w:val="17"/>
              </w:rPr>
              <w:t>-</w:t>
            </w:r>
            <w:r w:rsidRPr="2856114A">
              <w:rPr>
                <w:sz w:val="17"/>
                <w:szCs w:val="17"/>
              </w:rPr>
              <w:t>A</w:t>
            </w:r>
            <w:r>
              <w:rPr>
                <w:sz w:val="17"/>
              </w:rPr>
              <w:t xml:space="preserve"> credit rating)</w:t>
            </w:r>
          </w:p>
        </w:tc>
        <w:tc>
          <w:tcPr>
            <w:tcW w:w="1418" w:type="dxa"/>
          </w:tcPr>
          <w:p w14:paraId="49A77C3B" w14:textId="4BE9E8DB"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w:t>
            </w:r>
            <w:r w:rsidRPr="2856114A">
              <w:rPr>
                <w:sz w:val="17"/>
                <w:szCs w:val="17"/>
              </w:rPr>
              <w:t>triple</w:t>
            </w:r>
            <w:r w:rsidR="00482F12">
              <w:rPr>
                <w:sz w:val="17"/>
                <w:szCs w:val="17"/>
              </w:rPr>
              <w:t>-</w:t>
            </w:r>
            <w:r w:rsidRPr="2856114A">
              <w:rPr>
                <w:sz w:val="17"/>
                <w:szCs w:val="17"/>
              </w:rPr>
              <w:t>B</w:t>
            </w:r>
            <w:r>
              <w:rPr>
                <w:sz w:val="17"/>
              </w:rPr>
              <w:t xml:space="preserve"> credit rating)</w:t>
            </w:r>
          </w:p>
        </w:tc>
        <w:tc>
          <w:tcPr>
            <w:tcW w:w="1134" w:type="dxa"/>
          </w:tcPr>
          <w:p w14:paraId="3955CF8E" w14:textId="4273E149"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Other</w:t>
            </w:r>
            <w:r>
              <w:br/>
            </w:r>
            <w:r>
              <w:rPr>
                <w:sz w:val="17"/>
              </w:rPr>
              <w:t xml:space="preserve">(min </w:t>
            </w:r>
            <w:r w:rsidRPr="2856114A">
              <w:rPr>
                <w:sz w:val="17"/>
                <w:szCs w:val="17"/>
              </w:rPr>
              <w:t>triple</w:t>
            </w:r>
            <w:r w:rsidR="00482F12">
              <w:rPr>
                <w:sz w:val="17"/>
                <w:szCs w:val="17"/>
              </w:rPr>
              <w:t>-</w:t>
            </w:r>
            <w:r w:rsidRPr="2856114A">
              <w:rPr>
                <w:sz w:val="17"/>
                <w:szCs w:val="17"/>
              </w:rPr>
              <w:t>B</w:t>
            </w:r>
            <w:r>
              <w:rPr>
                <w:sz w:val="17"/>
              </w:rPr>
              <w:t xml:space="preserve"> credit rating)</w:t>
            </w:r>
          </w:p>
        </w:tc>
        <w:tc>
          <w:tcPr>
            <w:tcW w:w="850" w:type="dxa"/>
          </w:tcPr>
          <w:p w14:paraId="2C08588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182709" w14:paraId="548AE41E"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5E270F71" w14:textId="77777777" w:rsidR="00182709" w:rsidRDefault="0044097C" w:rsidP="00F21A93">
            <w:pPr>
              <w:ind w:left="170" w:hanging="170"/>
            </w:pPr>
            <w:r>
              <w:rPr>
                <w:b/>
                <w:sz w:val="17"/>
              </w:rPr>
              <w:t>Financial assets</w:t>
            </w:r>
          </w:p>
        </w:tc>
        <w:tc>
          <w:tcPr>
            <w:tcW w:w="1275" w:type="dxa"/>
          </w:tcPr>
          <w:p w14:paraId="1B8844E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8" w:type="dxa"/>
          </w:tcPr>
          <w:p w14:paraId="55C75BF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5C2089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67521F6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71B504A"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6F5E33DA" w14:textId="77777777" w:rsidR="00182709" w:rsidRDefault="0044097C" w:rsidP="00F21A93">
            <w:pPr>
              <w:ind w:left="170" w:hanging="170"/>
            </w:pPr>
            <w:r>
              <w:rPr>
                <w:b/>
                <w:sz w:val="17"/>
              </w:rPr>
              <w:t>Financial assets with loss allowance measured at 12</w:t>
            </w:r>
            <w:r>
              <w:rPr>
                <w:b/>
                <w:sz w:val="17"/>
              </w:rPr>
              <w:noBreakHyphen/>
              <w:t>month expected credit loss</w:t>
            </w:r>
          </w:p>
        </w:tc>
        <w:tc>
          <w:tcPr>
            <w:tcW w:w="1275" w:type="dxa"/>
          </w:tcPr>
          <w:p w14:paraId="0BF8340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8" w:type="dxa"/>
          </w:tcPr>
          <w:p w14:paraId="4BF181F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0B13666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024D35F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28FE8191"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1DE41CC0" w14:textId="77777777" w:rsidR="00182709" w:rsidRDefault="0044097C" w:rsidP="00F21A93">
            <w:pPr>
              <w:ind w:left="170" w:hanging="170"/>
            </w:pPr>
            <w:r>
              <w:rPr>
                <w:sz w:val="17"/>
              </w:rPr>
              <w:t>Cash and deposits (not assessed for impairment due to materiality)</w:t>
            </w:r>
          </w:p>
        </w:tc>
        <w:tc>
          <w:tcPr>
            <w:tcW w:w="1275" w:type="dxa"/>
          </w:tcPr>
          <w:p w14:paraId="532FB18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24 112</w:t>
            </w:r>
          </w:p>
        </w:tc>
        <w:tc>
          <w:tcPr>
            <w:tcW w:w="1418" w:type="dxa"/>
          </w:tcPr>
          <w:p w14:paraId="67B9DE8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8 929</w:t>
            </w:r>
          </w:p>
        </w:tc>
        <w:tc>
          <w:tcPr>
            <w:tcW w:w="1134" w:type="dxa"/>
          </w:tcPr>
          <w:p w14:paraId="609AEF7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2 976</w:t>
            </w:r>
          </w:p>
        </w:tc>
        <w:tc>
          <w:tcPr>
            <w:tcW w:w="850" w:type="dxa"/>
          </w:tcPr>
          <w:p w14:paraId="32E226FD" w14:textId="3B404679" w:rsidR="00182709" w:rsidRDefault="00792F71">
            <w:pPr>
              <w:cnfStyle w:val="000000000000" w:firstRow="0" w:lastRow="0" w:firstColumn="0" w:lastColumn="0" w:oddVBand="0" w:evenVBand="0" w:oddHBand="0" w:evenHBand="0" w:firstRowFirstColumn="0" w:firstRowLastColumn="0" w:lastRowFirstColumn="0" w:lastRowLastColumn="0"/>
            </w:pPr>
            <w:r>
              <w:rPr>
                <w:sz w:val="17"/>
              </w:rPr>
              <w:t>36</w:t>
            </w:r>
            <w:r w:rsidR="0044097C">
              <w:rPr>
                <w:sz w:val="17"/>
              </w:rPr>
              <w:t xml:space="preserve"> </w:t>
            </w:r>
            <w:r>
              <w:rPr>
                <w:sz w:val="17"/>
              </w:rPr>
              <w:t>017</w:t>
            </w:r>
          </w:p>
        </w:tc>
      </w:tr>
      <w:tr w:rsidR="00182709" w14:paraId="625922A2"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46BD605B" w14:textId="77777777" w:rsidR="00182709" w:rsidRDefault="0044097C" w:rsidP="00F21A93">
            <w:pPr>
              <w:ind w:left="170" w:hanging="170"/>
            </w:pPr>
            <w:r>
              <w:rPr>
                <w:sz w:val="17"/>
              </w:rPr>
              <w:t>Statutory receivables (with no impairment loss recognised)</w:t>
            </w:r>
          </w:p>
        </w:tc>
        <w:tc>
          <w:tcPr>
            <w:tcW w:w="1275" w:type="dxa"/>
          </w:tcPr>
          <w:p w14:paraId="6A26643D" w14:textId="2BDC7244" w:rsidR="00182709" w:rsidRDefault="00BE4791">
            <w:pPr>
              <w:cnfStyle w:val="000000000000" w:firstRow="0" w:lastRow="0" w:firstColumn="0" w:lastColumn="0" w:oddVBand="0" w:evenVBand="0" w:oddHBand="0" w:evenHBand="0" w:firstRowFirstColumn="0" w:firstRowLastColumn="0" w:lastRowFirstColumn="0" w:lastRowLastColumn="0"/>
            </w:pPr>
            <w:r>
              <w:rPr>
                <w:sz w:val="17"/>
              </w:rPr>
              <w:t>31 951</w:t>
            </w:r>
          </w:p>
        </w:tc>
        <w:tc>
          <w:tcPr>
            <w:tcW w:w="1418" w:type="dxa"/>
          </w:tcPr>
          <w:p w14:paraId="5DE068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134" w:type="dxa"/>
          </w:tcPr>
          <w:p w14:paraId="0517D4C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850" w:type="dxa"/>
          </w:tcPr>
          <w:p w14:paraId="7E496FF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31 951</w:t>
            </w:r>
          </w:p>
        </w:tc>
      </w:tr>
      <w:tr w:rsidR="00182709" w14:paraId="2D2C0CAF"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10927AD8" w14:textId="77777777" w:rsidR="00182709" w:rsidRDefault="0044097C" w:rsidP="00F21A93">
            <w:pPr>
              <w:ind w:left="170" w:hanging="170"/>
            </w:pPr>
            <w:r>
              <w:rPr>
                <w:sz w:val="17"/>
              </w:rPr>
              <w:t>Debt investment measured at amortised cost</w:t>
            </w:r>
          </w:p>
        </w:tc>
        <w:tc>
          <w:tcPr>
            <w:tcW w:w="1275" w:type="dxa"/>
          </w:tcPr>
          <w:p w14:paraId="5E7F69B6" w14:textId="77777777" w:rsidR="00182709" w:rsidRPr="009A34E9" w:rsidRDefault="0044097C">
            <w:pPr>
              <w:cnfStyle w:val="000000000000" w:firstRow="0" w:lastRow="0" w:firstColumn="0" w:lastColumn="0" w:oddVBand="0" w:evenVBand="0" w:oddHBand="0" w:evenHBand="0" w:firstRowFirstColumn="0" w:firstRowLastColumn="0" w:lastRowFirstColumn="0" w:lastRowLastColumn="0"/>
            </w:pPr>
            <w:r w:rsidRPr="009A34E9">
              <w:rPr>
                <w:sz w:val="17"/>
              </w:rPr>
              <w:t>2 890</w:t>
            </w:r>
          </w:p>
        </w:tc>
        <w:tc>
          <w:tcPr>
            <w:tcW w:w="1418" w:type="dxa"/>
          </w:tcPr>
          <w:p w14:paraId="590762A0" w14:textId="77777777" w:rsidR="00182709" w:rsidRPr="009A34E9" w:rsidRDefault="0044097C">
            <w:pPr>
              <w:cnfStyle w:val="000000000000" w:firstRow="0" w:lastRow="0" w:firstColumn="0" w:lastColumn="0" w:oddVBand="0" w:evenVBand="0" w:oddHBand="0" w:evenHBand="0" w:firstRowFirstColumn="0" w:firstRowLastColumn="0" w:lastRowFirstColumn="0" w:lastRowLastColumn="0"/>
            </w:pPr>
            <w:r w:rsidRPr="009A34E9">
              <w:rPr>
                <w:sz w:val="17"/>
              </w:rPr>
              <w:t>..</w:t>
            </w:r>
          </w:p>
        </w:tc>
        <w:tc>
          <w:tcPr>
            <w:tcW w:w="1134" w:type="dxa"/>
          </w:tcPr>
          <w:p w14:paraId="0B5F8977" w14:textId="77777777" w:rsidR="00182709" w:rsidRPr="009A34E9" w:rsidRDefault="0044097C">
            <w:pPr>
              <w:cnfStyle w:val="000000000000" w:firstRow="0" w:lastRow="0" w:firstColumn="0" w:lastColumn="0" w:oddVBand="0" w:evenVBand="0" w:oddHBand="0" w:evenHBand="0" w:firstRowFirstColumn="0" w:firstRowLastColumn="0" w:lastRowFirstColumn="0" w:lastRowLastColumn="0"/>
            </w:pPr>
            <w:r w:rsidRPr="009A34E9">
              <w:rPr>
                <w:sz w:val="17"/>
              </w:rPr>
              <w:t>..</w:t>
            </w:r>
          </w:p>
        </w:tc>
        <w:tc>
          <w:tcPr>
            <w:tcW w:w="850" w:type="dxa"/>
          </w:tcPr>
          <w:p w14:paraId="6B295EF0" w14:textId="1BF61380" w:rsidR="00182709" w:rsidRPr="009A34E9" w:rsidRDefault="008074FD">
            <w:pPr>
              <w:cnfStyle w:val="000000000000" w:firstRow="0" w:lastRow="0" w:firstColumn="0" w:lastColumn="0" w:oddVBand="0" w:evenVBand="0" w:oddHBand="0" w:evenHBand="0" w:firstRowFirstColumn="0" w:firstRowLastColumn="0" w:lastRowFirstColumn="0" w:lastRowLastColumn="0"/>
            </w:pPr>
            <w:r w:rsidRPr="00BB442B">
              <w:rPr>
                <w:sz w:val="17"/>
              </w:rPr>
              <w:t>2</w:t>
            </w:r>
            <w:r w:rsidR="0044097C" w:rsidRPr="009A34E9">
              <w:rPr>
                <w:sz w:val="17"/>
              </w:rPr>
              <w:t xml:space="preserve"> </w:t>
            </w:r>
            <w:r w:rsidRPr="00BB442B">
              <w:rPr>
                <w:sz w:val="17"/>
              </w:rPr>
              <w:t>890</w:t>
            </w:r>
          </w:p>
        </w:tc>
      </w:tr>
      <w:tr w:rsidR="00182709" w14:paraId="2AE3C492"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0DEF53D8" w14:textId="77777777" w:rsidR="00182709" w:rsidRDefault="0044097C" w:rsidP="00F21A93">
            <w:pPr>
              <w:ind w:left="170" w:hanging="170"/>
            </w:pPr>
            <w:r>
              <w:rPr>
                <w:b/>
                <w:sz w:val="17"/>
              </w:rPr>
              <w:t>Financial assets with loss allowance measured at lifetime expected credit loss:</w:t>
            </w:r>
          </w:p>
        </w:tc>
        <w:tc>
          <w:tcPr>
            <w:tcW w:w="1275" w:type="dxa"/>
          </w:tcPr>
          <w:p w14:paraId="317036C6" w14:textId="77777777" w:rsidR="00182709" w:rsidRPr="009A34E9" w:rsidRDefault="00182709">
            <w:pPr>
              <w:cnfStyle w:val="000000000000" w:firstRow="0" w:lastRow="0" w:firstColumn="0" w:lastColumn="0" w:oddVBand="0" w:evenVBand="0" w:oddHBand="0" w:evenHBand="0" w:firstRowFirstColumn="0" w:firstRowLastColumn="0" w:lastRowFirstColumn="0" w:lastRowLastColumn="0"/>
            </w:pPr>
          </w:p>
        </w:tc>
        <w:tc>
          <w:tcPr>
            <w:tcW w:w="1418" w:type="dxa"/>
          </w:tcPr>
          <w:p w14:paraId="38F21156" w14:textId="77777777" w:rsidR="00182709" w:rsidRPr="009A34E9" w:rsidRDefault="00182709">
            <w:pPr>
              <w:cnfStyle w:val="000000000000" w:firstRow="0" w:lastRow="0" w:firstColumn="0" w:lastColumn="0" w:oddVBand="0" w:evenVBand="0" w:oddHBand="0" w:evenHBand="0" w:firstRowFirstColumn="0" w:firstRowLastColumn="0" w:lastRowFirstColumn="0" w:lastRowLastColumn="0"/>
            </w:pPr>
          </w:p>
        </w:tc>
        <w:tc>
          <w:tcPr>
            <w:tcW w:w="1134" w:type="dxa"/>
          </w:tcPr>
          <w:p w14:paraId="398FEE0E" w14:textId="77777777" w:rsidR="00182709" w:rsidRPr="009A34E9" w:rsidRDefault="00182709">
            <w:pPr>
              <w:cnfStyle w:val="000000000000" w:firstRow="0" w:lastRow="0" w:firstColumn="0" w:lastColumn="0" w:oddVBand="0" w:evenVBand="0" w:oddHBand="0" w:evenHBand="0" w:firstRowFirstColumn="0" w:firstRowLastColumn="0" w:lastRowFirstColumn="0" w:lastRowLastColumn="0"/>
            </w:pPr>
          </w:p>
        </w:tc>
        <w:tc>
          <w:tcPr>
            <w:tcW w:w="850" w:type="dxa"/>
          </w:tcPr>
          <w:p w14:paraId="61AC5272" w14:textId="77777777" w:rsidR="00182709" w:rsidRPr="009A34E9" w:rsidRDefault="00182709">
            <w:pPr>
              <w:cnfStyle w:val="000000000000" w:firstRow="0" w:lastRow="0" w:firstColumn="0" w:lastColumn="0" w:oddVBand="0" w:evenVBand="0" w:oddHBand="0" w:evenHBand="0" w:firstRowFirstColumn="0" w:firstRowLastColumn="0" w:lastRowFirstColumn="0" w:lastRowLastColumn="0"/>
            </w:pPr>
          </w:p>
        </w:tc>
      </w:tr>
      <w:tr w:rsidR="00182709" w14:paraId="069746EC" w14:textId="77777777" w:rsidTr="00F21A93">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7EF8D0C1" w14:textId="77777777" w:rsidR="00182709" w:rsidRDefault="0044097C" w:rsidP="00F21A93">
            <w:pPr>
              <w:ind w:left="170" w:hanging="170"/>
            </w:pPr>
            <w:r>
              <w:rPr>
                <w:sz w:val="17"/>
              </w:rPr>
              <w:t>Contractual receivables applying the simplified approach for impairment</w:t>
            </w:r>
          </w:p>
        </w:tc>
        <w:tc>
          <w:tcPr>
            <w:tcW w:w="1275" w:type="dxa"/>
            <w:tcBorders>
              <w:bottom w:val="single" w:sz="12" w:space="0" w:color="auto"/>
            </w:tcBorders>
          </w:tcPr>
          <w:p w14:paraId="2A6D7367" w14:textId="77777777" w:rsidR="00182709" w:rsidRPr="009A34E9" w:rsidRDefault="0044097C">
            <w:pPr>
              <w:cnfStyle w:val="000000000000" w:firstRow="0" w:lastRow="0" w:firstColumn="0" w:lastColumn="0" w:oddVBand="0" w:evenVBand="0" w:oddHBand="0" w:evenHBand="0" w:firstRowFirstColumn="0" w:firstRowLastColumn="0" w:lastRowFirstColumn="0" w:lastRowLastColumn="0"/>
            </w:pPr>
            <w:r w:rsidRPr="009A34E9">
              <w:rPr>
                <w:sz w:val="17"/>
              </w:rPr>
              <w:t>1 923</w:t>
            </w:r>
          </w:p>
        </w:tc>
        <w:tc>
          <w:tcPr>
            <w:tcW w:w="1418" w:type="dxa"/>
            <w:tcBorders>
              <w:bottom w:val="single" w:sz="12" w:space="0" w:color="auto"/>
            </w:tcBorders>
          </w:tcPr>
          <w:p w14:paraId="43F0F07D" w14:textId="77777777" w:rsidR="00182709" w:rsidRPr="009A34E9" w:rsidRDefault="0044097C">
            <w:pPr>
              <w:cnfStyle w:val="000000000000" w:firstRow="0" w:lastRow="0" w:firstColumn="0" w:lastColumn="0" w:oddVBand="0" w:evenVBand="0" w:oddHBand="0" w:evenHBand="0" w:firstRowFirstColumn="0" w:firstRowLastColumn="0" w:lastRowFirstColumn="0" w:lastRowLastColumn="0"/>
            </w:pPr>
            <w:r w:rsidRPr="009A34E9">
              <w:rPr>
                <w:sz w:val="17"/>
              </w:rPr>
              <w:t>723</w:t>
            </w:r>
          </w:p>
        </w:tc>
        <w:tc>
          <w:tcPr>
            <w:tcW w:w="1134" w:type="dxa"/>
            <w:tcBorders>
              <w:bottom w:val="single" w:sz="12" w:space="0" w:color="auto"/>
            </w:tcBorders>
          </w:tcPr>
          <w:p w14:paraId="0D46BC7C" w14:textId="77777777" w:rsidR="00182709" w:rsidRPr="009A34E9" w:rsidRDefault="0044097C">
            <w:pPr>
              <w:cnfStyle w:val="000000000000" w:firstRow="0" w:lastRow="0" w:firstColumn="0" w:lastColumn="0" w:oddVBand="0" w:evenVBand="0" w:oddHBand="0" w:evenHBand="0" w:firstRowFirstColumn="0" w:firstRowLastColumn="0" w:lastRowFirstColumn="0" w:lastRowLastColumn="0"/>
            </w:pPr>
            <w:r w:rsidRPr="009A34E9">
              <w:rPr>
                <w:sz w:val="17"/>
              </w:rPr>
              <w:t>749</w:t>
            </w:r>
          </w:p>
        </w:tc>
        <w:tc>
          <w:tcPr>
            <w:tcW w:w="850" w:type="dxa"/>
            <w:tcBorders>
              <w:bottom w:val="single" w:sz="12" w:space="0" w:color="auto"/>
            </w:tcBorders>
          </w:tcPr>
          <w:p w14:paraId="6DB9A90D" w14:textId="4A56D2F1" w:rsidR="00182709" w:rsidRPr="009A34E9" w:rsidRDefault="00B433EF">
            <w:pPr>
              <w:cnfStyle w:val="000000000000" w:firstRow="0" w:lastRow="0" w:firstColumn="0" w:lastColumn="0" w:oddVBand="0" w:evenVBand="0" w:oddHBand="0" w:evenHBand="0" w:firstRowFirstColumn="0" w:firstRowLastColumn="0" w:lastRowFirstColumn="0" w:lastRowLastColumn="0"/>
            </w:pPr>
            <w:r w:rsidRPr="009A34E9">
              <w:rPr>
                <w:sz w:val="17"/>
              </w:rPr>
              <w:t>3 395</w:t>
            </w:r>
          </w:p>
        </w:tc>
      </w:tr>
      <w:tr w:rsidR="00671D55" w14:paraId="5B4BAB1D" w14:textId="77777777" w:rsidTr="00F21A93">
        <w:tc>
          <w:tcPr>
            <w:cnfStyle w:val="001000000000" w:firstRow="0" w:lastRow="0" w:firstColumn="1" w:lastColumn="0" w:oddVBand="0" w:evenVBand="0" w:oddHBand="0" w:evenHBand="0" w:firstRowFirstColumn="0" w:firstRowLastColumn="0" w:lastRowFirstColumn="0" w:lastRowLastColumn="0"/>
            <w:tcW w:w="4962" w:type="dxa"/>
          </w:tcPr>
          <w:p w14:paraId="74886E20" w14:textId="77777777" w:rsidR="00182709" w:rsidRDefault="0044097C" w:rsidP="00F21A93">
            <w:pPr>
              <w:ind w:left="170" w:hanging="170"/>
            </w:pPr>
            <w:r>
              <w:rPr>
                <w:b/>
                <w:sz w:val="17"/>
              </w:rPr>
              <w:t>Total financial assets</w:t>
            </w:r>
          </w:p>
        </w:tc>
        <w:tc>
          <w:tcPr>
            <w:tcW w:w="1275" w:type="dxa"/>
          </w:tcPr>
          <w:p w14:paraId="30F5A9C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60 876</w:t>
            </w:r>
          </w:p>
        </w:tc>
        <w:tc>
          <w:tcPr>
            <w:tcW w:w="1418" w:type="dxa"/>
          </w:tcPr>
          <w:p w14:paraId="5B7EFD5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9 652</w:t>
            </w:r>
          </w:p>
        </w:tc>
        <w:tc>
          <w:tcPr>
            <w:tcW w:w="1134" w:type="dxa"/>
          </w:tcPr>
          <w:p w14:paraId="31CA392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3 725</w:t>
            </w:r>
          </w:p>
        </w:tc>
        <w:tc>
          <w:tcPr>
            <w:tcW w:w="850" w:type="dxa"/>
          </w:tcPr>
          <w:p w14:paraId="35FFE76F" w14:textId="6573EE9F" w:rsidR="00182709" w:rsidRDefault="00997B2F">
            <w:pPr>
              <w:cnfStyle w:val="000000000000" w:firstRow="0" w:lastRow="0" w:firstColumn="0" w:lastColumn="0" w:oddVBand="0" w:evenVBand="0" w:oddHBand="0" w:evenHBand="0" w:firstRowFirstColumn="0" w:firstRowLastColumn="0" w:lastRowFirstColumn="0" w:lastRowLastColumn="0"/>
            </w:pPr>
            <w:r>
              <w:rPr>
                <w:b/>
                <w:sz w:val="17"/>
              </w:rPr>
              <w:t>7</w:t>
            </w:r>
            <w:r w:rsidR="009A34E9">
              <w:rPr>
                <w:b/>
                <w:sz w:val="17"/>
              </w:rPr>
              <w:t>4 253</w:t>
            </w:r>
            <w:r>
              <w:rPr>
                <w:b/>
                <w:sz w:val="17"/>
              </w:rPr>
              <w:t xml:space="preserve"> </w:t>
            </w:r>
          </w:p>
        </w:tc>
      </w:tr>
    </w:tbl>
    <w:p w14:paraId="31505339" w14:textId="77777777" w:rsidR="003719CD" w:rsidRDefault="003719CD" w:rsidP="007D536F">
      <w:pPr>
        <w:pStyle w:val="Note"/>
      </w:pPr>
      <w:r>
        <w:t xml:space="preserve">Notes: </w:t>
      </w:r>
      <w:r w:rsidRPr="00574B54">
        <w:rPr>
          <w:rStyle w:val="Reference"/>
          <w:sz w:val="14"/>
          <w:szCs w:val="16"/>
        </w:rPr>
        <w:t>[AASB 132.AG12]</w:t>
      </w:r>
    </w:p>
    <w:p w14:paraId="719573DE" w14:textId="77777777" w:rsidR="003719CD" w:rsidRDefault="003719CD" w:rsidP="007D536F">
      <w:pPr>
        <w:pStyle w:val="Note"/>
      </w:pPr>
      <w:r>
        <w:t>(a)</w:t>
      </w:r>
      <w:r>
        <w:tab/>
        <w:t>The total amounts disclosed here exclude statutory amounts (e.g. amounts owing from Victorian Government and GST input tax credit recoverable).</w:t>
      </w:r>
    </w:p>
    <w:p w14:paraId="0D8AF467" w14:textId="77777777" w:rsidR="003719CD" w:rsidRDefault="003719CD" w:rsidP="007D536F">
      <w:pPr>
        <w:pStyle w:val="Note"/>
      </w:pPr>
      <w:r>
        <w:t>(b)</w:t>
      </w:r>
      <w:r>
        <w:tab/>
      </w:r>
      <w:r w:rsidRPr="00574B54">
        <w:rPr>
          <w:rStyle w:val="Guidance"/>
        </w:rPr>
        <w:t>[The above illustrated disclosure is a best practice disclosure to meet the requirement of AASB 7 paragraph 36(c) and should be followed to the extent it is practicable. Where it is impractical to disclose credit ratings, these can be omitted and an entity can simply disclose creditors using categories that fit the entity’s own creditor profile.]</w:t>
      </w:r>
    </w:p>
    <w:p w14:paraId="26CEC47F" w14:textId="77777777" w:rsidR="003719CD" w:rsidRDefault="003719CD" w:rsidP="00DC39DE"/>
    <w:p w14:paraId="65551500" w14:textId="77777777" w:rsidR="003719CD" w:rsidRDefault="003719CD" w:rsidP="007D536F">
      <w:pPr>
        <w:pStyle w:val="Caption"/>
      </w:pPr>
      <w:r>
        <w:lastRenderedPageBreak/>
        <w:t xml:space="preserve">Credit quality of contractual financial assets that are neither past due nor impaired </w:t>
      </w:r>
      <w:r w:rsidRPr="00326CD2">
        <w:rPr>
          <w:vertAlign w:val="superscript"/>
        </w:rPr>
        <w:t>(a)(b)</w:t>
      </w:r>
      <w:r>
        <w:t xml:space="preserve"> </w:t>
      </w:r>
      <w:r w:rsidRPr="00574B54">
        <w:rPr>
          <w:rStyle w:val="Reference"/>
        </w:rPr>
        <w:t>[AASB 7.36(c)]</w:t>
      </w:r>
    </w:p>
    <w:p w14:paraId="0C138B2D" w14:textId="77777777" w:rsidR="003719CD" w:rsidRDefault="003719CD" w:rsidP="007D536F">
      <w:pPr>
        <w:pStyle w:val="TableUnits"/>
      </w:pPr>
      <w:r>
        <w:tab/>
      </w:r>
      <w:r>
        <w:tab/>
        <w:t>($ thousand)</w:t>
      </w:r>
    </w:p>
    <w:tbl>
      <w:tblPr>
        <w:tblStyle w:val="DTFTable"/>
        <w:tblW w:w="9639" w:type="dxa"/>
        <w:tblLayout w:type="fixed"/>
        <w:tblLook w:val="06A0" w:firstRow="1" w:lastRow="0" w:firstColumn="1" w:lastColumn="0" w:noHBand="1" w:noVBand="1"/>
      </w:tblPr>
      <w:tblGrid>
        <w:gridCol w:w="3976"/>
        <w:gridCol w:w="1204"/>
        <w:gridCol w:w="1231"/>
        <w:gridCol w:w="1246"/>
        <w:gridCol w:w="1204"/>
        <w:gridCol w:w="778"/>
      </w:tblGrid>
      <w:tr w:rsidR="00182709" w14:paraId="7C41721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76" w:type="dxa"/>
            <w:tcBorders>
              <w:bottom w:val="single" w:sz="12" w:space="0" w:color="auto"/>
            </w:tcBorders>
          </w:tcPr>
          <w:p w14:paraId="0257E00B" w14:textId="09F21DAB" w:rsidR="00182709" w:rsidRDefault="00170214" w:rsidP="00F21A93">
            <w:pPr>
              <w:keepNext/>
              <w:ind w:left="170" w:hanging="170"/>
            </w:pPr>
            <w:fldSimple w:instr="DOCPROPERTY  YearPrevious  \* MERGEFORMAT">
              <w:r>
                <w:rPr>
                  <w:lang w:val="en-US"/>
                </w:rPr>
                <w:t>20X1</w:t>
              </w:r>
            </w:fldSimple>
          </w:p>
        </w:tc>
        <w:tc>
          <w:tcPr>
            <w:tcW w:w="1204" w:type="dxa"/>
            <w:tcBorders>
              <w:bottom w:val="single" w:sz="12" w:space="0" w:color="auto"/>
            </w:tcBorders>
          </w:tcPr>
          <w:p w14:paraId="003ACA2F" w14:textId="05D46F1F"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Financial institution</w:t>
            </w:r>
            <w:r>
              <w:br/>
            </w:r>
            <w:r>
              <w:rPr>
                <w:sz w:val="17"/>
              </w:rPr>
              <w:t>(</w:t>
            </w:r>
            <w:r w:rsidRPr="2856114A">
              <w:rPr>
                <w:sz w:val="17"/>
                <w:szCs w:val="17"/>
              </w:rPr>
              <w:t>triple</w:t>
            </w:r>
            <w:r w:rsidR="006D50F7">
              <w:rPr>
                <w:sz w:val="17"/>
                <w:szCs w:val="17"/>
              </w:rPr>
              <w:t>-</w:t>
            </w:r>
            <w:r w:rsidRPr="2856114A">
              <w:rPr>
                <w:sz w:val="17"/>
                <w:szCs w:val="17"/>
              </w:rPr>
              <w:t>A</w:t>
            </w:r>
            <w:r>
              <w:rPr>
                <w:sz w:val="17"/>
              </w:rPr>
              <w:t xml:space="preserve"> credit rating)</w:t>
            </w:r>
          </w:p>
        </w:tc>
        <w:tc>
          <w:tcPr>
            <w:tcW w:w="1231" w:type="dxa"/>
            <w:tcBorders>
              <w:bottom w:val="single" w:sz="12" w:space="0" w:color="auto"/>
            </w:tcBorders>
          </w:tcPr>
          <w:p w14:paraId="6A6B2BCA" w14:textId="2ACCB595"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w:t>
            </w:r>
            <w:r w:rsidRPr="2856114A">
              <w:rPr>
                <w:sz w:val="17"/>
                <w:szCs w:val="17"/>
              </w:rPr>
              <w:t>triple</w:t>
            </w:r>
            <w:r w:rsidR="006D50F7">
              <w:rPr>
                <w:sz w:val="17"/>
                <w:szCs w:val="17"/>
              </w:rPr>
              <w:t>-</w:t>
            </w:r>
            <w:r w:rsidRPr="2856114A">
              <w:rPr>
                <w:sz w:val="17"/>
                <w:szCs w:val="17"/>
              </w:rPr>
              <w:t>A</w:t>
            </w:r>
            <w:r>
              <w:rPr>
                <w:sz w:val="17"/>
              </w:rPr>
              <w:t xml:space="preserve"> credit rating)</w:t>
            </w:r>
          </w:p>
        </w:tc>
        <w:tc>
          <w:tcPr>
            <w:tcW w:w="1246" w:type="dxa"/>
            <w:tcBorders>
              <w:bottom w:val="single" w:sz="12" w:space="0" w:color="auto"/>
            </w:tcBorders>
          </w:tcPr>
          <w:p w14:paraId="2C7BD67F" w14:textId="44CAF56F"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Government agencies</w:t>
            </w:r>
            <w:r>
              <w:br/>
            </w:r>
            <w:r>
              <w:rPr>
                <w:sz w:val="17"/>
              </w:rPr>
              <w:t>(</w:t>
            </w:r>
            <w:r w:rsidRPr="2856114A">
              <w:rPr>
                <w:sz w:val="17"/>
                <w:szCs w:val="17"/>
              </w:rPr>
              <w:t>triple</w:t>
            </w:r>
            <w:r w:rsidR="006D50F7">
              <w:rPr>
                <w:sz w:val="17"/>
                <w:szCs w:val="17"/>
              </w:rPr>
              <w:t>-</w:t>
            </w:r>
            <w:r w:rsidRPr="2856114A">
              <w:rPr>
                <w:sz w:val="17"/>
                <w:szCs w:val="17"/>
              </w:rPr>
              <w:t>B</w:t>
            </w:r>
            <w:r>
              <w:rPr>
                <w:sz w:val="17"/>
              </w:rPr>
              <w:t xml:space="preserve"> credit rating)</w:t>
            </w:r>
          </w:p>
        </w:tc>
        <w:tc>
          <w:tcPr>
            <w:tcW w:w="1204" w:type="dxa"/>
            <w:tcBorders>
              <w:bottom w:val="single" w:sz="12" w:space="0" w:color="auto"/>
            </w:tcBorders>
          </w:tcPr>
          <w:p w14:paraId="25E081DB" w14:textId="10BE0BF2"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Other</w:t>
            </w:r>
            <w:r>
              <w:br/>
            </w:r>
            <w:r>
              <w:rPr>
                <w:sz w:val="17"/>
              </w:rPr>
              <w:t xml:space="preserve">(min </w:t>
            </w:r>
            <w:r w:rsidRPr="2856114A">
              <w:rPr>
                <w:sz w:val="17"/>
                <w:szCs w:val="17"/>
              </w:rPr>
              <w:t>triple</w:t>
            </w:r>
            <w:r w:rsidR="006D50F7">
              <w:rPr>
                <w:sz w:val="17"/>
                <w:szCs w:val="17"/>
              </w:rPr>
              <w:t>-</w:t>
            </w:r>
            <w:r w:rsidRPr="2856114A">
              <w:rPr>
                <w:sz w:val="17"/>
                <w:szCs w:val="17"/>
              </w:rPr>
              <w:t>B</w:t>
            </w:r>
            <w:r>
              <w:rPr>
                <w:sz w:val="17"/>
              </w:rPr>
              <w:t xml:space="preserve"> credit rating)</w:t>
            </w:r>
          </w:p>
        </w:tc>
        <w:tc>
          <w:tcPr>
            <w:tcW w:w="778" w:type="dxa"/>
            <w:tcBorders>
              <w:bottom w:val="single" w:sz="12" w:space="0" w:color="auto"/>
            </w:tcBorders>
          </w:tcPr>
          <w:p w14:paraId="30E27F7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rPr>
                <w:sz w:val="17"/>
              </w:rPr>
              <w:t>Total</w:t>
            </w:r>
          </w:p>
        </w:tc>
      </w:tr>
      <w:tr w:rsidR="00671D55" w14:paraId="20A20834" w14:textId="77777777" w:rsidTr="00182709">
        <w:tc>
          <w:tcPr>
            <w:cnfStyle w:val="001000000000" w:firstRow="0" w:lastRow="0" w:firstColumn="1" w:lastColumn="0" w:oddVBand="0" w:evenVBand="0" w:oddHBand="0" w:evenHBand="0" w:firstRowFirstColumn="0" w:firstRowLastColumn="0" w:lastRowFirstColumn="0" w:lastRowLastColumn="0"/>
            <w:tcW w:w="3976" w:type="dxa"/>
          </w:tcPr>
          <w:p w14:paraId="75C3B9F8" w14:textId="77777777" w:rsidR="00182709" w:rsidRDefault="0044097C" w:rsidP="00F21A93">
            <w:pPr>
              <w:ind w:left="170" w:hanging="170"/>
            </w:pPr>
            <w:r>
              <w:rPr>
                <w:b/>
                <w:sz w:val="17"/>
              </w:rPr>
              <w:t>Financial assets</w:t>
            </w:r>
          </w:p>
        </w:tc>
        <w:tc>
          <w:tcPr>
            <w:tcW w:w="1204" w:type="dxa"/>
          </w:tcPr>
          <w:p w14:paraId="70C24D9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692856E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4B99BD4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63FFD1F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6827DEC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47AF00" w14:textId="77777777">
        <w:tc>
          <w:tcPr>
            <w:cnfStyle w:val="001000000000" w:firstRow="0" w:lastRow="0" w:firstColumn="1" w:lastColumn="0" w:oddVBand="0" w:evenVBand="0" w:oddHBand="0" w:evenHBand="0" w:firstRowFirstColumn="0" w:firstRowLastColumn="0" w:lastRowFirstColumn="0" w:lastRowLastColumn="0"/>
            <w:tcW w:w="3976" w:type="dxa"/>
          </w:tcPr>
          <w:p w14:paraId="069E0C7F" w14:textId="77777777" w:rsidR="00182709" w:rsidRDefault="0044097C" w:rsidP="00F21A93">
            <w:pPr>
              <w:ind w:left="170" w:hanging="170"/>
            </w:pPr>
            <w:r>
              <w:rPr>
                <w:b/>
                <w:sz w:val="17"/>
              </w:rPr>
              <w:t>Financial assets with loss allowance measured at 12</w:t>
            </w:r>
            <w:r>
              <w:rPr>
                <w:b/>
                <w:sz w:val="17"/>
              </w:rPr>
              <w:noBreakHyphen/>
              <w:t>month expected credit loss</w:t>
            </w:r>
          </w:p>
        </w:tc>
        <w:tc>
          <w:tcPr>
            <w:tcW w:w="1204" w:type="dxa"/>
          </w:tcPr>
          <w:p w14:paraId="78520BD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7E9D680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77AC0F6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1ED709C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3A9EF5C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6C5AB054" w14:textId="77777777">
        <w:tc>
          <w:tcPr>
            <w:cnfStyle w:val="001000000000" w:firstRow="0" w:lastRow="0" w:firstColumn="1" w:lastColumn="0" w:oddVBand="0" w:evenVBand="0" w:oddHBand="0" w:evenHBand="0" w:firstRowFirstColumn="0" w:firstRowLastColumn="0" w:lastRowFirstColumn="0" w:lastRowLastColumn="0"/>
            <w:tcW w:w="3976" w:type="dxa"/>
          </w:tcPr>
          <w:p w14:paraId="7C119FC9" w14:textId="77777777" w:rsidR="00182709" w:rsidRDefault="0044097C" w:rsidP="00F21A93">
            <w:pPr>
              <w:ind w:left="170" w:hanging="170"/>
            </w:pPr>
            <w:r>
              <w:rPr>
                <w:sz w:val="17"/>
              </w:rPr>
              <w:t>Cash and deposits (not assessed for impairment due to materiality)</w:t>
            </w:r>
          </w:p>
        </w:tc>
        <w:tc>
          <w:tcPr>
            <w:tcW w:w="1204" w:type="dxa"/>
          </w:tcPr>
          <w:p w14:paraId="4B2BEDE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20 895</w:t>
            </w:r>
          </w:p>
        </w:tc>
        <w:tc>
          <w:tcPr>
            <w:tcW w:w="1231" w:type="dxa"/>
          </w:tcPr>
          <w:p w14:paraId="6F52E24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18 224</w:t>
            </w:r>
          </w:p>
        </w:tc>
        <w:tc>
          <w:tcPr>
            <w:tcW w:w="1246" w:type="dxa"/>
          </w:tcPr>
          <w:p w14:paraId="59BFA77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7 297</w:t>
            </w:r>
          </w:p>
        </w:tc>
        <w:tc>
          <w:tcPr>
            <w:tcW w:w="1204" w:type="dxa"/>
          </w:tcPr>
          <w:p w14:paraId="2887786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2 432</w:t>
            </w:r>
          </w:p>
        </w:tc>
        <w:tc>
          <w:tcPr>
            <w:tcW w:w="778" w:type="dxa"/>
          </w:tcPr>
          <w:p w14:paraId="70223BB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48 848</w:t>
            </w:r>
          </w:p>
        </w:tc>
      </w:tr>
      <w:tr w:rsidR="00182709" w14:paraId="407D121C" w14:textId="77777777">
        <w:tc>
          <w:tcPr>
            <w:cnfStyle w:val="001000000000" w:firstRow="0" w:lastRow="0" w:firstColumn="1" w:lastColumn="0" w:oddVBand="0" w:evenVBand="0" w:oddHBand="0" w:evenHBand="0" w:firstRowFirstColumn="0" w:firstRowLastColumn="0" w:lastRowFirstColumn="0" w:lastRowLastColumn="0"/>
            <w:tcW w:w="3976" w:type="dxa"/>
          </w:tcPr>
          <w:p w14:paraId="6E2B6B4B" w14:textId="77777777" w:rsidR="00182709" w:rsidRDefault="0044097C" w:rsidP="00F21A93">
            <w:pPr>
              <w:ind w:left="170" w:hanging="170"/>
            </w:pPr>
            <w:r>
              <w:rPr>
                <w:sz w:val="17"/>
              </w:rPr>
              <w:t>Statutory receivables (with no impairment loss recognised)</w:t>
            </w:r>
          </w:p>
        </w:tc>
        <w:tc>
          <w:tcPr>
            <w:tcW w:w="1204" w:type="dxa"/>
          </w:tcPr>
          <w:p w14:paraId="12C001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16 675</w:t>
            </w:r>
          </w:p>
        </w:tc>
        <w:tc>
          <w:tcPr>
            <w:tcW w:w="1231" w:type="dxa"/>
          </w:tcPr>
          <w:p w14:paraId="6B16A74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46" w:type="dxa"/>
          </w:tcPr>
          <w:p w14:paraId="5F1D3CB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04" w:type="dxa"/>
          </w:tcPr>
          <w:p w14:paraId="7FB023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778" w:type="dxa"/>
          </w:tcPr>
          <w:p w14:paraId="23604D2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16 675</w:t>
            </w:r>
          </w:p>
        </w:tc>
      </w:tr>
      <w:tr w:rsidR="00182709" w14:paraId="643148C2" w14:textId="77777777">
        <w:tc>
          <w:tcPr>
            <w:cnfStyle w:val="001000000000" w:firstRow="0" w:lastRow="0" w:firstColumn="1" w:lastColumn="0" w:oddVBand="0" w:evenVBand="0" w:oddHBand="0" w:evenHBand="0" w:firstRowFirstColumn="0" w:firstRowLastColumn="0" w:lastRowFirstColumn="0" w:lastRowLastColumn="0"/>
            <w:tcW w:w="3976" w:type="dxa"/>
          </w:tcPr>
          <w:p w14:paraId="192C8B73" w14:textId="77777777" w:rsidR="00182709" w:rsidRDefault="0044097C" w:rsidP="00F21A93">
            <w:pPr>
              <w:ind w:left="170" w:hanging="170"/>
            </w:pPr>
            <w:r>
              <w:rPr>
                <w:sz w:val="17"/>
              </w:rPr>
              <w:t>Debt investment measured at amortised cost</w:t>
            </w:r>
          </w:p>
        </w:tc>
        <w:tc>
          <w:tcPr>
            <w:tcW w:w="1204" w:type="dxa"/>
          </w:tcPr>
          <w:p w14:paraId="5CEE74F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5 130</w:t>
            </w:r>
          </w:p>
        </w:tc>
        <w:tc>
          <w:tcPr>
            <w:tcW w:w="1231" w:type="dxa"/>
          </w:tcPr>
          <w:p w14:paraId="430B39A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5 013</w:t>
            </w:r>
          </w:p>
        </w:tc>
        <w:tc>
          <w:tcPr>
            <w:tcW w:w="1246" w:type="dxa"/>
          </w:tcPr>
          <w:p w14:paraId="20AF551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1204" w:type="dxa"/>
          </w:tcPr>
          <w:p w14:paraId="015F5D1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w:t>
            </w:r>
          </w:p>
        </w:tc>
        <w:tc>
          <w:tcPr>
            <w:tcW w:w="778" w:type="dxa"/>
          </w:tcPr>
          <w:p w14:paraId="42842F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10 143</w:t>
            </w:r>
          </w:p>
        </w:tc>
      </w:tr>
      <w:tr w:rsidR="00182709" w14:paraId="084279FE" w14:textId="77777777">
        <w:tc>
          <w:tcPr>
            <w:cnfStyle w:val="001000000000" w:firstRow="0" w:lastRow="0" w:firstColumn="1" w:lastColumn="0" w:oddVBand="0" w:evenVBand="0" w:oddHBand="0" w:evenHBand="0" w:firstRowFirstColumn="0" w:firstRowLastColumn="0" w:lastRowFirstColumn="0" w:lastRowLastColumn="0"/>
            <w:tcW w:w="3976" w:type="dxa"/>
          </w:tcPr>
          <w:p w14:paraId="51C135F5" w14:textId="77777777" w:rsidR="00182709" w:rsidRDefault="0044097C" w:rsidP="00F21A93">
            <w:pPr>
              <w:ind w:left="170" w:hanging="170"/>
            </w:pPr>
            <w:r>
              <w:rPr>
                <w:b/>
                <w:sz w:val="17"/>
              </w:rPr>
              <w:t>Financial assets with loss allowance measured at lifetime expected credit loss:</w:t>
            </w:r>
          </w:p>
        </w:tc>
        <w:tc>
          <w:tcPr>
            <w:tcW w:w="1204" w:type="dxa"/>
          </w:tcPr>
          <w:p w14:paraId="7C3FDF0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31" w:type="dxa"/>
          </w:tcPr>
          <w:p w14:paraId="395C066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46" w:type="dxa"/>
          </w:tcPr>
          <w:p w14:paraId="1A6D94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204" w:type="dxa"/>
          </w:tcPr>
          <w:p w14:paraId="78E1F83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778" w:type="dxa"/>
          </w:tcPr>
          <w:p w14:paraId="0FFD6CC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2ADA63D" w14:textId="77777777" w:rsidTr="00182709">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794EB021" w14:textId="77777777" w:rsidR="00182709" w:rsidRDefault="0044097C" w:rsidP="00F21A93">
            <w:pPr>
              <w:ind w:left="170" w:hanging="170"/>
            </w:pPr>
            <w:r>
              <w:rPr>
                <w:sz w:val="17"/>
              </w:rPr>
              <w:t>Contractual receivables applying the simplified approach for impairment</w:t>
            </w:r>
          </w:p>
        </w:tc>
        <w:tc>
          <w:tcPr>
            <w:tcW w:w="1204" w:type="dxa"/>
            <w:tcBorders>
              <w:bottom w:val="single" w:sz="12" w:space="0" w:color="auto"/>
            </w:tcBorders>
          </w:tcPr>
          <w:p w14:paraId="5AC7DE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1 794</w:t>
            </w:r>
          </w:p>
        </w:tc>
        <w:tc>
          <w:tcPr>
            <w:tcW w:w="1231" w:type="dxa"/>
            <w:tcBorders>
              <w:bottom w:val="single" w:sz="12" w:space="0" w:color="auto"/>
            </w:tcBorders>
          </w:tcPr>
          <w:p w14:paraId="40A7CA4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1 294</w:t>
            </w:r>
          </w:p>
        </w:tc>
        <w:tc>
          <w:tcPr>
            <w:tcW w:w="1246" w:type="dxa"/>
            <w:tcBorders>
              <w:bottom w:val="single" w:sz="12" w:space="0" w:color="auto"/>
            </w:tcBorders>
          </w:tcPr>
          <w:p w14:paraId="0007AFE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560</w:t>
            </w:r>
          </w:p>
        </w:tc>
        <w:tc>
          <w:tcPr>
            <w:tcW w:w="1204" w:type="dxa"/>
            <w:tcBorders>
              <w:bottom w:val="single" w:sz="12" w:space="0" w:color="auto"/>
            </w:tcBorders>
          </w:tcPr>
          <w:p w14:paraId="41F40DE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549</w:t>
            </w:r>
          </w:p>
        </w:tc>
        <w:tc>
          <w:tcPr>
            <w:tcW w:w="778" w:type="dxa"/>
            <w:tcBorders>
              <w:bottom w:val="single" w:sz="12" w:space="0" w:color="auto"/>
            </w:tcBorders>
          </w:tcPr>
          <w:p w14:paraId="4AC640B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sz w:val="17"/>
              </w:rPr>
              <w:t>4 197</w:t>
            </w:r>
          </w:p>
        </w:tc>
      </w:tr>
      <w:tr w:rsidR="00671D55" w14:paraId="32FF45B8" w14:textId="77777777" w:rsidTr="00182709">
        <w:tc>
          <w:tcPr>
            <w:cnfStyle w:val="001000000000" w:firstRow="0" w:lastRow="0" w:firstColumn="1" w:lastColumn="0" w:oddVBand="0" w:evenVBand="0" w:oddHBand="0" w:evenHBand="0" w:firstRowFirstColumn="0" w:firstRowLastColumn="0" w:lastRowFirstColumn="0" w:lastRowLastColumn="0"/>
            <w:tcW w:w="3976" w:type="dxa"/>
          </w:tcPr>
          <w:p w14:paraId="4ACF525E" w14:textId="77777777" w:rsidR="00182709" w:rsidRDefault="0044097C" w:rsidP="00F21A93">
            <w:pPr>
              <w:ind w:left="170" w:hanging="170"/>
            </w:pPr>
            <w:r>
              <w:rPr>
                <w:b/>
                <w:sz w:val="17"/>
              </w:rPr>
              <w:t>Total financial assets</w:t>
            </w:r>
          </w:p>
        </w:tc>
        <w:tc>
          <w:tcPr>
            <w:tcW w:w="1204" w:type="dxa"/>
          </w:tcPr>
          <w:p w14:paraId="0E97C2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44 494</w:t>
            </w:r>
          </w:p>
        </w:tc>
        <w:tc>
          <w:tcPr>
            <w:tcW w:w="1231" w:type="dxa"/>
          </w:tcPr>
          <w:p w14:paraId="6F14619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24 531</w:t>
            </w:r>
          </w:p>
        </w:tc>
        <w:tc>
          <w:tcPr>
            <w:tcW w:w="1246" w:type="dxa"/>
          </w:tcPr>
          <w:p w14:paraId="7BF058D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7 857</w:t>
            </w:r>
          </w:p>
        </w:tc>
        <w:tc>
          <w:tcPr>
            <w:tcW w:w="1204" w:type="dxa"/>
          </w:tcPr>
          <w:p w14:paraId="4E8CDD2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2 981</w:t>
            </w:r>
          </w:p>
        </w:tc>
        <w:tc>
          <w:tcPr>
            <w:tcW w:w="778" w:type="dxa"/>
          </w:tcPr>
          <w:p w14:paraId="0D0C680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sz w:val="17"/>
              </w:rPr>
              <w:t>79 863</w:t>
            </w:r>
          </w:p>
        </w:tc>
      </w:tr>
    </w:tbl>
    <w:p w14:paraId="79BB2F3B" w14:textId="77777777" w:rsidR="003719CD" w:rsidRDefault="003719CD" w:rsidP="007D536F">
      <w:pPr>
        <w:pStyle w:val="Note"/>
      </w:pPr>
      <w:r>
        <w:t xml:space="preserve">Notes: </w:t>
      </w:r>
      <w:r w:rsidRPr="00574B54">
        <w:rPr>
          <w:rStyle w:val="Reference"/>
          <w:sz w:val="14"/>
          <w:szCs w:val="16"/>
        </w:rPr>
        <w:t>[AASB 132.AG12]</w:t>
      </w:r>
    </w:p>
    <w:p w14:paraId="1D0FD1F3" w14:textId="77777777" w:rsidR="003719CD" w:rsidRDefault="003719CD" w:rsidP="007D536F">
      <w:pPr>
        <w:pStyle w:val="Note"/>
      </w:pPr>
      <w:r>
        <w:t>(a)</w:t>
      </w:r>
      <w:r>
        <w:tab/>
        <w:t>The total amounts disclosed here exclude statutory amounts (e.g. amounts owing from Victorian Government and GST input tax credit recoverable).</w:t>
      </w:r>
    </w:p>
    <w:p w14:paraId="02F61B8B" w14:textId="77777777" w:rsidR="003719CD" w:rsidRDefault="003719CD" w:rsidP="007D536F">
      <w:pPr>
        <w:pStyle w:val="Note"/>
      </w:pPr>
      <w:r>
        <w:t>(b)</w:t>
      </w:r>
      <w:r>
        <w:tab/>
      </w:r>
      <w:r w:rsidRPr="00574B54">
        <w:rPr>
          <w:rStyle w:val="Guidance"/>
        </w:rPr>
        <w:t>[The above illustrated disclosure is a best practice disclosure to meet the requirement of AASB 7 paragraph 36(c) and should be followed to the extent it is practicable. Where it is impractical to disclose credit ratings, these can be omitted and an entity can simply disclose creditors using categories that fit the entity’s own creditor profile.]</w:t>
      </w:r>
    </w:p>
    <w:p w14:paraId="368B42D1" w14:textId="77777777" w:rsidR="003719CD" w:rsidRDefault="003719CD" w:rsidP="00DC39DE"/>
    <w:p w14:paraId="178F22EC" w14:textId="77777777" w:rsidR="003719CD" w:rsidRDefault="003719CD" w:rsidP="007D536F">
      <w:pPr>
        <w:pStyle w:val="Heading4"/>
      </w:pPr>
      <w:r>
        <w:t>Impairment of financial assets under AASB 9</w:t>
      </w:r>
    </w:p>
    <w:p w14:paraId="693B7DCA" w14:textId="77777777" w:rsidR="003719CD" w:rsidRDefault="003719CD" w:rsidP="00DC39DE">
      <w:r>
        <w:t xml:space="preserve">The Department records the allowance for expected credit loss for the relevant financial instruments applying AASB 9’s Expected Credit Loss approach. Subject to AASB 9 impairment assessment include the Department’s contractual receivables, statutory receivables and its investment in debt instruments. </w:t>
      </w:r>
      <w:r w:rsidRPr="00574B54">
        <w:rPr>
          <w:rStyle w:val="Reference"/>
        </w:rPr>
        <w:t>[AASB 9.5.5.1]</w:t>
      </w:r>
    </w:p>
    <w:p w14:paraId="2A55A838" w14:textId="77777777" w:rsidR="003719CD" w:rsidRDefault="003719CD" w:rsidP="00DC39DE">
      <w:r>
        <w:t xml:space="preserve">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 </w:t>
      </w:r>
    </w:p>
    <w:p w14:paraId="33232D28" w14:textId="3DEC7719" w:rsidR="003719CD" w:rsidRDefault="003719CD" w:rsidP="00DC39DE">
      <w:r>
        <w:t xml:space="preserve">Although not a financial asset, contract assets recognised applying AASB 15 (refer to Note 6.1) are also subject to impairment however it is immaterial. </w:t>
      </w:r>
      <w:r w:rsidRPr="00574B54">
        <w:rPr>
          <w:rStyle w:val="Reference"/>
        </w:rPr>
        <w:t>[AASB 9.5.5.1]</w:t>
      </w:r>
    </w:p>
    <w:p w14:paraId="678835F0" w14:textId="77777777" w:rsidR="003719CD" w:rsidRDefault="003719CD" w:rsidP="007D536F">
      <w:pPr>
        <w:pStyle w:val="Heading4"/>
      </w:pPr>
      <w:r>
        <w:t>Contractual receivables at amortised cost</w:t>
      </w:r>
    </w:p>
    <w:p w14:paraId="6F8A334B" w14:textId="77777777" w:rsidR="003719CD" w:rsidRDefault="003719CD" w:rsidP="00DC39DE">
      <w:r>
        <w:t xml:space="preserve">The Department applies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 the expected credit loss rate based on the Department’s past history, existing market conditions, as well as forward looking estimates at the end of the financial year. </w:t>
      </w:r>
    </w:p>
    <w:p w14:paraId="23DEAECC" w14:textId="4F2D89CF" w:rsidR="003719CD" w:rsidRDefault="003719CD" w:rsidP="00DC39DE">
      <w:r>
        <w:t>On this basis, the Department determines the closing loss allowance at the end of the financial year as follows:</w:t>
      </w:r>
    </w:p>
    <w:p w14:paraId="30E486FA" w14:textId="076435F8"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59474183"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532C8DF6" w14:textId="77777777" w:rsidR="00182709" w:rsidRDefault="0044097C">
            <w:pPr>
              <w:keepNext/>
              <w:jc w:val="left"/>
            </w:pPr>
            <w:r>
              <w:rPr>
                <w:color w:val="4472C4"/>
                <w:sz w:val="13"/>
              </w:rPr>
              <w:t>Source reference</w:t>
            </w:r>
          </w:p>
        </w:tc>
        <w:tc>
          <w:tcPr>
            <w:tcW w:w="3289" w:type="dxa"/>
          </w:tcPr>
          <w:p w14:paraId="6F4F04CF" w14:textId="61B9C16C" w:rsidR="00182709" w:rsidRDefault="0044097C">
            <w:pPr>
              <w:keepNext/>
              <w:jc w:val="left"/>
            </w:pPr>
            <w:r>
              <w:t xml:space="preserve">30 June </w:t>
            </w:r>
            <w:fldSimple w:instr="DOCPROPERTY  YearPrevious  \* MERGEFORMAT">
              <w:r w:rsidR="00170214">
                <w:rPr>
                  <w:lang w:val="en-US"/>
                </w:rPr>
                <w:t>20X1</w:t>
              </w:r>
            </w:fldSimple>
          </w:p>
        </w:tc>
        <w:tc>
          <w:tcPr>
            <w:tcW w:w="907" w:type="dxa"/>
          </w:tcPr>
          <w:p w14:paraId="45786F5C" w14:textId="77777777" w:rsidR="00182709" w:rsidRDefault="0044097C">
            <w:pPr>
              <w:keepNext/>
            </w:pPr>
            <w:r>
              <w:t>Current</w:t>
            </w:r>
          </w:p>
        </w:tc>
        <w:tc>
          <w:tcPr>
            <w:tcW w:w="907" w:type="dxa"/>
          </w:tcPr>
          <w:p w14:paraId="3855077F" w14:textId="77777777" w:rsidR="00182709" w:rsidRDefault="0044097C">
            <w:pPr>
              <w:keepNext/>
            </w:pPr>
            <w:r>
              <w:t>Less than 1 month</w:t>
            </w:r>
          </w:p>
        </w:tc>
        <w:tc>
          <w:tcPr>
            <w:tcW w:w="907" w:type="dxa"/>
          </w:tcPr>
          <w:p w14:paraId="310D5C45" w14:textId="227022F2" w:rsidR="00182709" w:rsidRDefault="0044097C">
            <w:pPr>
              <w:keepNext/>
            </w:pPr>
            <w:r>
              <w:t>1</w:t>
            </w:r>
            <w:r w:rsidR="00CA1246">
              <w:t>–</w:t>
            </w:r>
            <w:r>
              <w:t>3 months</w:t>
            </w:r>
          </w:p>
        </w:tc>
        <w:tc>
          <w:tcPr>
            <w:tcW w:w="907" w:type="dxa"/>
          </w:tcPr>
          <w:p w14:paraId="68998154" w14:textId="2EE80F5C" w:rsidR="00182709" w:rsidRDefault="0044097C">
            <w:pPr>
              <w:keepNext/>
            </w:pPr>
            <w:r>
              <w:t>3 months</w:t>
            </w:r>
            <w:r>
              <w:br/>
            </w:r>
            <w:r w:rsidR="00CA1246">
              <w:t>–</w:t>
            </w:r>
            <w:r>
              <w:t xml:space="preserve"> 1 year</w:t>
            </w:r>
          </w:p>
        </w:tc>
        <w:tc>
          <w:tcPr>
            <w:tcW w:w="907" w:type="dxa"/>
          </w:tcPr>
          <w:p w14:paraId="6403718B" w14:textId="458FC503" w:rsidR="00182709" w:rsidRDefault="0044097C">
            <w:pPr>
              <w:keepNext/>
            </w:pPr>
            <w:r>
              <w:t>1–5</w:t>
            </w:r>
            <w:r w:rsidR="00CA1246">
              <w:br/>
            </w:r>
            <w:r>
              <w:t>years</w:t>
            </w:r>
          </w:p>
        </w:tc>
        <w:tc>
          <w:tcPr>
            <w:tcW w:w="907" w:type="dxa"/>
          </w:tcPr>
          <w:p w14:paraId="7327CF43" w14:textId="77777777" w:rsidR="00182709" w:rsidRDefault="0044097C">
            <w:pPr>
              <w:keepNext/>
            </w:pPr>
            <w:r>
              <w:t>Total</w:t>
            </w:r>
          </w:p>
        </w:tc>
      </w:tr>
      <w:tr w:rsidR="00182709" w14:paraId="75DBCB69" w14:textId="77777777">
        <w:tc>
          <w:tcPr>
            <w:tcW w:w="1417" w:type="dxa"/>
          </w:tcPr>
          <w:p w14:paraId="1DA92851" w14:textId="741E1A6E" w:rsidR="00182709" w:rsidRDefault="0044097C">
            <w:pPr>
              <w:jc w:val="left"/>
            </w:pPr>
            <w:r>
              <w:rPr>
                <w:color w:val="4472C4"/>
                <w:sz w:val="13"/>
              </w:rPr>
              <w:t>AASB</w:t>
            </w:r>
            <w:r w:rsidR="00A75720">
              <w:rPr>
                <w:color w:val="4472C4"/>
                <w:sz w:val="13"/>
              </w:rPr>
              <w:t xml:space="preserve"> </w:t>
            </w:r>
            <w:r>
              <w:rPr>
                <w:color w:val="4472C4"/>
                <w:sz w:val="13"/>
              </w:rPr>
              <w:t>7.35K(a),6</w:t>
            </w:r>
          </w:p>
        </w:tc>
        <w:tc>
          <w:tcPr>
            <w:tcW w:w="3289" w:type="dxa"/>
          </w:tcPr>
          <w:p w14:paraId="7D7C6A36" w14:textId="77777777" w:rsidR="00182709" w:rsidRDefault="0044097C">
            <w:pPr>
              <w:jc w:val="left"/>
            </w:pPr>
            <w:r>
              <w:rPr>
                <w:b/>
              </w:rPr>
              <w:t>Expected loss rate (%)</w:t>
            </w:r>
          </w:p>
        </w:tc>
        <w:tc>
          <w:tcPr>
            <w:tcW w:w="907" w:type="dxa"/>
          </w:tcPr>
          <w:p w14:paraId="2903A210" w14:textId="77777777" w:rsidR="00182709" w:rsidRDefault="0044097C">
            <w:r>
              <w:t>..</w:t>
            </w:r>
          </w:p>
        </w:tc>
        <w:tc>
          <w:tcPr>
            <w:tcW w:w="907" w:type="dxa"/>
          </w:tcPr>
          <w:p w14:paraId="0B6D10D0" w14:textId="77777777" w:rsidR="00182709" w:rsidRDefault="0044097C">
            <w:r>
              <w:t>4</w:t>
            </w:r>
          </w:p>
        </w:tc>
        <w:tc>
          <w:tcPr>
            <w:tcW w:w="907" w:type="dxa"/>
          </w:tcPr>
          <w:p w14:paraId="722ABC99" w14:textId="77777777" w:rsidR="00182709" w:rsidRDefault="0044097C">
            <w:r>
              <w:t>15</w:t>
            </w:r>
          </w:p>
        </w:tc>
        <w:tc>
          <w:tcPr>
            <w:tcW w:w="907" w:type="dxa"/>
          </w:tcPr>
          <w:p w14:paraId="6C922CE5" w14:textId="77777777" w:rsidR="00182709" w:rsidRDefault="0044097C">
            <w:r>
              <w:t>50</w:t>
            </w:r>
          </w:p>
        </w:tc>
        <w:tc>
          <w:tcPr>
            <w:tcW w:w="907" w:type="dxa"/>
          </w:tcPr>
          <w:p w14:paraId="3ED13C03" w14:textId="77777777" w:rsidR="00182709" w:rsidRDefault="0044097C">
            <w:r>
              <w:t>95</w:t>
            </w:r>
          </w:p>
        </w:tc>
        <w:tc>
          <w:tcPr>
            <w:tcW w:w="907" w:type="dxa"/>
          </w:tcPr>
          <w:p w14:paraId="7BF80B70" w14:textId="77777777" w:rsidR="00182709" w:rsidRDefault="0044097C">
            <w:r>
              <w:rPr>
                <w:b/>
              </w:rPr>
              <w:t>..</w:t>
            </w:r>
          </w:p>
        </w:tc>
      </w:tr>
      <w:tr w:rsidR="00182709" w14:paraId="0F214193" w14:textId="77777777" w:rsidTr="00182709">
        <w:tc>
          <w:tcPr>
            <w:tcW w:w="1417" w:type="dxa"/>
          </w:tcPr>
          <w:p w14:paraId="0C176193" w14:textId="77777777" w:rsidR="00182709" w:rsidRDefault="00182709">
            <w:pPr>
              <w:jc w:val="left"/>
            </w:pPr>
          </w:p>
        </w:tc>
        <w:tc>
          <w:tcPr>
            <w:tcW w:w="3289" w:type="dxa"/>
            <w:tcBorders>
              <w:bottom w:val="single" w:sz="12" w:space="0" w:color="auto"/>
            </w:tcBorders>
          </w:tcPr>
          <w:p w14:paraId="78070390" w14:textId="77777777" w:rsidR="00182709" w:rsidRDefault="0044097C">
            <w:pPr>
              <w:jc w:val="left"/>
            </w:pPr>
            <w:r>
              <w:t>Gross carrying amount of contractual receivables</w:t>
            </w:r>
          </w:p>
        </w:tc>
        <w:tc>
          <w:tcPr>
            <w:tcW w:w="907" w:type="dxa"/>
            <w:tcBorders>
              <w:bottom w:val="single" w:sz="12" w:space="0" w:color="auto"/>
            </w:tcBorders>
          </w:tcPr>
          <w:p w14:paraId="4020B03C" w14:textId="77777777" w:rsidR="00182709" w:rsidRDefault="0044097C">
            <w:r>
              <w:t>3 433</w:t>
            </w:r>
          </w:p>
        </w:tc>
        <w:tc>
          <w:tcPr>
            <w:tcW w:w="907" w:type="dxa"/>
            <w:tcBorders>
              <w:bottom w:val="single" w:sz="12" w:space="0" w:color="auto"/>
            </w:tcBorders>
          </w:tcPr>
          <w:p w14:paraId="4115D0A1" w14:textId="77777777" w:rsidR="00182709" w:rsidRDefault="0044097C">
            <w:r>
              <w:t>237</w:t>
            </w:r>
          </w:p>
        </w:tc>
        <w:tc>
          <w:tcPr>
            <w:tcW w:w="907" w:type="dxa"/>
            <w:tcBorders>
              <w:bottom w:val="single" w:sz="12" w:space="0" w:color="auto"/>
            </w:tcBorders>
          </w:tcPr>
          <w:p w14:paraId="7CF17A5D" w14:textId="77777777" w:rsidR="00182709" w:rsidRDefault="0044097C">
            <w:r>
              <w:t>86</w:t>
            </w:r>
          </w:p>
        </w:tc>
        <w:tc>
          <w:tcPr>
            <w:tcW w:w="907" w:type="dxa"/>
            <w:tcBorders>
              <w:bottom w:val="single" w:sz="12" w:space="0" w:color="auto"/>
            </w:tcBorders>
          </w:tcPr>
          <w:p w14:paraId="56F045BC" w14:textId="77777777" w:rsidR="00182709" w:rsidRDefault="0044097C">
            <w:r>
              <w:t>68</w:t>
            </w:r>
          </w:p>
        </w:tc>
        <w:tc>
          <w:tcPr>
            <w:tcW w:w="907" w:type="dxa"/>
            <w:tcBorders>
              <w:bottom w:val="single" w:sz="12" w:space="0" w:color="auto"/>
            </w:tcBorders>
          </w:tcPr>
          <w:p w14:paraId="5AB01230" w14:textId="77777777" w:rsidR="00182709" w:rsidRDefault="0044097C">
            <w:r>
              <w:t>373</w:t>
            </w:r>
          </w:p>
        </w:tc>
        <w:tc>
          <w:tcPr>
            <w:tcW w:w="907" w:type="dxa"/>
            <w:tcBorders>
              <w:bottom w:val="single" w:sz="12" w:space="0" w:color="auto"/>
            </w:tcBorders>
          </w:tcPr>
          <w:p w14:paraId="2FB6B3EC" w14:textId="77777777" w:rsidR="00182709" w:rsidRDefault="0044097C">
            <w:r>
              <w:rPr>
                <w:b/>
              </w:rPr>
              <w:t>4 197</w:t>
            </w:r>
          </w:p>
        </w:tc>
      </w:tr>
      <w:tr w:rsidR="00671D55" w14:paraId="745D99C2" w14:textId="77777777" w:rsidTr="00182709">
        <w:tc>
          <w:tcPr>
            <w:tcW w:w="1417" w:type="dxa"/>
            <w:tcBorders>
              <w:bottom w:val="nil"/>
            </w:tcBorders>
          </w:tcPr>
          <w:p w14:paraId="09DD59E8" w14:textId="77777777" w:rsidR="00182709" w:rsidRDefault="00182709">
            <w:pPr>
              <w:jc w:val="left"/>
            </w:pPr>
          </w:p>
        </w:tc>
        <w:tc>
          <w:tcPr>
            <w:tcW w:w="3289" w:type="dxa"/>
          </w:tcPr>
          <w:p w14:paraId="0BCEC0EC" w14:textId="77777777" w:rsidR="00182709" w:rsidRDefault="0044097C">
            <w:pPr>
              <w:jc w:val="left"/>
            </w:pPr>
            <w:r>
              <w:rPr>
                <w:b/>
              </w:rPr>
              <w:t>Loss allowance</w:t>
            </w:r>
          </w:p>
        </w:tc>
        <w:tc>
          <w:tcPr>
            <w:tcW w:w="907" w:type="dxa"/>
          </w:tcPr>
          <w:p w14:paraId="15CBD496" w14:textId="77777777" w:rsidR="00182709" w:rsidRDefault="0044097C">
            <w:r>
              <w:rPr>
                <w:b/>
              </w:rPr>
              <w:t>..</w:t>
            </w:r>
          </w:p>
        </w:tc>
        <w:tc>
          <w:tcPr>
            <w:tcW w:w="907" w:type="dxa"/>
          </w:tcPr>
          <w:p w14:paraId="47A73078" w14:textId="77777777" w:rsidR="00182709" w:rsidRDefault="0044097C">
            <w:r>
              <w:rPr>
                <w:b/>
              </w:rPr>
              <w:t>9</w:t>
            </w:r>
          </w:p>
        </w:tc>
        <w:tc>
          <w:tcPr>
            <w:tcW w:w="907" w:type="dxa"/>
          </w:tcPr>
          <w:p w14:paraId="73FB4B59" w14:textId="77777777" w:rsidR="00182709" w:rsidRDefault="0044097C">
            <w:r>
              <w:rPr>
                <w:b/>
              </w:rPr>
              <w:t>13</w:t>
            </w:r>
          </w:p>
        </w:tc>
        <w:tc>
          <w:tcPr>
            <w:tcW w:w="907" w:type="dxa"/>
          </w:tcPr>
          <w:p w14:paraId="0A869AC8" w14:textId="77777777" w:rsidR="00182709" w:rsidRDefault="0044097C">
            <w:r>
              <w:rPr>
                <w:b/>
              </w:rPr>
              <w:t>34</w:t>
            </w:r>
          </w:p>
        </w:tc>
        <w:tc>
          <w:tcPr>
            <w:tcW w:w="907" w:type="dxa"/>
          </w:tcPr>
          <w:p w14:paraId="68ECB176" w14:textId="77777777" w:rsidR="00182709" w:rsidRDefault="0044097C">
            <w:r>
              <w:rPr>
                <w:b/>
              </w:rPr>
              <w:t>354</w:t>
            </w:r>
          </w:p>
        </w:tc>
        <w:tc>
          <w:tcPr>
            <w:tcW w:w="907" w:type="dxa"/>
          </w:tcPr>
          <w:p w14:paraId="5B60EEA8" w14:textId="77777777" w:rsidR="00182709" w:rsidRDefault="0044097C">
            <w:r>
              <w:rPr>
                <w:b/>
              </w:rPr>
              <w:t>410</w:t>
            </w:r>
          </w:p>
        </w:tc>
      </w:tr>
    </w:tbl>
    <w:p w14:paraId="3C3B1398" w14:textId="77777777" w:rsidR="003719CD" w:rsidRDefault="003719CD" w:rsidP="00DC39DE"/>
    <w:tbl>
      <w:tblPr>
        <w:tblStyle w:val="DTFTable"/>
        <w:tblW w:w="9639" w:type="dxa"/>
        <w:tblLayout w:type="fixed"/>
        <w:tblLook w:val="0620" w:firstRow="1" w:lastRow="0" w:firstColumn="0" w:lastColumn="0" w:noHBand="1" w:noVBand="1"/>
      </w:tblPr>
      <w:tblGrid>
        <w:gridCol w:w="1344"/>
        <w:gridCol w:w="3111"/>
        <w:gridCol w:w="864"/>
        <w:gridCol w:w="864"/>
        <w:gridCol w:w="864"/>
        <w:gridCol w:w="864"/>
        <w:gridCol w:w="864"/>
        <w:gridCol w:w="864"/>
      </w:tblGrid>
      <w:tr w:rsidR="00182709" w14:paraId="04D9987B" w14:textId="77777777" w:rsidTr="00182709">
        <w:trPr>
          <w:cnfStyle w:val="100000000000" w:firstRow="1" w:lastRow="0" w:firstColumn="0" w:lastColumn="0" w:oddVBand="0" w:evenVBand="0" w:oddHBand="0" w:evenHBand="0" w:firstRowFirstColumn="0" w:firstRowLastColumn="0" w:lastRowFirstColumn="0" w:lastRowLastColumn="0"/>
          <w:tblHeader/>
        </w:trPr>
        <w:tc>
          <w:tcPr>
            <w:tcW w:w="1417" w:type="dxa"/>
            <w:tcBorders>
              <w:top w:val="nil"/>
              <w:bottom w:val="nil"/>
            </w:tcBorders>
            <w:shd w:val="clear" w:color="auto" w:fill="FFFFFF" w:themeFill="background1"/>
          </w:tcPr>
          <w:p w14:paraId="7F45B693" w14:textId="77777777" w:rsidR="00182709" w:rsidRDefault="0044097C">
            <w:pPr>
              <w:keepNext/>
              <w:jc w:val="left"/>
            </w:pPr>
            <w:r>
              <w:rPr>
                <w:color w:val="4472C4"/>
                <w:sz w:val="13"/>
              </w:rPr>
              <w:t>Source reference</w:t>
            </w:r>
          </w:p>
        </w:tc>
        <w:tc>
          <w:tcPr>
            <w:tcW w:w="3289" w:type="dxa"/>
          </w:tcPr>
          <w:p w14:paraId="307A23A8" w14:textId="125E0FC8" w:rsidR="00182709" w:rsidRDefault="0044097C">
            <w:pPr>
              <w:keepNext/>
              <w:jc w:val="left"/>
            </w:pPr>
            <w:r>
              <w:t xml:space="preserve">30 June </w:t>
            </w:r>
            <w:fldSimple w:instr="DOCPROPERTY  YearCurrent \* MERGEFORMAT">
              <w:r w:rsidR="00170214">
                <w:t>20X2</w:t>
              </w:r>
            </w:fldSimple>
          </w:p>
        </w:tc>
        <w:tc>
          <w:tcPr>
            <w:tcW w:w="907" w:type="dxa"/>
          </w:tcPr>
          <w:p w14:paraId="58B6C06B" w14:textId="3A077C93" w:rsidR="00182709" w:rsidRDefault="00182709">
            <w:pPr>
              <w:keepNext/>
            </w:pPr>
          </w:p>
        </w:tc>
        <w:tc>
          <w:tcPr>
            <w:tcW w:w="907" w:type="dxa"/>
          </w:tcPr>
          <w:p w14:paraId="7600A149" w14:textId="285AAF65" w:rsidR="00182709" w:rsidRDefault="00182709">
            <w:pPr>
              <w:keepNext/>
            </w:pPr>
          </w:p>
        </w:tc>
        <w:tc>
          <w:tcPr>
            <w:tcW w:w="907" w:type="dxa"/>
          </w:tcPr>
          <w:p w14:paraId="11385440" w14:textId="610F7079" w:rsidR="00182709" w:rsidRDefault="00182709">
            <w:pPr>
              <w:keepNext/>
            </w:pPr>
          </w:p>
        </w:tc>
        <w:tc>
          <w:tcPr>
            <w:tcW w:w="907" w:type="dxa"/>
          </w:tcPr>
          <w:p w14:paraId="3904CFED" w14:textId="714AE3BB" w:rsidR="00182709" w:rsidRDefault="00182709">
            <w:pPr>
              <w:keepNext/>
            </w:pPr>
          </w:p>
        </w:tc>
        <w:tc>
          <w:tcPr>
            <w:tcW w:w="907" w:type="dxa"/>
          </w:tcPr>
          <w:p w14:paraId="08A9852D" w14:textId="4B5AB126" w:rsidR="00182709" w:rsidRDefault="00182709">
            <w:pPr>
              <w:keepNext/>
            </w:pPr>
          </w:p>
        </w:tc>
        <w:tc>
          <w:tcPr>
            <w:tcW w:w="907" w:type="dxa"/>
          </w:tcPr>
          <w:p w14:paraId="6A66CD29" w14:textId="70BE3095" w:rsidR="00182709" w:rsidRDefault="00182709">
            <w:pPr>
              <w:keepNext/>
            </w:pPr>
          </w:p>
        </w:tc>
      </w:tr>
      <w:tr w:rsidR="00182709" w14:paraId="7EB49180" w14:textId="77777777">
        <w:tc>
          <w:tcPr>
            <w:tcW w:w="1417" w:type="dxa"/>
          </w:tcPr>
          <w:p w14:paraId="2ABB6074" w14:textId="05ECED8D" w:rsidR="00182709" w:rsidRDefault="0044097C">
            <w:pPr>
              <w:jc w:val="left"/>
            </w:pPr>
            <w:r>
              <w:rPr>
                <w:color w:val="4472C4"/>
                <w:sz w:val="13"/>
              </w:rPr>
              <w:t>AASB</w:t>
            </w:r>
            <w:r w:rsidR="00A75720">
              <w:rPr>
                <w:color w:val="4472C4"/>
                <w:sz w:val="13"/>
              </w:rPr>
              <w:t xml:space="preserve"> </w:t>
            </w:r>
            <w:r>
              <w:rPr>
                <w:color w:val="4472C4"/>
                <w:sz w:val="13"/>
              </w:rPr>
              <w:t>7.35K(a),6</w:t>
            </w:r>
          </w:p>
        </w:tc>
        <w:tc>
          <w:tcPr>
            <w:tcW w:w="3289" w:type="dxa"/>
          </w:tcPr>
          <w:p w14:paraId="71701DB3" w14:textId="77777777" w:rsidR="00182709" w:rsidRDefault="0044097C">
            <w:pPr>
              <w:jc w:val="left"/>
            </w:pPr>
            <w:r>
              <w:rPr>
                <w:b/>
              </w:rPr>
              <w:t>Expected loss rate (%)</w:t>
            </w:r>
          </w:p>
        </w:tc>
        <w:tc>
          <w:tcPr>
            <w:tcW w:w="907" w:type="dxa"/>
          </w:tcPr>
          <w:p w14:paraId="75305AE1" w14:textId="77777777" w:rsidR="00182709" w:rsidRDefault="0044097C">
            <w:r>
              <w:t>..</w:t>
            </w:r>
          </w:p>
        </w:tc>
        <w:tc>
          <w:tcPr>
            <w:tcW w:w="907" w:type="dxa"/>
          </w:tcPr>
          <w:p w14:paraId="5B1B5782" w14:textId="77777777" w:rsidR="00182709" w:rsidRDefault="0044097C">
            <w:r>
              <w:t>3</w:t>
            </w:r>
          </w:p>
        </w:tc>
        <w:tc>
          <w:tcPr>
            <w:tcW w:w="907" w:type="dxa"/>
          </w:tcPr>
          <w:p w14:paraId="42F8F41D" w14:textId="77777777" w:rsidR="00182709" w:rsidRDefault="0044097C">
            <w:r>
              <w:t>12</w:t>
            </w:r>
          </w:p>
        </w:tc>
        <w:tc>
          <w:tcPr>
            <w:tcW w:w="907" w:type="dxa"/>
          </w:tcPr>
          <w:p w14:paraId="63B9C6DD" w14:textId="77777777" w:rsidR="00182709" w:rsidRDefault="0044097C">
            <w:r>
              <w:t>44</w:t>
            </w:r>
          </w:p>
        </w:tc>
        <w:tc>
          <w:tcPr>
            <w:tcW w:w="907" w:type="dxa"/>
          </w:tcPr>
          <w:p w14:paraId="690EED51" w14:textId="77777777" w:rsidR="00182709" w:rsidRDefault="0044097C">
            <w:r>
              <w:t>94</w:t>
            </w:r>
          </w:p>
        </w:tc>
        <w:tc>
          <w:tcPr>
            <w:tcW w:w="907" w:type="dxa"/>
          </w:tcPr>
          <w:p w14:paraId="7CB31EE1" w14:textId="77777777" w:rsidR="00182709" w:rsidRDefault="0044097C">
            <w:r>
              <w:rPr>
                <w:b/>
              </w:rPr>
              <w:t>..</w:t>
            </w:r>
          </w:p>
        </w:tc>
      </w:tr>
      <w:tr w:rsidR="00182709" w14:paraId="4F2C474F" w14:textId="77777777" w:rsidTr="00182709">
        <w:tc>
          <w:tcPr>
            <w:tcW w:w="1417" w:type="dxa"/>
          </w:tcPr>
          <w:p w14:paraId="703ECDC3" w14:textId="77777777" w:rsidR="00182709" w:rsidRDefault="00182709">
            <w:pPr>
              <w:jc w:val="left"/>
            </w:pPr>
          </w:p>
        </w:tc>
        <w:tc>
          <w:tcPr>
            <w:tcW w:w="3289" w:type="dxa"/>
            <w:tcBorders>
              <w:bottom w:val="single" w:sz="12" w:space="0" w:color="auto"/>
            </w:tcBorders>
          </w:tcPr>
          <w:p w14:paraId="3468B231" w14:textId="77777777" w:rsidR="00182709" w:rsidRDefault="0044097C">
            <w:pPr>
              <w:jc w:val="left"/>
            </w:pPr>
            <w:r>
              <w:t>Gross carrying amount of contractual receivables</w:t>
            </w:r>
          </w:p>
        </w:tc>
        <w:tc>
          <w:tcPr>
            <w:tcW w:w="907" w:type="dxa"/>
            <w:tcBorders>
              <w:bottom w:val="single" w:sz="12" w:space="0" w:color="auto"/>
            </w:tcBorders>
          </w:tcPr>
          <w:p w14:paraId="2F88E17C" w14:textId="77777777" w:rsidR="00182709" w:rsidRDefault="0044097C">
            <w:r>
              <w:t>3 735</w:t>
            </w:r>
          </w:p>
        </w:tc>
        <w:tc>
          <w:tcPr>
            <w:tcW w:w="907" w:type="dxa"/>
            <w:tcBorders>
              <w:bottom w:val="single" w:sz="12" w:space="0" w:color="auto"/>
            </w:tcBorders>
          </w:tcPr>
          <w:p w14:paraId="313F2A2A" w14:textId="77777777" w:rsidR="00182709" w:rsidRDefault="0044097C">
            <w:r>
              <w:t>198</w:t>
            </w:r>
          </w:p>
        </w:tc>
        <w:tc>
          <w:tcPr>
            <w:tcW w:w="907" w:type="dxa"/>
            <w:tcBorders>
              <w:bottom w:val="single" w:sz="12" w:space="0" w:color="auto"/>
            </w:tcBorders>
          </w:tcPr>
          <w:p w14:paraId="5F41581C" w14:textId="77777777" w:rsidR="00182709" w:rsidRDefault="0044097C">
            <w:r>
              <w:t>105</w:t>
            </w:r>
          </w:p>
        </w:tc>
        <w:tc>
          <w:tcPr>
            <w:tcW w:w="907" w:type="dxa"/>
            <w:tcBorders>
              <w:bottom w:val="single" w:sz="12" w:space="0" w:color="auto"/>
            </w:tcBorders>
          </w:tcPr>
          <w:p w14:paraId="68DE159E" w14:textId="77777777" w:rsidR="00182709" w:rsidRDefault="0044097C">
            <w:r>
              <w:t>70</w:t>
            </w:r>
          </w:p>
        </w:tc>
        <w:tc>
          <w:tcPr>
            <w:tcW w:w="907" w:type="dxa"/>
            <w:tcBorders>
              <w:bottom w:val="single" w:sz="12" w:space="0" w:color="auto"/>
            </w:tcBorders>
          </w:tcPr>
          <w:p w14:paraId="2AF03A5F" w14:textId="77777777" w:rsidR="00182709" w:rsidRDefault="0044097C">
            <w:r>
              <w:t>589</w:t>
            </w:r>
          </w:p>
        </w:tc>
        <w:tc>
          <w:tcPr>
            <w:tcW w:w="907" w:type="dxa"/>
            <w:tcBorders>
              <w:bottom w:val="single" w:sz="12" w:space="0" w:color="auto"/>
            </w:tcBorders>
          </w:tcPr>
          <w:p w14:paraId="5CFC1E89" w14:textId="77777777" w:rsidR="00182709" w:rsidRDefault="0044097C">
            <w:r>
              <w:rPr>
                <w:b/>
              </w:rPr>
              <w:t>4 697</w:t>
            </w:r>
          </w:p>
        </w:tc>
      </w:tr>
      <w:tr w:rsidR="00671D55" w14:paraId="56A5FED2" w14:textId="77777777" w:rsidTr="00182709">
        <w:tc>
          <w:tcPr>
            <w:tcW w:w="1417" w:type="dxa"/>
            <w:tcBorders>
              <w:bottom w:val="nil"/>
            </w:tcBorders>
          </w:tcPr>
          <w:p w14:paraId="70B87DDC" w14:textId="77777777" w:rsidR="00182709" w:rsidRDefault="00182709">
            <w:pPr>
              <w:jc w:val="left"/>
            </w:pPr>
          </w:p>
        </w:tc>
        <w:tc>
          <w:tcPr>
            <w:tcW w:w="3289" w:type="dxa"/>
          </w:tcPr>
          <w:p w14:paraId="70C14ACB" w14:textId="77777777" w:rsidR="00182709" w:rsidRDefault="0044097C">
            <w:pPr>
              <w:jc w:val="left"/>
            </w:pPr>
            <w:r>
              <w:rPr>
                <w:b/>
              </w:rPr>
              <w:t>Loss allowance</w:t>
            </w:r>
          </w:p>
        </w:tc>
        <w:tc>
          <w:tcPr>
            <w:tcW w:w="907" w:type="dxa"/>
          </w:tcPr>
          <w:p w14:paraId="425F40E9" w14:textId="77777777" w:rsidR="00182709" w:rsidRDefault="0044097C">
            <w:r>
              <w:rPr>
                <w:b/>
              </w:rPr>
              <w:t>..</w:t>
            </w:r>
          </w:p>
        </w:tc>
        <w:tc>
          <w:tcPr>
            <w:tcW w:w="907" w:type="dxa"/>
          </w:tcPr>
          <w:p w14:paraId="5B4A0B87" w14:textId="77777777" w:rsidR="00182709" w:rsidRDefault="0044097C">
            <w:r>
              <w:rPr>
                <w:b/>
              </w:rPr>
              <w:t>6</w:t>
            </w:r>
          </w:p>
        </w:tc>
        <w:tc>
          <w:tcPr>
            <w:tcW w:w="907" w:type="dxa"/>
          </w:tcPr>
          <w:p w14:paraId="42A90E90" w14:textId="77777777" w:rsidR="00182709" w:rsidRDefault="0044097C">
            <w:r>
              <w:rPr>
                <w:b/>
              </w:rPr>
              <w:t>13</w:t>
            </w:r>
          </w:p>
        </w:tc>
        <w:tc>
          <w:tcPr>
            <w:tcW w:w="907" w:type="dxa"/>
          </w:tcPr>
          <w:p w14:paraId="6AA07FF4" w14:textId="77777777" w:rsidR="00182709" w:rsidRDefault="0044097C">
            <w:r>
              <w:rPr>
                <w:b/>
              </w:rPr>
              <w:t>31</w:t>
            </w:r>
          </w:p>
        </w:tc>
        <w:tc>
          <w:tcPr>
            <w:tcW w:w="907" w:type="dxa"/>
          </w:tcPr>
          <w:p w14:paraId="2A59A515" w14:textId="77777777" w:rsidR="00182709" w:rsidRDefault="0044097C">
            <w:r>
              <w:rPr>
                <w:b/>
              </w:rPr>
              <w:t>554</w:t>
            </w:r>
          </w:p>
        </w:tc>
        <w:tc>
          <w:tcPr>
            <w:tcW w:w="907" w:type="dxa"/>
          </w:tcPr>
          <w:p w14:paraId="4C1EF09E" w14:textId="77777777" w:rsidR="00182709" w:rsidRDefault="0044097C">
            <w:r>
              <w:rPr>
                <w:b/>
              </w:rPr>
              <w:t>603</w:t>
            </w:r>
          </w:p>
        </w:tc>
      </w:tr>
    </w:tbl>
    <w:p w14:paraId="1C35E321" w14:textId="77777777" w:rsidR="003719CD" w:rsidRDefault="003719CD" w:rsidP="00DC39DE"/>
    <w:p w14:paraId="5A572A1A" w14:textId="77777777" w:rsidR="003719CD" w:rsidRDefault="003719CD" w:rsidP="00DC39DE">
      <w:r>
        <w:lastRenderedPageBreak/>
        <w:t>Reconciliation of the movement in the loss allowance for contractual receivables is shown as follows:</w:t>
      </w:r>
    </w:p>
    <w:p w14:paraId="5CF6FB5D" w14:textId="77777777" w:rsidR="003719CD" w:rsidRDefault="003719CD" w:rsidP="007D536F">
      <w:pPr>
        <w:pStyle w:val="TableUnits"/>
      </w:pPr>
      <w:r>
        <w:t>($ thousand)</w:t>
      </w:r>
    </w:p>
    <w:tbl>
      <w:tblPr>
        <w:tblStyle w:val="DTFTable"/>
        <w:tblW w:w="9631" w:type="dxa"/>
        <w:tblLayout w:type="fixed"/>
        <w:tblLook w:val="06A0" w:firstRow="1" w:lastRow="0" w:firstColumn="1" w:lastColumn="0" w:noHBand="1" w:noVBand="1"/>
      </w:tblPr>
      <w:tblGrid>
        <w:gridCol w:w="1349"/>
        <w:gridCol w:w="6552"/>
        <w:gridCol w:w="865"/>
        <w:gridCol w:w="865"/>
      </w:tblGrid>
      <w:tr w:rsidR="00170214" w14:paraId="42BB8446" w14:textId="77777777" w:rsidTr="0017021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9" w:type="dxa"/>
            <w:tcBorders>
              <w:top w:val="nil"/>
              <w:bottom w:val="nil"/>
            </w:tcBorders>
            <w:shd w:val="clear" w:color="auto" w:fill="FFFFFF" w:themeFill="background1"/>
          </w:tcPr>
          <w:p w14:paraId="0FBCC6E1" w14:textId="77777777" w:rsidR="00170214" w:rsidRDefault="00170214" w:rsidP="00170214">
            <w:pPr>
              <w:keepNext/>
            </w:pPr>
            <w:r>
              <w:rPr>
                <w:color w:val="4472C4"/>
                <w:sz w:val="13"/>
              </w:rPr>
              <w:t>Source reference</w:t>
            </w:r>
          </w:p>
        </w:tc>
        <w:tc>
          <w:tcPr>
            <w:tcW w:w="6552" w:type="dxa"/>
          </w:tcPr>
          <w:p w14:paraId="58264E59" w14:textId="77777777" w:rsidR="00170214" w:rsidRDefault="00170214" w:rsidP="00170214">
            <w:pPr>
              <w:keepNext/>
              <w:jc w:val="left"/>
              <w:cnfStyle w:val="100000000000" w:firstRow="1" w:lastRow="0" w:firstColumn="0" w:lastColumn="0" w:oddVBand="0" w:evenVBand="0" w:oddHBand="0" w:evenHBand="0" w:firstRowFirstColumn="0" w:firstRowLastColumn="0" w:lastRowFirstColumn="0" w:lastRowLastColumn="0"/>
            </w:pPr>
          </w:p>
        </w:tc>
        <w:tc>
          <w:tcPr>
            <w:tcW w:w="865" w:type="dxa"/>
          </w:tcPr>
          <w:p w14:paraId="50989767" w14:textId="5E5BADE6" w:rsidR="00170214" w:rsidRPr="00170214" w:rsidRDefault="00170214" w:rsidP="00170214">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170214">
                <w:t>20X2</w:t>
              </w:r>
            </w:fldSimple>
          </w:p>
        </w:tc>
        <w:tc>
          <w:tcPr>
            <w:tcW w:w="865" w:type="dxa"/>
          </w:tcPr>
          <w:p w14:paraId="08F539EA" w14:textId="5A060ADA" w:rsidR="00170214" w:rsidRPr="00170214" w:rsidRDefault="00170214" w:rsidP="00170214">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170214">
                <w:t>20X1</w:t>
              </w:r>
            </w:fldSimple>
          </w:p>
        </w:tc>
      </w:tr>
      <w:tr w:rsidR="00182709" w14:paraId="19F01F55"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2ECE4919" w14:textId="77777777" w:rsidR="00182709" w:rsidRDefault="00182709"/>
        </w:tc>
        <w:tc>
          <w:tcPr>
            <w:tcW w:w="6552" w:type="dxa"/>
          </w:tcPr>
          <w:p w14:paraId="3AD70B7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Balance at beginning of the year</w:t>
            </w:r>
          </w:p>
        </w:tc>
        <w:tc>
          <w:tcPr>
            <w:tcW w:w="865" w:type="dxa"/>
          </w:tcPr>
          <w:p w14:paraId="66E098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c>
          <w:tcPr>
            <w:tcW w:w="865" w:type="dxa"/>
          </w:tcPr>
          <w:p w14:paraId="513C861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w:t>
            </w:r>
          </w:p>
        </w:tc>
      </w:tr>
      <w:tr w:rsidR="00182709" w14:paraId="025AEF16"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2BEEBB99" w14:textId="77777777" w:rsidR="00182709" w:rsidRDefault="0044097C">
            <w:r>
              <w:rPr>
                <w:color w:val="4472C4"/>
                <w:sz w:val="13"/>
              </w:rPr>
              <w:t>AASB 7.35I (a)</w:t>
            </w:r>
          </w:p>
        </w:tc>
        <w:tc>
          <w:tcPr>
            <w:tcW w:w="6552" w:type="dxa"/>
            <w:tcBorders>
              <w:bottom w:val="single" w:sz="6" w:space="0" w:color="auto"/>
            </w:tcBorders>
          </w:tcPr>
          <w:p w14:paraId="009FAD8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Opening Loss Allowance</w:t>
            </w:r>
          </w:p>
        </w:tc>
        <w:tc>
          <w:tcPr>
            <w:tcW w:w="865" w:type="dxa"/>
            <w:tcBorders>
              <w:bottom w:val="single" w:sz="6" w:space="0" w:color="auto"/>
            </w:tcBorders>
          </w:tcPr>
          <w:p w14:paraId="08D00E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c>
          <w:tcPr>
            <w:tcW w:w="865" w:type="dxa"/>
            <w:tcBorders>
              <w:bottom w:val="single" w:sz="6" w:space="0" w:color="auto"/>
            </w:tcBorders>
          </w:tcPr>
          <w:p w14:paraId="30C14AA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(53)</w:t>
            </w:r>
          </w:p>
        </w:tc>
      </w:tr>
      <w:tr w:rsidR="00182709" w14:paraId="1FAA1BED"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7592D01B" w14:textId="77777777" w:rsidR="00182709" w:rsidRDefault="0044097C">
            <w:r>
              <w:rPr>
                <w:color w:val="4472C4"/>
                <w:sz w:val="13"/>
              </w:rPr>
              <w:t>AASB 7.35I (c)</w:t>
            </w:r>
          </w:p>
        </w:tc>
        <w:tc>
          <w:tcPr>
            <w:tcW w:w="6552" w:type="dxa"/>
            <w:tcBorders>
              <w:top w:val="single" w:sz="6" w:space="0" w:color="auto"/>
            </w:tcBorders>
          </w:tcPr>
          <w:p w14:paraId="1C468B58"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Transfers in / acquired outputs</w:t>
            </w:r>
          </w:p>
        </w:tc>
        <w:tc>
          <w:tcPr>
            <w:tcW w:w="865" w:type="dxa"/>
            <w:tcBorders>
              <w:top w:val="single" w:sz="6" w:space="0" w:color="auto"/>
            </w:tcBorders>
          </w:tcPr>
          <w:p w14:paraId="595C7493" w14:textId="77777777" w:rsidR="00182709" w:rsidRDefault="0044097C">
            <w:pPr>
              <w:cnfStyle w:val="000000000000" w:firstRow="0" w:lastRow="0" w:firstColumn="0" w:lastColumn="0" w:oddVBand="0" w:evenVBand="0" w:oddHBand="0" w:evenHBand="0" w:firstRowFirstColumn="0" w:firstRowLastColumn="0" w:lastRowFirstColumn="0" w:lastRowLastColumn="0"/>
            </w:pPr>
            <w:r>
              <w:t>(25)</w:t>
            </w:r>
          </w:p>
        </w:tc>
        <w:tc>
          <w:tcPr>
            <w:tcW w:w="865" w:type="dxa"/>
            <w:tcBorders>
              <w:top w:val="single" w:sz="6" w:space="0" w:color="auto"/>
            </w:tcBorders>
          </w:tcPr>
          <w:p w14:paraId="4AF121C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20B6E627"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5BFE08E5" w14:textId="77777777" w:rsidR="00182709" w:rsidRDefault="0044097C">
            <w:r>
              <w:rPr>
                <w:color w:val="4472C4"/>
                <w:sz w:val="13"/>
              </w:rPr>
              <w:t>AASB 7.35I (b)</w:t>
            </w:r>
          </w:p>
        </w:tc>
        <w:tc>
          <w:tcPr>
            <w:tcW w:w="6552" w:type="dxa"/>
          </w:tcPr>
          <w:p w14:paraId="3BA8231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Transfers out / disposed outputs</w:t>
            </w:r>
          </w:p>
        </w:tc>
        <w:tc>
          <w:tcPr>
            <w:tcW w:w="865" w:type="dxa"/>
          </w:tcPr>
          <w:p w14:paraId="3C560FE7" w14:textId="77777777" w:rsidR="00182709" w:rsidRDefault="0044097C">
            <w:pPr>
              <w:cnfStyle w:val="000000000000" w:firstRow="0" w:lastRow="0" w:firstColumn="0" w:lastColumn="0" w:oddVBand="0" w:evenVBand="0" w:oddHBand="0" w:evenHBand="0" w:firstRowFirstColumn="0" w:firstRowLastColumn="0" w:lastRowFirstColumn="0" w:lastRowLastColumn="0"/>
            </w:pPr>
            <w:r>
              <w:t>137</w:t>
            </w:r>
          </w:p>
        </w:tc>
        <w:tc>
          <w:tcPr>
            <w:tcW w:w="865" w:type="dxa"/>
          </w:tcPr>
          <w:p w14:paraId="4CACEA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363DAC32"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23A81932" w14:textId="77777777" w:rsidR="00182709" w:rsidRDefault="0044097C">
            <w:r>
              <w:rPr>
                <w:color w:val="4472C4"/>
                <w:sz w:val="13"/>
              </w:rPr>
              <w:t>AASB 7.35I (d)</w:t>
            </w:r>
          </w:p>
        </w:tc>
        <w:tc>
          <w:tcPr>
            <w:tcW w:w="6552" w:type="dxa"/>
          </w:tcPr>
          <w:p w14:paraId="02DB616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Modification of contractual cash flows on financial assets</w:t>
            </w:r>
          </w:p>
        </w:tc>
        <w:tc>
          <w:tcPr>
            <w:tcW w:w="865" w:type="dxa"/>
          </w:tcPr>
          <w:p w14:paraId="3534051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865" w:type="dxa"/>
          </w:tcPr>
          <w:p w14:paraId="27B3C29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182709" w14:paraId="514C1773"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7703C59D" w14:textId="18FF9B69" w:rsidR="00182709" w:rsidRDefault="0044097C">
            <w:r>
              <w:rPr>
                <w:color w:val="4472C4"/>
                <w:sz w:val="13"/>
              </w:rPr>
              <w:t>AASB</w:t>
            </w:r>
            <w:r w:rsidR="00A75720">
              <w:rPr>
                <w:color w:val="4472C4"/>
                <w:sz w:val="13"/>
              </w:rPr>
              <w:t xml:space="preserve"> </w:t>
            </w:r>
            <w:r>
              <w:rPr>
                <w:color w:val="4472C4"/>
                <w:sz w:val="13"/>
              </w:rPr>
              <w:t>7.35I (c)</w:t>
            </w:r>
          </w:p>
        </w:tc>
        <w:tc>
          <w:tcPr>
            <w:tcW w:w="6552" w:type="dxa"/>
          </w:tcPr>
          <w:p w14:paraId="66C114D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Increase in provision recognised in the net result</w:t>
            </w:r>
          </w:p>
        </w:tc>
        <w:tc>
          <w:tcPr>
            <w:tcW w:w="865" w:type="dxa"/>
          </w:tcPr>
          <w:p w14:paraId="184A53CE" w14:textId="77777777" w:rsidR="00182709" w:rsidRDefault="0044097C">
            <w:pPr>
              <w:cnfStyle w:val="000000000000" w:firstRow="0" w:lastRow="0" w:firstColumn="0" w:lastColumn="0" w:oddVBand="0" w:evenVBand="0" w:oddHBand="0" w:evenHBand="0" w:firstRowFirstColumn="0" w:firstRowLastColumn="0" w:lastRowFirstColumn="0" w:lastRowLastColumn="0"/>
            </w:pPr>
            <w:r>
              <w:t>4 732</w:t>
            </w:r>
          </w:p>
        </w:tc>
        <w:tc>
          <w:tcPr>
            <w:tcW w:w="865" w:type="dxa"/>
          </w:tcPr>
          <w:p w14:paraId="767DC06D" w14:textId="77777777" w:rsidR="00182709" w:rsidRDefault="0044097C">
            <w:pPr>
              <w:cnfStyle w:val="000000000000" w:firstRow="0" w:lastRow="0" w:firstColumn="0" w:lastColumn="0" w:oddVBand="0" w:evenVBand="0" w:oddHBand="0" w:evenHBand="0" w:firstRowFirstColumn="0" w:firstRowLastColumn="0" w:lastRowFirstColumn="0" w:lastRowLastColumn="0"/>
            </w:pPr>
            <w:r>
              <w:t>(341)</w:t>
            </w:r>
          </w:p>
        </w:tc>
      </w:tr>
      <w:tr w:rsidR="00182709" w14:paraId="1E8F471A"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6F2C685F" w14:textId="3E9707A6" w:rsidR="00182709" w:rsidRDefault="0044097C">
            <w:r>
              <w:rPr>
                <w:color w:val="4472C4"/>
                <w:sz w:val="13"/>
              </w:rPr>
              <w:t>AASB</w:t>
            </w:r>
            <w:r w:rsidR="00A75720">
              <w:rPr>
                <w:color w:val="4472C4"/>
                <w:sz w:val="13"/>
              </w:rPr>
              <w:t xml:space="preserve"> </w:t>
            </w:r>
            <w:r>
              <w:rPr>
                <w:color w:val="4472C4"/>
                <w:sz w:val="13"/>
              </w:rPr>
              <w:t>7.35I (c)</w:t>
            </w:r>
          </w:p>
        </w:tc>
        <w:tc>
          <w:tcPr>
            <w:tcW w:w="6552" w:type="dxa"/>
          </w:tcPr>
          <w:p w14:paraId="15ACFD4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Reversal of provision of receivables written off during the year as uncollectible</w:t>
            </w:r>
          </w:p>
        </w:tc>
        <w:tc>
          <w:tcPr>
            <w:tcW w:w="865" w:type="dxa"/>
          </w:tcPr>
          <w:p w14:paraId="287E1EF5" w14:textId="77777777" w:rsidR="00182709" w:rsidRDefault="0044097C">
            <w:pPr>
              <w:cnfStyle w:val="000000000000" w:firstRow="0" w:lastRow="0" w:firstColumn="0" w:lastColumn="0" w:oddVBand="0" w:evenVBand="0" w:oddHBand="0" w:evenHBand="0" w:firstRowFirstColumn="0" w:firstRowLastColumn="0" w:lastRowFirstColumn="0" w:lastRowLastColumn="0"/>
            </w:pPr>
            <w:r>
              <w:t>30</w:t>
            </w:r>
          </w:p>
        </w:tc>
        <w:tc>
          <w:tcPr>
            <w:tcW w:w="865" w:type="dxa"/>
          </w:tcPr>
          <w:p w14:paraId="09766863" w14:textId="77777777" w:rsidR="00182709" w:rsidRDefault="0044097C">
            <w:pPr>
              <w:cnfStyle w:val="000000000000" w:firstRow="0" w:lastRow="0" w:firstColumn="0" w:lastColumn="0" w:oddVBand="0" w:evenVBand="0" w:oddHBand="0" w:evenHBand="0" w:firstRowFirstColumn="0" w:firstRowLastColumn="0" w:lastRowFirstColumn="0" w:lastRowLastColumn="0"/>
            </w:pPr>
            <w:r>
              <w:t>52</w:t>
            </w:r>
          </w:p>
        </w:tc>
      </w:tr>
      <w:tr w:rsidR="00182709" w14:paraId="5ACDAF6B" w14:textId="77777777" w:rsidTr="00170214">
        <w:tc>
          <w:tcPr>
            <w:cnfStyle w:val="001000000000" w:firstRow="0" w:lastRow="0" w:firstColumn="1" w:lastColumn="0" w:oddVBand="0" w:evenVBand="0" w:oddHBand="0" w:evenHBand="0" w:firstRowFirstColumn="0" w:firstRowLastColumn="0" w:lastRowFirstColumn="0" w:lastRowLastColumn="0"/>
            <w:tcW w:w="1349" w:type="dxa"/>
          </w:tcPr>
          <w:p w14:paraId="79A77F91" w14:textId="6FFEA556" w:rsidR="00182709" w:rsidRDefault="0044097C">
            <w:r>
              <w:rPr>
                <w:color w:val="4472C4"/>
                <w:sz w:val="13"/>
              </w:rPr>
              <w:t>AASB</w:t>
            </w:r>
            <w:r w:rsidR="00A75720">
              <w:rPr>
                <w:color w:val="4472C4"/>
                <w:sz w:val="13"/>
              </w:rPr>
              <w:t xml:space="preserve"> </w:t>
            </w:r>
            <w:r>
              <w:rPr>
                <w:color w:val="4472C4"/>
                <w:sz w:val="13"/>
              </w:rPr>
              <w:t>7.35H(b)(iii)</w:t>
            </w:r>
          </w:p>
        </w:tc>
        <w:tc>
          <w:tcPr>
            <w:tcW w:w="6552" w:type="dxa"/>
            <w:tcBorders>
              <w:bottom w:val="single" w:sz="12" w:space="0" w:color="auto"/>
            </w:tcBorders>
          </w:tcPr>
          <w:p w14:paraId="29D5D6B0"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Reversal of unused provision recognised in the net result</w:t>
            </w:r>
          </w:p>
        </w:tc>
        <w:tc>
          <w:tcPr>
            <w:tcW w:w="865" w:type="dxa"/>
            <w:tcBorders>
              <w:bottom w:val="single" w:sz="12" w:space="0" w:color="auto"/>
            </w:tcBorders>
          </w:tcPr>
          <w:p w14:paraId="0B99DEE7" w14:textId="77777777" w:rsidR="00182709" w:rsidRDefault="0044097C">
            <w:pPr>
              <w:cnfStyle w:val="000000000000" w:firstRow="0" w:lastRow="0" w:firstColumn="0" w:lastColumn="0" w:oddVBand="0" w:evenVBand="0" w:oddHBand="0" w:evenHBand="0" w:firstRowFirstColumn="0" w:firstRowLastColumn="0" w:lastRowFirstColumn="0" w:lastRowLastColumn="0"/>
            </w:pPr>
            <w:r>
              <w:t>150</w:t>
            </w:r>
          </w:p>
        </w:tc>
        <w:tc>
          <w:tcPr>
            <w:tcW w:w="865" w:type="dxa"/>
            <w:tcBorders>
              <w:bottom w:val="single" w:sz="12" w:space="0" w:color="auto"/>
            </w:tcBorders>
          </w:tcPr>
          <w:p w14:paraId="290909E7" w14:textId="77777777" w:rsidR="00182709" w:rsidRDefault="0044097C">
            <w:pPr>
              <w:cnfStyle w:val="000000000000" w:firstRow="0" w:lastRow="0" w:firstColumn="0" w:lastColumn="0" w:oddVBand="0" w:evenVBand="0" w:oddHBand="0" w:evenHBand="0" w:firstRowFirstColumn="0" w:firstRowLastColumn="0" w:lastRowFirstColumn="0" w:lastRowLastColumn="0"/>
            </w:pPr>
            <w:r>
              <w:t>15</w:t>
            </w:r>
          </w:p>
        </w:tc>
      </w:tr>
      <w:tr w:rsidR="00671D55" w14:paraId="262650AB" w14:textId="77777777" w:rsidTr="00170214">
        <w:tc>
          <w:tcPr>
            <w:cnfStyle w:val="001000000000" w:firstRow="0" w:lastRow="0" w:firstColumn="1" w:lastColumn="0" w:oddVBand="0" w:evenVBand="0" w:oddHBand="0" w:evenHBand="0" w:firstRowFirstColumn="0" w:firstRowLastColumn="0" w:lastRowFirstColumn="0" w:lastRowLastColumn="0"/>
            <w:tcW w:w="1349" w:type="dxa"/>
            <w:tcBorders>
              <w:bottom w:val="nil"/>
            </w:tcBorders>
          </w:tcPr>
          <w:p w14:paraId="1FCF872C" w14:textId="77777777" w:rsidR="00182709" w:rsidRDefault="00182709"/>
        </w:tc>
        <w:tc>
          <w:tcPr>
            <w:tcW w:w="6552" w:type="dxa"/>
          </w:tcPr>
          <w:p w14:paraId="77815AA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Balance at end of the year</w:t>
            </w:r>
          </w:p>
        </w:tc>
        <w:tc>
          <w:tcPr>
            <w:tcW w:w="865" w:type="dxa"/>
          </w:tcPr>
          <w:p w14:paraId="387FB74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4 697</w:t>
            </w:r>
          </w:p>
        </w:tc>
        <w:tc>
          <w:tcPr>
            <w:tcW w:w="865" w:type="dxa"/>
          </w:tcPr>
          <w:p w14:paraId="16A7B78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(327)</w:t>
            </w:r>
          </w:p>
        </w:tc>
      </w:tr>
    </w:tbl>
    <w:p w14:paraId="37E0617A" w14:textId="77777777" w:rsidR="003719CD" w:rsidRDefault="003719CD" w:rsidP="00DC39DE">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36086A06" w14:textId="77777777" w:rsidR="003719CD" w:rsidRDefault="003719CD" w:rsidP="00DC39DE">
      <w:r>
        <w:t xml:space="preserve">In prior years, a provision for doubtful debts is recognised when there is objective evidence that the debts may not be collected and bad debts are written off when identified. A provision is made for estimated irrecoverable amounts from the sale of goods when there is objective evidence that an individual receivable is impaired. Bad debts are considered as written off by mutual consent. </w:t>
      </w:r>
    </w:p>
    <w:p w14:paraId="7BD846D0" w14:textId="77777777" w:rsidR="003719CD" w:rsidRDefault="003719CD" w:rsidP="007D536F">
      <w:pPr>
        <w:pStyle w:val="Heading3"/>
      </w:pPr>
      <w:r>
        <w:t xml:space="preserve">Statutory receivables and debt investments at amortised cost </w:t>
      </w:r>
      <w:r w:rsidRPr="00574B54">
        <w:rPr>
          <w:rStyle w:val="Reference"/>
        </w:rPr>
        <w:t>[AASB 9.Aus2.1.1]</w:t>
      </w:r>
    </w:p>
    <w:p w14:paraId="33218336" w14:textId="77777777" w:rsidR="003719CD" w:rsidRDefault="003719CD" w:rsidP="00DC39DE">
      <w:r>
        <w:t xml:space="preserve">The Department’s non-contractual receivables arising from statutory requirements are not financial instruments. However, they are nevertheless recognised and measured in accordance with AASB 9 requirements as if those receivables are financial instruments. </w:t>
      </w:r>
    </w:p>
    <w:p w14:paraId="27B38CF4" w14:textId="77777777" w:rsidR="003719CD" w:rsidRDefault="003719CD" w:rsidP="00DC39DE">
      <w:r>
        <w:t>The Department also has investments in five-year government bonds and debentures.</w:t>
      </w:r>
    </w:p>
    <w:p w14:paraId="2E333A6B" w14:textId="77777777" w:rsidR="003719CD" w:rsidRDefault="003719CD" w:rsidP="00DC39DE">
      <w:r>
        <w:t xml:space="preserve">Both the statutory receivables and investments in debt instruments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of expected losses. No loss allowance has been recognised. </w:t>
      </w:r>
    </w:p>
    <w:p w14:paraId="7E54E32C" w14:textId="3EB9068D" w:rsidR="003719CD" w:rsidRDefault="003719CD" w:rsidP="007D536F">
      <w:pPr>
        <w:pStyle w:val="Heading3"/>
      </w:pPr>
      <w:r>
        <w:t xml:space="preserve">Debt investments at fair value through net result </w:t>
      </w:r>
      <w:r w:rsidRPr="00574B54">
        <w:rPr>
          <w:rStyle w:val="Reference"/>
        </w:rPr>
        <w:t>[AASB</w:t>
      </w:r>
      <w:r w:rsidR="00D54280">
        <w:rPr>
          <w:rStyle w:val="Reference"/>
        </w:rPr>
        <w:t xml:space="preserve"> </w:t>
      </w:r>
      <w:r w:rsidRPr="00574B54">
        <w:rPr>
          <w:rStyle w:val="Reference"/>
        </w:rPr>
        <w:t>7.36(a)]</w:t>
      </w:r>
    </w:p>
    <w:p w14:paraId="199C1A0E" w14:textId="7E674D32" w:rsidR="003719CD" w:rsidRDefault="003719CD" w:rsidP="00DC39DE">
      <w:r>
        <w:t>The Department is also exposed to credit risk in relation to debt instruments that are designated at fair value through net result. The maximum exposure at the end of the reporting period is the carrying amount of these investments (</w:t>
      </w:r>
      <w:fldSimple w:instr="DOCPROPERTY  YearCurrent  \* MERGEFORMAT">
        <w:r w:rsidR="00E756D1">
          <w:t>20X2</w:t>
        </w:r>
      </w:fldSimple>
      <w:r>
        <w:t>:</w:t>
      </w:r>
      <w:r w:rsidR="007E486C">
        <w:t> </w:t>
      </w:r>
      <w:r>
        <w:t xml:space="preserve">$3 823 000; </w:t>
      </w:r>
      <w:fldSimple w:instr="DOCPROPERTY  YearPrevious  \* MERGEFORMAT">
        <w:r w:rsidR="002C1B71">
          <w:t>20X1</w:t>
        </w:r>
      </w:fldSimple>
      <w:r>
        <w:t>: $2 149 000).</w:t>
      </w:r>
    </w:p>
    <w:p w14:paraId="14A0435C" w14:textId="77777777" w:rsidR="003719CD" w:rsidRDefault="003719CD" w:rsidP="00DC39DE"/>
    <w:p w14:paraId="26DD2628" w14:textId="77777777" w:rsidR="00CA1246" w:rsidRDefault="00CA1246">
      <w:pPr>
        <w:keepLines w:val="0"/>
        <w:rPr>
          <w:rFonts w:asciiTheme="majorHAnsi" w:eastAsiaTheme="majorEastAsia" w:hAnsiTheme="majorHAnsi" w:cstheme="majorBidi"/>
          <w:b/>
          <w:bCs/>
          <w:iCs/>
          <w:color w:val="FFFFFF" w:themeColor="background1"/>
          <w:sz w:val="20"/>
          <w:szCs w:val="24"/>
        </w:rPr>
      </w:pPr>
      <w:r>
        <w:br w:type="page"/>
      </w:r>
    </w:p>
    <w:p w14:paraId="6344E3B5" w14:textId="05F9ACC4" w:rsidR="003719CD" w:rsidRDefault="003719CD" w:rsidP="007D536F">
      <w:pPr>
        <w:pStyle w:val="GuidanceBlockHeading"/>
      </w:pPr>
      <w:r>
        <w:lastRenderedPageBreak/>
        <w:t>Guidance – Credit risk disclosures</w:t>
      </w:r>
    </w:p>
    <w:p w14:paraId="64E074F0" w14:textId="6DED8326" w:rsidR="003719CD" w:rsidRPr="00321006" w:rsidRDefault="003719CD" w:rsidP="007D536F">
      <w:pPr>
        <w:pStyle w:val="GuidanceHeading"/>
        <w:rPr>
          <w:rStyle w:val="Guidance"/>
        </w:rPr>
      </w:pPr>
      <w:r w:rsidRPr="00321006">
        <w:rPr>
          <w:rStyle w:val="Guidance"/>
        </w:rPr>
        <w:t xml:space="preserve">Credit risk </w:t>
      </w:r>
      <w:r w:rsidRPr="00321006">
        <w:rPr>
          <w:rStyle w:val="Reference"/>
        </w:rPr>
        <w:t>[AASB 7.3</w:t>
      </w:r>
      <w:r w:rsidR="00CA1571">
        <w:rPr>
          <w:rStyle w:val="Reference"/>
        </w:rPr>
        <w:t>5B</w:t>
      </w:r>
      <w:r w:rsidRPr="00321006">
        <w:rPr>
          <w:rStyle w:val="Reference"/>
        </w:rPr>
        <w:t>]</w:t>
      </w:r>
      <w:r w:rsidR="00CA1571">
        <w:rPr>
          <w:rStyle w:val="Reference"/>
        </w:rPr>
        <w:t xml:space="preserve"> and</w:t>
      </w:r>
      <w:r w:rsidR="00CA1571" w:rsidRPr="00CA1571">
        <w:rPr>
          <w:rStyle w:val="Reference"/>
        </w:rPr>
        <w:t xml:space="preserve"> </w:t>
      </w:r>
      <w:r w:rsidR="00CA1571" w:rsidRPr="00321006">
        <w:rPr>
          <w:rStyle w:val="Reference"/>
        </w:rPr>
        <w:t>[AASB 7.</w:t>
      </w:r>
      <w:r w:rsidRPr="00321006">
        <w:rPr>
          <w:rStyle w:val="Reference"/>
        </w:rPr>
        <w:t>36]</w:t>
      </w:r>
    </w:p>
    <w:p w14:paraId="11F30165" w14:textId="77777777" w:rsidR="003719CD" w:rsidRPr="00321006" w:rsidRDefault="003719CD" w:rsidP="007D536F">
      <w:pPr>
        <w:keepNext/>
        <w:rPr>
          <w:rStyle w:val="Guidance"/>
        </w:rPr>
      </w:pPr>
      <w:r w:rsidRPr="00321006">
        <w:rPr>
          <w:rStyle w:val="Guidance"/>
        </w:rPr>
        <w:t>The credit risk disclosures intend to enable users of financial statements to understand the effect of credit risk on the amount, timing and uncertainty of future cash flows. To achieve this objective, credit risk disclosures shall provide:</w:t>
      </w:r>
    </w:p>
    <w:p w14:paraId="328929E1" w14:textId="5C097C76" w:rsidR="003719CD" w:rsidRPr="00321006" w:rsidRDefault="003719CD" w:rsidP="00310F12">
      <w:pPr>
        <w:pStyle w:val="ListBullet"/>
        <w:rPr>
          <w:rStyle w:val="Guidance"/>
        </w:rPr>
      </w:pPr>
      <w:r w:rsidRPr="00321006">
        <w:rPr>
          <w:rStyle w:val="Guidance"/>
        </w:rPr>
        <w:t>information about an entity’s credit risk management practices and how they relate to the recognition and measurement of expected credit losses, including the methods, assumptions and information used to measure expected credit losses</w:t>
      </w:r>
    </w:p>
    <w:p w14:paraId="53185A54" w14:textId="72F89A19" w:rsidR="003719CD" w:rsidRPr="00321006" w:rsidRDefault="003719CD" w:rsidP="00310F12">
      <w:pPr>
        <w:pStyle w:val="ListBullet"/>
        <w:rPr>
          <w:rStyle w:val="Guidance"/>
        </w:rPr>
      </w:pPr>
      <w:r w:rsidRPr="00321006">
        <w:rPr>
          <w:rStyle w:val="Guidance"/>
        </w:rPr>
        <w:t>quantitative and qualitative information that allows users of financial statements to evaluate the amounts in the financial statements arising from expected credit losses, including changes in the amount of expected credit losses and the reasons for those changes</w:t>
      </w:r>
    </w:p>
    <w:p w14:paraId="684E2E31" w14:textId="7768BAC8" w:rsidR="003719CD" w:rsidRPr="00321006" w:rsidRDefault="003719CD" w:rsidP="00310F12">
      <w:pPr>
        <w:pStyle w:val="ListBullet"/>
        <w:rPr>
          <w:rStyle w:val="Guidance"/>
        </w:rPr>
      </w:pPr>
      <w:r w:rsidRPr="00321006">
        <w:rPr>
          <w:rStyle w:val="Guidance"/>
        </w:rPr>
        <w:t>information about an entity’s credit risk exposure (i.e. the credit risk inherent in an entity’s financial assets and commitments to extend credit), including significant credit risk concentrations.</w:t>
      </w:r>
      <w:r w:rsidR="00AA0C76" w:rsidRPr="00AA0C76">
        <w:rPr>
          <w:rStyle w:val="Reference"/>
        </w:rPr>
        <w:t xml:space="preserve"> </w:t>
      </w:r>
      <w:r w:rsidR="00AA0C76" w:rsidRPr="00321006">
        <w:rPr>
          <w:rStyle w:val="Reference"/>
        </w:rPr>
        <w:t>[AASB 7.3</w:t>
      </w:r>
      <w:r w:rsidR="00AA0C76">
        <w:rPr>
          <w:rStyle w:val="Reference"/>
        </w:rPr>
        <w:t>5B</w:t>
      </w:r>
      <w:r w:rsidR="00AA0C76" w:rsidRPr="00321006">
        <w:rPr>
          <w:rStyle w:val="Reference"/>
        </w:rPr>
        <w:t>]</w:t>
      </w:r>
    </w:p>
    <w:p w14:paraId="1A4EFA4D" w14:textId="77777777" w:rsidR="003719CD" w:rsidRPr="00321006" w:rsidRDefault="003719CD" w:rsidP="007D536F">
      <w:pPr>
        <w:keepNext/>
        <w:rPr>
          <w:rStyle w:val="Guidance"/>
        </w:rPr>
      </w:pPr>
      <w:r w:rsidRPr="00321006">
        <w:rPr>
          <w:rStyle w:val="Guidance"/>
        </w:rPr>
        <w:t>For all financial instruments within the scope of this standard, but to which the impairment requirements in AASB 9 are not applied, an entity shall, in addition to the required quantitative disclosure above, disclose by class of financial instrument:</w:t>
      </w:r>
    </w:p>
    <w:p w14:paraId="62E5100C" w14:textId="463CAC1D" w:rsidR="003719CD" w:rsidRPr="00321006" w:rsidRDefault="003719CD" w:rsidP="00310F12">
      <w:pPr>
        <w:pStyle w:val="ListBullet"/>
        <w:rPr>
          <w:rStyle w:val="Guidance"/>
        </w:rPr>
      </w:pPr>
      <w:r w:rsidRPr="00321006">
        <w:rPr>
          <w:rStyle w:val="Guidance"/>
        </w:rPr>
        <w:t>the amount that best represents its maximum exposure to credit risk at the end of the reporting period without taking account of any collateral held or other credit enhancements (e.g. netting agreements that do not qualify for offset in accordance with AASB 132). This disclosure is not required for financial instruments whose carrying amount best represents the maximum exposure to credit risk</w:t>
      </w:r>
    </w:p>
    <w:p w14:paraId="08A57F6B" w14:textId="54871C15" w:rsidR="003719CD" w:rsidRPr="00321006" w:rsidRDefault="003719CD" w:rsidP="00310F12">
      <w:pPr>
        <w:pStyle w:val="ListBullet"/>
        <w:rPr>
          <w:rStyle w:val="Guidance"/>
        </w:rPr>
      </w:pPr>
      <w:r w:rsidRPr="00321006">
        <w:rPr>
          <w:rStyle w:val="Guidance"/>
        </w:rPr>
        <w:t>a description of collateral held as security and other credit enhancements, and their financial effect (e.g. quantification of the extent to which collateral and other credit enhancements mitigate credit risk) in respect of the amount that best represents the maximum exposure to credit risk (whether disclosed in accordance with (a) or represented by the carrying amount of a financial instrument).</w:t>
      </w:r>
      <w:r w:rsidR="00AA0C76" w:rsidRPr="00AA0C76">
        <w:rPr>
          <w:rStyle w:val="Reference"/>
        </w:rPr>
        <w:t xml:space="preserve"> </w:t>
      </w:r>
      <w:r w:rsidR="00AA0C76" w:rsidRPr="00321006">
        <w:rPr>
          <w:rStyle w:val="Reference"/>
        </w:rPr>
        <w:t>[AASB 7.36]</w:t>
      </w:r>
    </w:p>
    <w:p w14:paraId="5015E44B" w14:textId="77777777" w:rsidR="003719CD" w:rsidRPr="00321006" w:rsidRDefault="003719CD" w:rsidP="007D536F">
      <w:pPr>
        <w:pStyle w:val="GuidanceHeading"/>
        <w:rPr>
          <w:rStyle w:val="Guidance"/>
        </w:rPr>
      </w:pPr>
      <w:r w:rsidRPr="00321006">
        <w:rPr>
          <w:rStyle w:val="Guidance"/>
        </w:rPr>
        <w:t xml:space="preserve">Impairment – expected credit loss </w:t>
      </w:r>
      <w:r w:rsidRPr="00321006">
        <w:rPr>
          <w:rStyle w:val="Reference"/>
        </w:rPr>
        <w:t>[AASB 9.5.5]</w:t>
      </w:r>
    </w:p>
    <w:p w14:paraId="72E3E277" w14:textId="77777777" w:rsidR="003719CD" w:rsidRPr="00321006" w:rsidRDefault="003719CD" w:rsidP="007D536F">
      <w:pPr>
        <w:rPr>
          <w:rStyle w:val="Guidance"/>
        </w:rPr>
      </w:pPr>
      <w:r w:rsidRPr="00321006">
        <w:rPr>
          <w:rStyle w:val="Guidance"/>
        </w:rPr>
        <w:t>AASB 9 requires the entity to assess impairment loss using the ‘expected credit loss’ (ECL) model. Under the ECL model, the allowance for credit losses is calculated by considering on a discounted basis the cash shortfalls it would incur in various default scenarios for prescribed future periods and multiplying the shortfalls by the probability of each scenario occurring. The allowance is the sum of these probability-weighted outcomes. Because every loan and receivable carries with it some risk of default, every such asset has an expected loss attached to it – from the moment of its origination or acquisition.</w:t>
      </w:r>
    </w:p>
    <w:p w14:paraId="2B73EB8A" w14:textId="77777777" w:rsidR="003719CD" w:rsidRPr="00321006" w:rsidRDefault="003719CD" w:rsidP="007D536F">
      <w:pPr>
        <w:keepNext/>
        <w:rPr>
          <w:rStyle w:val="Guidance"/>
        </w:rPr>
      </w:pPr>
      <w:r w:rsidRPr="00321006">
        <w:rPr>
          <w:rStyle w:val="Guidance"/>
        </w:rPr>
        <w:t>AASB 9 establishes three separate approaches for measuring and recognising expected credit losses:</w:t>
      </w:r>
    </w:p>
    <w:p w14:paraId="191FCDCC" w14:textId="20A3B844" w:rsidR="003719CD" w:rsidRPr="00321006" w:rsidRDefault="003719CD" w:rsidP="00310F12">
      <w:pPr>
        <w:pStyle w:val="ListBullet"/>
        <w:rPr>
          <w:rStyle w:val="Guidance"/>
        </w:rPr>
      </w:pPr>
      <w:r w:rsidRPr="00321006">
        <w:rPr>
          <w:rStyle w:val="Guidance"/>
        </w:rPr>
        <w:t>A general approach that applies to all loans and receivables not eligible for the other approaches</w:t>
      </w:r>
    </w:p>
    <w:p w14:paraId="7426DB94" w14:textId="43E0D97A" w:rsidR="003719CD" w:rsidRPr="00321006" w:rsidRDefault="003719CD" w:rsidP="00310F12">
      <w:pPr>
        <w:pStyle w:val="ListBullet"/>
        <w:rPr>
          <w:rStyle w:val="Guidance"/>
        </w:rPr>
      </w:pPr>
      <w:r w:rsidRPr="00321006">
        <w:rPr>
          <w:rStyle w:val="Guidance"/>
        </w:rPr>
        <w:t>A simplified approach that is required for certain trade receivables and lease receivables</w:t>
      </w:r>
    </w:p>
    <w:p w14:paraId="11C2C01E" w14:textId="77777777" w:rsidR="003719CD" w:rsidRPr="00321006" w:rsidRDefault="003719CD" w:rsidP="00310F12">
      <w:pPr>
        <w:pStyle w:val="ListBullet"/>
        <w:rPr>
          <w:rStyle w:val="Guidance"/>
        </w:rPr>
      </w:pPr>
      <w:r w:rsidRPr="00321006">
        <w:rPr>
          <w:rStyle w:val="Guidance"/>
        </w:rPr>
        <w:t>A ‘credit adjusted approach’ that applies to loans that are credit impaired at initial recognition (e.g. loans acquired at a deep discount due to their credit risk).</w:t>
      </w:r>
    </w:p>
    <w:p w14:paraId="77510268" w14:textId="39E09C9E" w:rsidR="003719CD" w:rsidRPr="00321006" w:rsidRDefault="003719CD" w:rsidP="007D536F">
      <w:pPr>
        <w:rPr>
          <w:rStyle w:val="Guidance"/>
        </w:rPr>
      </w:pPr>
      <w:r w:rsidRPr="00321006">
        <w:rPr>
          <w:rStyle w:val="Guidance"/>
        </w:rPr>
        <w:t>A distinguishing factor among the approaches is whether the allowance for expected credit losses at any balance sheet date is calculated by considering possible defaults only for the next 12 months (</w:t>
      </w:r>
      <w:r w:rsidR="00BD56AF">
        <w:rPr>
          <w:rStyle w:val="Guidance"/>
        </w:rPr>
        <w:t>’</w:t>
      </w:r>
      <w:r w:rsidRPr="00321006">
        <w:rPr>
          <w:rStyle w:val="Guidance"/>
        </w:rPr>
        <w:t>12</w:t>
      </w:r>
      <w:r w:rsidR="00BD56AF">
        <w:rPr>
          <w:rStyle w:val="Guidance"/>
        </w:rPr>
        <w:t>-</w:t>
      </w:r>
      <w:r w:rsidRPr="00321006">
        <w:rPr>
          <w:rStyle w:val="Guidance"/>
        </w:rPr>
        <w:t>month ECLs’) or for the entire remaining life of the asset (‘Lifetime ECLs’).</w:t>
      </w:r>
    </w:p>
    <w:p w14:paraId="79D642DE" w14:textId="77777777" w:rsidR="003719CD" w:rsidRPr="00321006" w:rsidRDefault="003719CD" w:rsidP="007D536F">
      <w:pPr>
        <w:rPr>
          <w:rStyle w:val="Guidance"/>
        </w:rPr>
      </w:pPr>
      <w:r w:rsidRPr="00321006">
        <w:rPr>
          <w:rStyle w:val="Guidance"/>
        </w:rPr>
        <w:t>Under both the general and simplified approach, the loss allowance is measured in the same period as an asset is recognised. Under the general approach, the loss allowance is based on 12-month ECLs unless a significant increase in credit risk occurs. In this case, loss allowance is measured based on lifetime ECLs unless the increase reverses.</w:t>
      </w:r>
    </w:p>
    <w:p w14:paraId="2BD03EDA" w14:textId="5FF3BB24" w:rsidR="003719CD" w:rsidRPr="00321006" w:rsidRDefault="003719CD" w:rsidP="007D536F">
      <w:pPr>
        <w:rPr>
          <w:rStyle w:val="Guidance"/>
        </w:rPr>
      </w:pPr>
      <w:r w:rsidRPr="00321006">
        <w:rPr>
          <w:rStyle w:val="Guidance"/>
        </w:rPr>
        <w:t xml:space="preserve">An entity may assume that the credit risk on a financial instrument has not increased significantly since initial recognition if the financial instrument is determined to have low credit risk of default at the reporting date </w:t>
      </w:r>
      <w:r w:rsidRPr="00A77178">
        <w:rPr>
          <w:rStyle w:val="Reference"/>
        </w:rPr>
        <w:t>[AASB</w:t>
      </w:r>
      <w:r>
        <w:rPr>
          <w:rStyle w:val="Reference"/>
        </w:rPr>
        <w:t xml:space="preserve"> </w:t>
      </w:r>
      <w:r w:rsidRPr="00A77178">
        <w:rPr>
          <w:rStyle w:val="Reference"/>
        </w:rPr>
        <w:t>9.</w:t>
      </w:r>
      <w:r w:rsidR="0077527B" w:rsidRPr="00A77178">
        <w:rPr>
          <w:rStyle w:val="Reference"/>
        </w:rPr>
        <w:t>B.5.5.</w:t>
      </w:r>
      <w:r w:rsidR="0077527B">
        <w:rPr>
          <w:rStyle w:val="Reference"/>
        </w:rPr>
        <w:t>10</w:t>
      </w:r>
      <w:r w:rsidR="004B33E7" w:rsidRPr="00A77178">
        <w:rPr>
          <w:rStyle w:val="Reference"/>
        </w:rPr>
        <w:t>]</w:t>
      </w:r>
      <w:r w:rsidR="004B33E7" w:rsidRPr="00321006">
        <w:rPr>
          <w:rStyle w:val="Guidance"/>
        </w:rPr>
        <w:t>.</w:t>
      </w:r>
      <w:r w:rsidRPr="00321006">
        <w:rPr>
          <w:rStyle w:val="Guidance"/>
        </w:rPr>
        <w:t xml:space="preserve"> Financial instruments are not considered to have low risk simply because of the value of collateral without which the financial instrument would not be considered low credit risk. Financial instruments are not considered to have low credit risk simply because they have a lower risk of default than the entity’s other financial instruments or relative to the credit risk of the jurisdiction within which an entity operates</w:t>
      </w:r>
      <w:r w:rsidR="00112A28">
        <w:rPr>
          <w:rStyle w:val="Guidance"/>
        </w:rPr>
        <w:t>.</w:t>
      </w:r>
      <w:r w:rsidRPr="00321006">
        <w:rPr>
          <w:rStyle w:val="Guidance"/>
        </w:rPr>
        <w:t xml:space="preserve"> </w:t>
      </w:r>
      <w:r w:rsidRPr="00A77178">
        <w:rPr>
          <w:rStyle w:val="Reference"/>
        </w:rPr>
        <w:t>[AASB</w:t>
      </w:r>
      <w:r w:rsidR="00994CEF">
        <w:rPr>
          <w:rStyle w:val="Reference"/>
        </w:rPr>
        <w:t xml:space="preserve"> </w:t>
      </w:r>
      <w:r w:rsidRPr="00A77178">
        <w:rPr>
          <w:rStyle w:val="Reference"/>
        </w:rPr>
        <w:t>9.B5.5.22]</w:t>
      </w:r>
      <w:r w:rsidRPr="00321006">
        <w:rPr>
          <w:rStyle w:val="Guidance"/>
        </w:rPr>
        <w:t>.</w:t>
      </w:r>
    </w:p>
    <w:p w14:paraId="39D70F26" w14:textId="77777777" w:rsidR="00CA1246" w:rsidRDefault="00CA1246">
      <w:pPr>
        <w:keepLines w:val="0"/>
        <w:rPr>
          <w:rStyle w:val="Guidance"/>
        </w:rPr>
      </w:pPr>
      <w:r>
        <w:rPr>
          <w:rStyle w:val="Guidance"/>
        </w:rPr>
        <w:br w:type="page"/>
      </w:r>
    </w:p>
    <w:p w14:paraId="6F0802F1" w14:textId="497F537C" w:rsidR="003719CD" w:rsidRPr="00321006" w:rsidRDefault="003719CD" w:rsidP="007D536F">
      <w:pPr>
        <w:rPr>
          <w:rStyle w:val="Guidance"/>
        </w:rPr>
      </w:pPr>
      <w:r w:rsidRPr="00321006">
        <w:rPr>
          <w:rStyle w:val="Guidance"/>
        </w:rPr>
        <w:lastRenderedPageBreak/>
        <w:t>Indicators for significant increase in credit rise (and as the result the impairment assessment moves from 12</w:t>
      </w:r>
      <w:r w:rsidR="0060087C">
        <w:rPr>
          <w:rStyle w:val="Guidance"/>
        </w:rPr>
        <w:t>-</w:t>
      </w:r>
      <w:r w:rsidRPr="00321006">
        <w:rPr>
          <w:rStyle w:val="Guidance"/>
        </w:rPr>
        <w:t>month ECLs to Lifetime ECLs) include:</w:t>
      </w:r>
    </w:p>
    <w:p w14:paraId="2165B7E9" w14:textId="4613FE3E" w:rsidR="003719CD" w:rsidRPr="00321006" w:rsidRDefault="003719CD" w:rsidP="00310F12">
      <w:pPr>
        <w:pStyle w:val="ListBullet"/>
        <w:rPr>
          <w:rStyle w:val="Guidance"/>
        </w:rPr>
      </w:pPr>
      <w:r w:rsidRPr="00321006">
        <w:rPr>
          <w:rStyle w:val="Guidance"/>
        </w:rPr>
        <w:t>changes in general economic or market conditions</w:t>
      </w:r>
    </w:p>
    <w:p w14:paraId="564D2FE6" w14:textId="080D57C9" w:rsidR="003719CD" w:rsidRPr="00321006" w:rsidRDefault="003719CD" w:rsidP="00310F12">
      <w:pPr>
        <w:pStyle w:val="ListBullet"/>
        <w:rPr>
          <w:rStyle w:val="Guidance"/>
        </w:rPr>
      </w:pPr>
      <w:r w:rsidRPr="00321006">
        <w:rPr>
          <w:rStyle w:val="Guidance"/>
        </w:rPr>
        <w:t>significant changes in financial position or operating results of a borrower</w:t>
      </w:r>
    </w:p>
    <w:p w14:paraId="6A33649E" w14:textId="02ED6389" w:rsidR="003719CD" w:rsidRPr="00321006" w:rsidRDefault="003719CD" w:rsidP="00310F12">
      <w:pPr>
        <w:pStyle w:val="ListBullet"/>
        <w:rPr>
          <w:rStyle w:val="Guidance"/>
        </w:rPr>
      </w:pPr>
      <w:r w:rsidRPr="00321006">
        <w:rPr>
          <w:rStyle w:val="Guidance"/>
        </w:rPr>
        <w:t>changes in financial support from parent or group companies</w:t>
      </w:r>
    </w:p>
    <w:p w14:paraId="50A7E7F9" w14:textId="68102402" w:rsidR="003719CD" w:rsidRPr="00321006" w:rsidRDefault="003719CD" w:rsidP="00310F12">
      <w:pPr>
        <w:pStyle w:val="ListBullet"/>
        <w:rPr>
          <w:rStyle w:val="Guidance"/>
        </w:rPr>
      </w:pPr>
      <w:r w:rsidRPr="00321006">
        <w:rPr>
          <w:rStyle w:val="Guidance"/>
        </w:rPr>
        <w:t>expected or potential breaches of covenants</w:t>
      </w:r>
    </w:p>
    <w:p w14:paraId="547B2ED8" w14:textId="77777777" w:rsidR="003719CD" w:rsidRPr="00321006" w:rsidRDefault="003719CD" w:rsidP="00310F12">
      <w:pPr>
        <w:pStyle w:val="ListBullet"/>
        <w:rPr>
          <w:rStyle w:val="Guidance"/>
        </w:rPr>
      </w:pPr>
      <w:r w:rsidRPr="00321006">
        <w:rPr>
          <w:rStyle w:val="Guidance"/>
        </w:rPr>
        <w:t>expected delay in payment.</w:t>
      </w:r>
    </w:p>
    <w:p w14:paraId="14C10A2F" w14:textId="4E424522" w:rsidR="003719CD" w:rsidRPr="00321006" w:rsidRDefault="003719CD" w:rsidP="007D536F">
      <w:pPr>
        <w:rPr>
          <w:rStyle w:val="Guidance"/>
        </w:rPr>
      </w:pPr>
      <w:r w:rsidRPr="00321006">
        <w:rPr>
          <w:rStyle w:val="Guidance"/>
        </w:rPr>
        <w:t>If an entity has measured the loss allowance for a financial instrument at an amount equal to lifetime expected credit losses in the previous reporting period but determines at the current reporting date that the credit risk has not increased significantly since initial recognition, the entity shall measure the loss allowance at an amount equal to 12</w:t>
      </w:r>
      <w:r>
        <w:rPr>
          <w:rStyle w:val="Guidance"/>
        </w:rPr>
        <w:t>-</w:t>
      </w:r>
      <w:r w:rsidRPr="00321006">
        <w:rPr>
          <w:rStyle w:val="Guidance"/>
        </w:rPr>
        <w:t>month expected credit losses at the current reporting date</w:t>
      </w:r>
      <w:r>
        <w:rPr>
          <w:rStyle w:val="Guidance"/>
        </w:rPr>
        <w:t>.</w:t>
      </w:r>
      <w:r w:rsidRPr="00321006">
        <w:rPr>
          <w:rStyle w:val="Guidance"/>
        </w:rPr>
        <w:t xml:space="preserve"> </w:t>
      </w:r>
      <w:r w:rsidRPr="00321006">
        <w:rPr>
          <w:rStyle w:val="Reference"/>
        </w:rPr>
        <w:t>[AASB 9.5.5.7]</w:t>
      </w:r>
    </w:p>
    <w:p w14:paraId="4CB06E43" w14:textId="77777777" w:rsidR="003719CD" w:rsidRPr="00321006" w:rsidRDefault="003719CD" w:rsidP="007D536F">
      <w:pPr>
        <w:rPr>
          <w:rStyle w:val="Guidance"/>
        </w:rPr>
      </w:pPr>
      <w:r w:rsidRPr="00321006">
        <w:rPr>
          <w:rStyle w:val="Guidance"/>
        </w:rPr>
        <w:t xml:space="preserve">Under the simplified approach, loss allowance is measured based on lifetime ECLs. For example, expected credit losses for trade receivables from large number of small customers is often determined based on provision matrix, which is in turn, based on historical observed default rates, adjusted for forward looking estimates. </w:t>
      </w:r>
    </w:p>
    <w:p w14:paraId="2782DB3B" w14:textId="77777777" w:rsidR="003719CD" w:rsidRPr="00321006" w:rsidRDefault="003719CD" w:rsidP="007D536F">
      <w:pPr>
        <w:rPr>
          <w:rStyle w:val="Guidance"/>
        </w:rPr>
      </w:pPr>
      <w:r w:rsidRPr="00321006">
        <w:rPr>
          <w:rStyle w:val="Guidance"/>
        </w:rPr>
        <w:t xml:space="preserve">Credit adjusted approach should be used when there is objective evidence of impairment and measures expected credit loss based on cumulative change in lifetime ECL since initial recognition of the asset. Unlike the general and simplified approach where interest (if applicable) is calculated on gross basis, under the credit adjust approach interest is calculated on net basis (gross carrying amount less loss allowance). </w:t>
      </w:r>
    </w:p>
    <w:p w14:paraId="62212692" w14:textId="77777777" w:rsidR="003719CD" w:rsidRPr="00321006" w:rsidRDefault="003719CD" w:rsidP="007D536F">
      <w:pPr>
        <w:rPr>
          <w:rStyle w:val="Guidance"/>
        </w:rPr>
      </w:pPr>
      <w:r w:rsidRPr="00321006">
        <w:rPr>
          <w:rStyle w:val="Guidance"/>
        </w:rPr>
        <w:t>A financial asset is credit-impaired when one or more events that have a detrimental impact on the estimated future cash flows of that financial asset have occurred. Evidence that a financial asset is credit-impaired include observable data about the following events:</w:t>
      </w:r>
    </w:p>
    <w:p w14:paraId="2CD19B76" w14:textId="78E532C9" w:rsidR="003719CD" w:rsidRPr="00321006" w:rsidRDefault="00083B44" w:rsidP="00310F12">
      <w:pPr>
        <w:pStyle w:val="ListBullet"/>
        <w:rPr>
          <w:rStyle w:val="Guidance"/>
        </w:rPr>
      </w:pPr>
      <w:r>
        <w:rPr>
          <w:rStyle w:val="Guidance"/>
        </w:rPr>
        <w:t>S</w:t>
      </w:r>
      <w:r w:rsidR="003719CD" w:rsidRPr="00321006">
        <w:rPr>
          <w:rStyle w:val="Guidance"/>
        </w:rPr>
        <w:t>ignificant financial difficulty of the issuer or the borrower</w:t>
      </w:r>
    </w:p>
    <w:p w14:paraId="0045D157" w14:textId="0BDA3D9D" w:rsidR="003719CD" w:rsidRPr="00321006" w:rsidRDefault="00083B44" w:rsidP="00310F12">
      <w:pPr>
        <w:pStyle w:val="ListBullet"/>
        <w:rPr>
          <w:rStyle w:val="Guidance"/>
        </w:rPr>
      </w:pPr>
      <w:r>
        <w:rPr>
          <w:rStyle w:val="Guidance"/>
        </w:rPr>
        <w:t>A</w:t>
      </w:r>
      <w:r w:rsidR="003719CD" w:rsidRPr="00321006">
        <w:rPr>
          <w:rStyle w:val="Guidance"/>
        </w:rPr>
        <w:t xml:space="preserve"> breach of contract, such as a default or past due event</w:t>
      </w:r>
    </w:p>
    <w:p w14:paraId="117CB76C" w14:textId="4E7A556C" w:rsidR="003719CD" w:rsidRPr="00321006" w:rsidRDefault="00083B44" w:rsidP="00310F12">
      <w:pPr>
        <w:pStyle w:val="ListBullet"/>
        <w:rPr>
          <w:rStyle w:val="Guidance"/>
        </w:rPr>
      </w:pPr>
      <w:r>
        <w:rPr>
          <w:rStyle w:val="Guidance"/>
        </w:rPr>
        <w:t>T</w:t>
      </w:r>
      <w:r w:rsidR="003719CD" w:rsidRPr="00321006">
        <w:rPr>
          <w:rStyle w:val="Guidance"/>
        </w:rPr>
        <w:t>he lender(s) of the borrower, for economic or contractual reasons relating to the borrower’s financial difficulty, having granted to the borrower a concession(s) that the lender(s) would not otherwise consider</w:t>
      </w:r>
    </w:p>
    <w:p w14:paraId="78956247" w14:textId="462C0293" w:rsidR="003719CD" w:rsidRPr="00321006" w:rsidRDefault="00083B44" w:rsidP="00310F12">
      <w:pPr>
        <w:pStyle w:val="ListBullet"/>
        <w:rPr>
          <w:rStyle w:val="Guidance"/>
        </w:rPr>
      </w:pPr>
      <w:r>
        <w:rPr>
          <w:rStyle w:val="Guidance"/>
        </w:rPr>
        <w:t>I</w:t>
      </w:r>
      <w:r w:rsidR="003719CD" w:rsidRPr="00321006">
        <w:rPr>
          <w:rStyle w:val="Guidance"/>
        </w:rPr>
        <w:t>t is becoming probable that the borrower will enter bankruptcy or other financial reorganisation</w:t>
      </w:r>
    </w:p>
    <w:p w14:paraId="15E84745" w14:textId="216BA249" w:rsidR="003719CD" w:rsidRPr="00321006" w:rsidRDefault="00083B44" w:rsidP="00310F12">
      <w:pPr>
        <w:pStyle w:val="ListBullet"/>
        <w:rPr>
          <w:rStyle w:val="Guidance"/>
        </w:rPr>
      </w:pPr>
      <w:r>
        <w:rPr>
          <w:rStyle w:val="Guidance"/>
        </w:rPr>
        <w:t>T</w:t>
      </w:r>
      <w:r w:rsidR="003719CD" w:rsidRPr="00321006">
        <w:rPr>
          <w:rStyle w:val="Guidance"/>
        </w:rPr>
        <w:t>he disappearance of an active market for that financial asset because of financial difficulties</w:t>
      </w:r>
    </w:p>
    <w:p w14:paraId="0B02E954" w14:textId="393D9F0A" w:rsidR="003719CD" w:rsidRPr="00321006" w:rsidRDefault="00083B44" w:rsidP="00310F12">
      <w:pPr>
        <w:pStyle w:val="ListBullet"/>
        <w:rPr>
          <w:rStyle w:val="Guidance"/>
        </w:rPr>
      </w:pPr>
      <w:r>
        <w:rPr>
          <w:rStyle w:val="Guidance"/>
        </w:rPr>
        <w:t>T</w:t>
      </w:r>
      <w:r w:rsidR="003719CD" w:rsidRPr="00321006">
        <w:rPr>
          <w:rStyle w:val="Guidance"/>
        </w:rPr>
        <w:t>he purchase or origination of a financial asset at a deep discount that reflects the incurred credit losses.</w:t>
      </w:r>
    </w:p>
    <w:p w14:paraId="09BDE508" w14:textId="3089401F" w:rsidR="003719CD" w:rsidRPr="00321006" w:rsidRDefault="003719CD" w:rsidP="007D536F">
      <w:pPr>
        <w:rPr>
          <w:rStyle w:val="Guidance"/>
        </w:rPr>
      </w:pPr>
      <w:r w:rsidRPr="00CD06B1">
        <w:rPr>
          <w:rStyle w:val="Guidance"/>
          <w:b/>
        </w:rPr>
        <w:t>Contract assets recognised applying AASB 15:</w:t>
      </w:r>
      <w:r w:rsidRPr="00321006">
        <w:rPr>
          <w:rStyle w:val="Guidance"/>
        </w:rPr>
        <w:t xml:space="preserve"> </w:t>
      </w:r>
      <w:r w:rsidR="00FE5EBC">
        <w:rPr>
          <w:rStyle w:val="Guidance"/>
        </w:rPr>
        <w:t>C</w:t>
      </w:r>
      <w:r w:rsidRPr="00321006">
        <w:rPr>
          <w:rStyle w:val="Guidance"/>
        </w:rPr>
        <w:t xml:space="preserve">ontract assets are required to be assessed for impairment in accordance with AASB 9. Impairment of a contract asset is required to be measured, presented and disclosed on the same basis as a financial asset that is within the scope of AASB 9. Where material, the disclosures in this note should incorporate contract asset impairment information. </w:t>
      </w:r>
      <w:r w:rsidRPr="00321006">
        <w:rPr>
          <w:rStyle w:val="Reference"/>
        </w:rPr>
        <w:t>[AASB 15.107, AASB 9.5.5.1, AASB 7.35H and 35M]</w:t>
      </w:r>
    </w:p>
    <w:p w14:paraId="55080925" w14:textId="77777777" w:rsidR="003719CD" w:rsidRPr="00321006" w:rsidRDefault="003719CD" w:rsidP="007D536F">
      <w:pPr>
        <w:rPr>
          <w:rStyle w:val="Guidance"/>
        </w:rPr>
      </w:pPr>
      <w:r w:rsidRPr="00321006">
        <w:rPr>
          <w:rStyle w:val="Guidance"/>
        </w:rPr>
        <w:t xml:space="preserve">It may not be possible to identify a single discrete event – instead, the combined effect of several events may have caused financial assets to become credit-impaired. </w:t>
      </w:r>
      <w:r w:rsidRPr="00321006">
        <w:rPr>
          <w:rStyle w:val="Reference"/>
        </w:rPr>
        <w:t>[Appendix A of AASB 9]</w:t>
      </w:r>
    </w:p>
    <w:p w14:paraId="3053B4D9" w14:textId="77777777" w:rsidR="003719CD" w:rsidRPr="00321006" w:rsidRDefault="003719CD" w:rsidP="007D536F">
      <w:pPr>
        <w:rPr>
          <w:rStyle w:val="Guidance"/>
        </w:rPr>
      </w:pPr>
      <w:r w:rsidRPr="00321006">
        <w:rPr>
          <w:rStyle w:val="Guidance"/>
        </w:rPr>
        <w:t>Debt investments carried at fair value through other comprehensive income are also subject to the expected credit loss model. However, the loss allowance is recognised in profit or loss and reduces the fair value loss otherwise recognised in other comprehensive income.</w:t>
      </w:r>
    </w:p>
    <w:p w14:paraId="164DAB99" w14:textId="77777777" w:rsidR="003719CD" w:rsidRPr="00321006" w:rsidRDefault="003719CD" w:rsidP="007D536F">
      <w:pPr>
        <w:keepNext/>
        <w:rPr>
          <w:rStyle w:val="Guidance"/>
        </w:rPr>
      </w:pPr>
      <w:r w:rsidRPr="00321006">
        <w:rPr>
          <w:rStyle w:val="Guidance"/>
        </w:rPr>
        <w:t xml:space="preserve">To explain the changes in the loss allowance and the reasons for those changes, an entity shall provide, by class of financial instrument, a reconciliation from the opening balance to the closing balance of the loss allowance, in a table, showing separately the changes during the period for: </w:t>
      </w:r>
    </w:p>
    <w:p w14:paraId="3CBCB9FD" w14:textId="287C279F" w:rsidR="003719CD" w:rsidRPr="00321006" w:rsidRDefault="003719CD" w:rsidP="00310F12">
      <w:pPr>
        <w:pStyle w:val="ListBullet"/>
        <w:rPr>
          <w:rStyle w:val="Guidance"/>
        </w:rPr>
      </w:pPr>
      <w:r w:rsidRPr="00321006">
        <w:rPr>
          <w:rStyle w:val="Guidance"/>
        </w:rPr>
        <w:t xml:space="preserve">the loss allowance measured at an amount equal to 12-month expected credit losses </w:t>
      </w:r>
    </w:p>
    <w:p w14:paraId="2F37FB99" w14:textId="77777777" w:rsidR="003719CD" w:rsidRPr="00321006" w:rsidRDefault="003719CD" w:rsidP="00310F12">
      <w:pPr>
        <w:pStyle w:val="ListBullet"/>
        <w:keepNext/>
        <w:rPr>
          <w:rStyle w:val="Guidance"/>
        </w:rPr>
      </w:pPr>
      <w:r w:rsidRPr="00321006">
        <w:rPr>
          <w:rStyle w:val="Guidance"/>
        </w:rPr>
        <w:t>the loss allowance measured at an amount equal to lifetime expected credit losses for:</w:t>
      </w:r>
    </w:p>
    <w:p w14:paraId="11BBEA83" w14:textId="3E08B649" w:rsidR="003719CD" w:rsidRPr="00321006" w:rsidRDefault="003719CD" w:rsidP="00EA0674">
      <w:pPr>
        <w:pStyle w:val="ListBullet2"/>
        <w:rPr>
          <w:rStyle w:val="Guidance"/>
        </w:rPr>
      </w:pPr>
      <w:r w:rsidRPr="00321006">
        <w:rPr>
          <w:rStyle w:val="Guidance"/>
        </w:rPr>
        <w:t>financial instruments for which credit risk has increased significantly since initial recognition but that are not credit-impaired financial assets</w:t>
      </w:r>
    </w:p>
    <w:p w14:paraId="71205377" w14:textId="6F45D8D9" w:rsidR="003719CD" w:rsidRPr="00321006" w:rsidRDefault="003719CD" w:rsidP="00EA0674">
      <w:pPr>
        <w:pStyle w:val="ListBullet2"/>
        <w:rPr>
          <w:rStyle w:val="Guidance"/>
        </w:rPr>
      </w:pPr>
      <w:r w:rsidRPr="00321006">
        <w:rPr>
          <w:rStyle w:val="Guidance"/>
        </w:rPr>
        <w:t>financial assets that are credit-impaired at the reporting date (but that are not purchased or originated credit impaired)</w:t>
      </w:r>
    </w:p>
    <w:p w14:paraId="002EFF0F" w14:textId="4773EF7B" w:rsidR="003719CD" w:rsidRPr="00321006" w:rsidRDefault="003719CD" w:rsidP="00EA0674">
      <w:pPr>
        <w:pStyle w:val="ListBullet2"/>
        <w:rPr>
          <w:rStyle w:val="Guidance"/>
        </w:rPr>
      </w:pPr>
      <w:r w:rsidRPr="00321006">
        <w:rPr>
          <w:rStyle w:val="Guidance"/>
        </w:rPr>
        <w:t>trade receivables, contract assets or lease receivables for which the loss allowances are measured in accordance with paragraph 5.5.15 of AASB 9</w:t>
      </w:r>
      <w:r w:rsidR="000F3AD3">
        <w:rPr>
          <w:rStyle w:val="Guidance"/>
        </w:rPr>
        <w:t>.</w:t>
      </w:r>
    </w:p>
    <w:p w14:paraId="25FB9B9F" w14:textId="69071B42" w:rsidR="003719CD" w:rsidRPr="00321006" w:rsidRDefault="003719CD" w:rsidP="00310F12">
      <w:pPr>
        <w:pStyle w:val="ListBullet"/>
        <w:rPr>
          <w:rStyle w:val="Guidance"/>
        </w:rPr>
      </w:pPr>
      <w:r w:rsidRPr="00321006">
        <w:rPr>
          <w:rStyle w:val="Guidance"/>
        </w:rPr>
        <w:t xml:space="preserve">financial assets that are purchased or originated credit-impaired. In addition to the reconciliation, an entity shall disclose the total amount of undiscounted expected credit losses at initial recognition on financial assets initially recognised during the reporting period. </w:t>
      </w:r>
      <w:r w:rsidRPr="00321006">
        <w:rPr>
          <w:rStyle w:val="Reference"/>
        </w:rPr>
        <w:t>[AASB 7.35H]</w:t>
      </w:r>
    </w:p>
    <w:p w14:paraId="408DECF1" w14:textId="77777777" w:rsidR="003719CD" w:rsidRPr="00321006" w:rsidRDefault="003719CD" w:rsidP="007D536F">
      <w:pPr>
        <w:pStyle w:val="GuidanceHeading"/>
        <w:rPr>
          <w:rStyle w:val="Guidance"/>
        </w:rPr>
      </w:pPr>
      <w:r w:rsidRPr="00321006">
        <w:rPr>
          <w:rStyle w:val="Guidance"/>
        </w:rPr>
        <w:lastRenderedPageBreak/>
        <w:t xml:space="preserve">Collateral and other credit enhancements obtained </w:t>
      </w:r>
      <w:r w:rsidRPr="00321006">
        <w:rPr>
          <w:rStyle w:val="Reference"/>
        </w:rPr>
        <w:t>[AASB 7.38]</w:t>
      </w:r>
    </w:p>
    <w:p w14:paraId="1FC7BB09" w14:textId="77777777" w:rsidR="003719CD" w:rsidRPr="00321006" w:rsidRDefault="003719CD" w:rsidP="007D536F">
      <w:pPr>
        <w:rPr>
          <w:rStyle w:val="Guidance"/>
        </w:rPr>
      </w:pPr>
      <w:r w:rsidRPr="00321006">
        <w:rPr>
          <w:rStyle w:val="Guidance"/>
        </w:rPr>
        <w:t>When an entity obtains financial instruments or non-financial assets during the period by taking possession of collateral it holds as security or calling on other credit enhancements (e.g. guarantees), and such assets meet the recognition criteria in other AASs, an entity shall disclose:</w:t>
      </w:r>
    </w:p>
    <w:p w14:paraId="4C5F07CF" w14:textId="4DF849D1" w:rsidR="003719CD" w:rsidRPr="00321006" w:rsidRDefault="003719CD" w:rsidP="00310F12">
      <w:pPr>
        <w:pStyle w:val="ListBullet"/>
        <w:rPr>
          <w:rStyle w:val="Guidance"/>
        </w:rPr>
      </w:pPr>
      <w:r w:rsidRPr="00321006">
        <w:rPr>
          <w:rStyle w:val="Guidance"/>
        </w:rPr>
        <w:t>the nature and carrying amount of the assets obtained</w:t>
      </w:r>
    </w:p>
    <w:p w14:paraId="74BB6B3C" w14:textId="77777777" w:rsidR="003719CD" w:rsidRPr="00321006" w:rsidRDefault="003719CD" w:rsidP="00310F12">
      <w:pPr>
        <w:pStyle w:val="ListBullet"/>
        <w:rPr>
          <w:rStyle w:val="Guidance"/>
        </w:rPr>
      </w:pPr>
      <w:r w:rsidRPr="00321006">
        <w:rPr>
          <w:rStyle w:val="Guidance"/>
        </w:rPr>
        <w:t>when the assets are not readily convertible into cash, its policies for disposing of such assets or for using them in its operations.</w:t>
      </w:r>
    </w:p>
    <w:p w14:paraId="550DD13C" w14:textId="71A8FFC0" w:rsidR="003719CD" w:rsidRPr="00321006" w:rsidRDefault="003719CD" w:rsidP="007D536F">
      <w:pPr>
        <w:pStyle w:val="GuidanceHeading"/>
        <w:rPr>
          <w:rStyle w:val="Guidance"/>
        </w:rPr>
      </w:pPr>
      <w:r w:rsidRPr="00321006">
        <w:rPr>
          <w:rStyle w:val="Guidance"/>
        </w:rPr>
        <w:t xml:space="preserve">Financial instruments at fair value through net result </w:t>
      </w:r>
      <w:r w:rsidRPr="00321006">
        <w:rPr>
          <w:rStyle w:val="Reference"/>
        </w:rPr>
        <w:t>[AASB 7.9</w:t>
      </w:r>
      <w:r w:rsidR="003C2D86">
        <w:rPr>
          <w:rStyle w:val="Reference"/>
        </w:rPr>
        <w:t>] and [AASB 7.</w:t>
      </w:r>
      <w:r w:rsidRPr="00321006">
        <w:rPr>
          <w:rStyle w:val="Reference"/>
        </w:rPr>
        <w:t>10]</w:t>
      </w:r>
    </w:p>
    <w:p w14:paraId="0E20CF21" w14:textId="77777777" w:rsidR="003719CD" w:rsidRPr="00321006" w:rsidRDefault="003719CD" w:rsidP="007D536F">
      <w:pPr>
        <w:rPr>
          <w:rStyle w:val="Guidance"/>
        </w:rPr>
      </w:pPr>
      <w:r w:rsidRPr="00321006">
        <w:rPr>
          <w:rStyle w:val="Guidance"/>
        </w:rPr>
        <w:t>If the entity has designated as measured at fair value through net result a financial asset (or group of financial assets) that would otherwise be measured at fair value through other comprehensive income or amortised cost, it shall disclose:</w:t>
      </w:r>
    </w:p>
    <w:p w14:paraId="1BB6E0C9" w14:textId="4934AB4B" w:rsidR="003719CD" w:rsidRPr="00321006" w:rsidRDefault="003719CD" w:rsidP="00310F12">
      <w:pPr>
        <w:pStyle w:val="ListBullet"/>
        <w:rPr>
          <w:rStyle w:val="Guidance"/>
        </w:rPr>
      </w:pPr>
      <w:r w:rsidRPr="00321006">
        <w:rPr>
          <w:rStyle w:val="Guidance"/>
        </w:rPr>
        <w:t>the maximum exposure to credit risk of the contractual financial asset (or group of financial assets) at the end of the reporting period</w:t>
      </w:r>
    </w:p>
    <w:p w14:paraId="51DA308C" w14:textId="049C4A52" w:rsidR="003719CD" w:rsidRPr="00321006" w:rsidRDefault="003719CD" w:rsidP="00310F12">
      <w:pPr>
        <w:pStyle w:val="ListBullet"/>
        <w:rPr>
          <w:rStyle w:val="Guidance"/>
        </w:rPr>
      </w:pPr>
      <w:r w:rsidRPr="00321006">
        <w:rPr>
          <w:rStyle w:val="Guidance"/>
        </w:rPr>
        <w:t>the amount by which any related credit derivatives or similar instruments mitigate that maximum exposure to credit risk</w:t>
      </w:r>
    </w:p>
    <w:p w14:paraId="3A85472C" w14:textId="7ADBD8BE" w:rsidR="003719CD" w:rsidRPr="00321006" w:rsidRDefault="003719CD" w:rsidP="00310F12">
      <w:pPr>
        <w:pStyle w:val="ListBullet"/>
        <w:keepNext/>
        <w:rPr>
          <w:rStyle w:val="Guidance"/>
        </w:rPr>
      </w:pPr>
      <w:r w:rsidRPr="00321006">
        <w:rPr>
          <w:rStyle w:val="Guidance"/>
        </w:rPr>
        <w:t>the amount of change, during the period and cumulatively, in the fair value of the financial asset (or group of financial assets) that is attributable to changes in the credit risk of the contractual financial asset determined either</w:t>
      </w:r>
      <w:r w:rsidR="00143B99">
        <w:rPr>
          <w:rStyle w:val="Guidance"/>
        </w:rPr>
        <w:t>:</w:t>
      </w:r>
    </w:p>
    <w:p w14:paraId="2608346F" w14:textId="5F16F0A0" w:rsidR="003719CD" w:rsidRPr="00321006" w:rsidRDefault="003719CD" w:rsidP="00EA0674">
      <w:pPr>
        <w:pStyle w:val="ListBullet2"/>
        <w:rPr>
          <w:rStyle w:val="Guidance"/>
        </w:rPr>
      </w:pPr>
      <w:r w:rsidRPr="00321006">
        <w:rPr>
          <w:rStyle w:val="Guidance"/>
        </w:rPr>
        <w:t>as the amount of change in its fair value that is not attributable to changes in market conditions that give rise to market risk</w:t>
      </w:r>
    </w:p>
    <w:p w14:paraId="23D04AD0" w14:textId="77777777" w:rsidR="003719CD" w:rsidRPr="00321006" w:rsidRDefault="003719CD" w:rsidP="00EA0674">
      <w:pPr>
        <w:pStyle w:val="ListBullet2"/>
        <w:rPr>
          <w:rStyle w:val="Guidance"/>
        </w:rPr>
      </w:pPr>
      <w:r w:rsidRPr="00321006">
        <w:rPr>
          <w:rStyle w:val="Guidance"/>
        </w:rPr>
        <w:t>using an alternative method the entity believes more faithfully represents the amount of change in its fair value that is attributable to changes in the credit risk of the asset.</w:t>
      </w:r>
    </w:p>
    <w:p w14:paraId="08D2C1CB" w14:textId="0E1A10DB" w:rsidR="003719CD" w:rsidRPr="00321006" w:rsidRDefault="003719CD" w:rsidP="00310F12">
      <w:pPr>
        <w:pStyle w:val="ListBullet"/>
        <w:rPr>
          <w:rStyle w:val="Guidance"/>
        </w:rPr>
      </w:pPr>
      <w:r w:rsidRPr="00321006">
        <w:rPr>
          <w:rStyle w:val="Guidance"/>
        </w:rPr>
        <w:t>changes in market conditions that give rise to market risk, include changes in an observed (benchmark) interest rate, commodity price, foreign exchange rate or index of prices or rates</w:t>
      </w:r>
    </w:p>
    <w:p w14:paraId="18612D04" w14:textId="162AC735" w:rsidR="003719CD" w:rsidRPr="00321006" w:rsidRDefault="003719CD" w:rsidP="00310F12">
      <w:pPr>
        <w:pStyle w:val="ListBullet"/>
        <w:rPr>
          <w:rStyle w:val="Guidance"/>
        </w:rPr>
      </w:pPr>
      <w:r w:rsidRPr="00321006">
        <w:rPr>
          <w:rStyle w:val="Guidance"/>
        </w:rPr>
        <w:t>the amount of the change in the fair value of any related credit derivatives or similar instruments that has occurred during the period and cumulatively since the loan or receivable was designated.</w:t>
      </w:r>
      <w:r w:rsidR="003C2D86" w:rsidRPr="003C2D86">
        <w:rPr>
          <w:rStyle w:val="Reference"/>
        </w:rPr>
        <w:t xml:space="preserve"> </w:t>
      </w:r>
      <w:r w:rsidR="003C2D86" w:rsidRPr="00E94626">
        <w:rPr>
          <w:rStyle w:val="Reference"/>
        </w:rPr>
        <w:t>[AASB 7.</w:t>
      </w:r>
      <w:r w:rsidR="003C2D86">
        <w:rPr>
          <w:rStyle w:val="Reference"/>
        </w:rPr>
        <w:t>9</w:t>
      </w:r>
      <w:r w:rsidR="003C2D86" w:rsidRPr="00E94626">
        <w:rPr>
          <w:rStyle w:val="Reference"/>
        </w:rPr>
        <w:t>]</w:t>
      </w:r>
    </w:p>
    <w:p w14:paraId="6308A2A1" w14:textId="56E6ACCB" w:rsidR="003719CD" w:rsidRPr="00321006" w:rsidRDefault="003719CD" w:rsidP="007D536F">
      <w:pPr>
        <w:keepNext/>
        <w:rPr>
          <w:rStyle w:val="Guidance"/>
        </w:rPr>
      </w:pPr>
      <w:r w:rsidRPr="00321006">
        <w:rPr>
          <w:rStyle w:val="Guidance"/>
        </w:rPr>
        <w:t>If the entity has designated a financial liability as at fair value through net result in accordance with paragraph 4.2.2 of AASB 9 and is required to present the effects of changes in that liability’s credit risk in other comprehensive income (see</w:t>
      </w:r>
      <w:r w:rsidR="007E486C">
        <w:rPr>
          <w:rStyle w:val="Guidance"/>
        </w:rPr>
        <w:t> </w:t>
      </w:r>
      <w:r w:rsidRPr="00321006">
        <w:rPr>
          <w:rStyle w:val="Guidance"/>
        </w:rPr>
        <w:t>paragraph 5.7.7 of AASB 9), it shall disclose:</w:t>
      </w:r>
    </w:p>
    <w:p w14:paraId="5D53F2D2" w14:textId="19055629" w:rsidR="003719CD" w:rsidRPr="00321006" w:rsidRDefault="003719CD" w:rsidP="00310F12">
      <w:pPr>
        <w:pStyle w:val="ListBullet"/>
        <w:rPr>
          <w:rStyle w:val="Guidance"/>
        </w:rPr>
      </w:pPr>
      <w:r w:rsidRPr="00321006">
        <w:rPr>
          <w:rStyle w:val="Guidance"/>
        </w:rPr>
        <w:t>the amount of change, cumulatively, in the fair value of the financial liability that is attributable to changes in the credit risk (see paragraphs B5.7.13–B5.7.20 of AASB 9 for guidance on determining the effects of changes in a liability’s credit risk)</w:t>
      </w:r>
    </w:p>
    <w:p w14:paraId="7897578C" w14:textId="7CC72A00" w:rsidR="003719CD" w:rsidRPr="00321006" w:rsidRDefault="003719CD" w:rsidP="00310F12">
      <w:pPr>
        <w:pStyle w:val="ListBullet"/>
        <w:rPr>
          <w:rStyle w:val="Guidance"/>
        </w:rPr>
      </w:pPr>
      <w:r w:rsidRPr="00321006">
        <w:rPr>
          <w:rStyle w:val="Guidance"/>
        </w:rPr>
        <w:t>the difference between the financial liability’s carrying amount and the amount the entity would be contractually required to pay at maturity to the holder of the obligation</w:t>
      </w:r>
    </w:p>
    <w:p w14:paraId="6106A053" w14:textId="7FA32A4C" w:rsidR="003719CD" w:rsidRPr="00321006" w:rsidRDefault="003719CD" w:rsidP="00310F12">
      <w:pPr>
        <w:pStyle w:val="ListBullet"/>
        <w:rPr>
          <w:rStyle w:val="Guidance"/>
        </w:rPr>
      </w:pPr>
      <w:r w:rsidRPr="00321006">
        <w:rPr>
          <w:rStyle w:val="Guidance"/>
        </w:rPr>
        <w:t>any transfers of the cumulative gain or loss within equity during the period, including the reason for such transfers</w:t>
      </w:r>
    </w:p>
    <w:p w14:paraId="564183C4" w14:textId="77777777" w:rsidR="003719CD" w:rsidRPr="00321006" w:rsidRDefault="003719CD" w:rsidP="00310F12">
      <w:pPr>
        <w:pStyle w:val="ListBullet"/>
        <w:rPr>
          <w:rStyle w:val="Guidance"/>
        </w:rPr>
      </w:pPr>
      <w:r w:rsidRPr="00321006">
        <w:rPr>
          <w:rStyle w:val="Guidance"/>
        </w:rPr>
        <w:t xml:space="preserve">if a liability is derecognised during the period, the amount (if any) presented in other comprehensive income that was realised at derecognition. </w:t>
      </w:r>
      <w:r w:rsidRPr="00E94626">
        <w:rPr>
          <w:rStyle w:val="Reference"/>
        </w:rPr>
        <w:t>[AASB 7.10]</w:t>
      </w:r>
    </w:p>
    <w:p w14:paraId="4FC90583" w14:textId="77777777" w:rsidR="00CA1246" w:rsidRDefault="00CA1246">
      <w:pPr>
        <w:keepLines w:val="0"/>
        <w:rPr>
          <w:rFonts w:asciiTheme="majorHAnsi" w:eastAsiaTheme="majorEastAsia" w:hAnsiTheme="majorHAnsi" w:cstheme="majorBidi"/>
          <w:b/>
          <w:sz w:val="22"/>
          <w:szCs w:val="24"/>
        </w:rPr>
      </w:pPr>
      <w:r>
        <w:br w:type="page"/>
      </w:r>
    </w:p>
    <w:p w14:paraId="139195B2" w14:textId="646347DE" w:rsidR="003719CD" w:rsidRPr="00321006" w:rsidRDefault="003719CD" w:rsidP="007D536F">
      <w:pPr>
        <w:pStyle w:val="Heading3"/>
      </w:pPr>
      <w:r w:rsidRPr="00321006">
        <w:lastRenderedPageBreak/>
        <w:t xml:space="preserve">Assets received as collateral </w:t>
      </w:r>
    </w:p>
    <w:p w14:paraId="53288350" w14:textId="77777777" w:rsidR="003719CD" w:rsidRPr="00321006" w:rsidRDefault="003719CD" w:rsidP="007D536F">
      <w:pPr>
        <w:pStyle w:val="GuidanceBlockHeading"/>
      </w:pPr>
      <w:r w:rsidRPr="00321006">
        <w:t xml:space="preserve">Guidance – Assets received as collateral </w:t>
      </w:r>
      <w:r w:rsidRPr="00321006">
        <w:rPr>
          <w:sz w:val="18"/>
          <w:szCs w:val="22"/>
        </w:rPr>
        <w:t>[AASB 7.15]</w:t>
      </w:r>
    </w:p>
    <w:p w14:paraId="54427000" w14:textId="77777777" w:rsidR="003719CD" w:rsidRPr="00321006" w:rsidRDefault="003719CD" w:rsidP="007D536F">
      <w:pPr>
        <w:rPr>
          <w:rStyle w:val="Guidance"/>
        </w:rPr>
      </w:pPr>
      <w:r w:rsidRPr="00321006">
        <w:rPr>
          <w:rStyle w:val="Guidance"/>
        </w:rPr>
        <w:t>When an entity holds collateral (of financial or non-financial assets) and is permitted to sell or repledge the collateral in the absence of default by the owner of the collateral, it shall disclose:</w:t>
      </w:r>
    </w:p>
    <w:p w14:paraId="13CF84F9" w14:textId="319A9FD2" w:rsidR="003719CD" w:rsidRPr="00321006" w:rsidRDefault="003719CD" w:rsidP="00310F12">
      <w:pPr>
        <w:pStyle w:val="ListBullet"/>
        <w:rPr>
          <w:rStyle w:val="Guidance"/>
        </w:rPr>
      </w:pPr>
      <w:r w:rsidRPr="00321006">
        <w:rPr>
          <w:rStyle w:val="Guidance"/>
        </w:rPr>
        <w:t>the fair value of the collateral held</w:t>
      </w:r>
    </w:p>
    <w:p w14:paraId="1B2CF730" w14:textId="13F1F8A9" w:rsidR="003719CD" w:rsidRPr="00321006" w:rsidRDefault="003719CD" w:rsidP="00310F12">
      <w:pPr>
        <w:pStyle w:val="ListBullet"/>
        <w:rPr>
          <w:rStyle w:val="Guidance"/>
        </w:rPr>
      </w:pPr>
      <w:r w:rsidRPr="00321006">
        <w:rPr>
          <w:rStyle w:val="Guidance"/>
        </w:rPr>
        <w:t>the fair value of any such collateral sold or repledged and whether the entity has an obligation to return it</w:t>
      </w:r>
    </w:p>
    <w:p w14:paraId="27139ECB" w14:textId="77777777" w:rsidR="003719CD" w:rsidRPr="00321006" w:rsidRDefault="003719CD" w:rsidP="00310F12">
      <w:pPr>
        <w:pStyle w:val="ListBullet"/>
        <w:rPr>
          <w:rStyle w:val="Guidance"/>
        </w:rPr>
      </w:pPr>
      <w:r w:rsidRPr="00321006">
        <w:rPr>
          <w:rStyle w:val="Guidance"/>
        </w:rPr>
        <w:t xml:space="preserve">the terms and conditions associated with its use of the collateral. </w:t>
      </w:r>
      <w:r w:rsidRPr="00321006">
        <w:rPr>
          <w:rStyle w:val="Reference"/>
        </w:rPr>
        <w:t>[AASB 7.15]</w:t>
      </w:r>
    </w:p>
    <w:p w14:paraId="36BF879F" w14:textId="77777777" w:rsidR="003719CD" w:rsidRPr="00321006" w:rsidRDefault="003719CD" w:rsidP="007D536F">
      <w:pPr>
        <w:rPr>
          <w:rStyle w:val="Guidance"/>
        </w:rPr>
      </w:pPr>
      <w:r w:rsidRPr="00321006">
        <w:rPr>
          <w:rStyle w:val="Guidance"/>
        </w:rPr>
        <w:t>If transferor provides non-cash collateral (such as debt or equity instruments) to the transferee, the accounting for the collateral by the transferor and the transferee depends on whether the transferee has the right to sell or repledge the collateral and on whether the transferor has defaulted. The transferor and transferee shall account for the collateral as follows:</w:t>
      </w:r>
    </w:p>
    <w:p w14:paraId="6CC2A93D" w14:textId="44DD15CE" w:rsidR="003719CD" w:rsidRPr="00321006" w:rsidRDefault="003719CD" w:rsidP="00367D84">
      <w:pPr>
        <w:pStyle w:val="ListAlpha"/>
        <w:numPr>
          <w:ilvl w:val="0"/>
          <w:numId w:val="9"/>
        </w:numPr>
        <w:rPr>
          <w:rStyle w:val="Guidance"/>
        </w:rPr>
      </w:pPr>
      <w:r w:rsidRPr="00321006">
        <w:rPr>
          <w:rStyle w:val="Guidance"/>
        </w:rPr>
        <w:t>If the transferee has the right by contract or custom to sell or repledge the collateral, then the transferor shall reclassify that asset in its statement of financial position (e.g. as a loaned asset, pledged equity instruments or repurchase receivable) separately from other assets</w:t>
      </w:r>
      <w:r w:rsidR="00143B99">
        <w:rPr>
          <w:rStyle w:val="Guidance"/>
        </w:rPr>
        <w:t>.</w:t>
      </w:r>
    </w:p>
    <w:p w14:paraId="02E37822" w14:textId="709A5254" w:rsidR="003719CD" w:rsidRPr="00321006" w:rsidRDefault="003719CD" w:rsidP="00367D84">
      <w:pPr>
        <w:pStyle w:val="ListAlpha"/>
        <w:numPr>
          <w:ilvl w:val="0"/>
          <w:numId w:val="9"/>
        </w:numPr>
        <w:rPr>
          <w:rStyle w:val="Guidance"/>
        </w:rPr>
      </w:pPr>
      <w:r w:rsidRPr="00321006">
        <w:rPr>
          <w:rStyle w:val="Guidance"/>
        </w:rPr>
        <w:t>If the transferee sells collateral pledged to it, it shall recognise the proceeds from the sale and a liability measured at fair value for its obligation to return the collateral</w:t>
      </w:r>
      <w:r w:rsidR="00143B99">
        <w:rPr>
          <w:rStyle w:val="Guidance"/>
        </w:rPr>
        <w:t>.</w:t>
      </w:r>
    </w:p>
    <w:p w14:paraId="6B846446" w14:textId="77777777" w:rsidR="003719CD" w:rsidRPr="00321006" w:rsidRDefault="003719CD" w:rsidP="00367D84">
      <w:pPr>
        <w:pStyle w:val="ListAlpha"/>
        <w:numPr>
          <w:ilvl w:val="0"/>
          <w:numId w:val="9"/>
        </w:numPr>
        <w:rPr>
          <w:rStyle w:val="Guidance"/>
        </w:rPr>
      </w:pPr>
      <w:r w:rsidRPr="00321006">
        <w:rPr>
          <w:rStyle w:val="Guidance"/>
        </w:rPr>
        <w:t>If the transferor defaults under the terms of the contract and is no longer entitled to redeem the collateral, it shall derecognise the collateral, and the transferee shall recognise the collateral as its asset initially measured at fair value or, if it has already sold the collateral, derecognise its obligation to return the collateral.</w:t>
      </w:r>
    </w:p>
    <w:p w14:paraId="5107CCEA" w14:textId="77777777" w:rsidR="003719CD" w:rsidRPr="00321006" w:rsidRDefault="003719CD" w:rsidP="00367D84">
      <w:pPr>
        <w:pStyle w:val="ListAlpha"/>
        <w:numPr>
          <w:ilvl w:val="0"/>
          <w:numId w:val="9"/>
        </w:numPr>
        <w:rPr>
          <w:rStyle w:val="Guidance"/>
        </w:rPr>
      </w:pPr>
      <w:r w:rsidRPr="00321006">
        <w:rPr>
          <w:rStyle w:val="Guidance"/>
        </w:rPr>
        <w:t xml:space="preserve">Except as provided in (c), the transferor shall continue to carry the collateral as its asset, and the transferee shall not recognise the collateral as an asset. </w:t>
      </w:r>
      <w:r w:rsidRPr="00430E85">
        <w:rPr>
          <w:rStyle w:val="Reference"/>
        </w:rPr>
        <w:t>[AASB 9.3.2.23]</w:t>
      </w:r>
    </w:p>
    <w:p w14:paraId="334D04C0" w14:textId="77777777" w:rsidR="003719CD" w:rsidRDefault="003719CD" w:rsidP="007D536F">
      <w:pPr>
        <w:pStyle w:val="GuidanceEnd"/>
      </w:pPr>
    </w:p>
    <w:p w14:paraId="2CBC0820" w14:textId="77777777" w:rsidR="003719CD" w:rsidRDefault="003719CD" w:rsidP="007D536F">
      <w:pPr>
        <w:pStyle w:val="Heading3"/>
      </w:pPr>
      <w:r>
        <w:t xml:space="preserve">Financial instruments: Liquidity risk </w:t>
      </w:r>
      <w:r w:rsidRPr="00430E85">
        <w:rPr>
          <w:rStyle w:val="Reference"/>
        </w:rPr>
        <w:t>[AASB 7.7, 33, 39]</w:t>
      </w:r>
    </w:p>
    <w:p w14:paraId="44908D50" w14:textId="77777777" w:rsidR="003719CD" w:rsidRDefault="003719CD" w:rsidP="00DC39DE">
      <w:r>
        <w:t xml:space="preserve">Liquidity risk arises from being unable to meet financial obligations as they fall due. The Department operates under the Government fair payments policy of settling financial obligations within 30 days and in the event of a dispute, making payments within 30 days from the date of resolution. </w:t>
      </w:r>
    </w:p>
    <w:p w14:paraId="788A2028" w14:textId="77777777" w:rsidR="003719CD" w:rsidRDefault="003719CD" w:rsidP="00DC39DE">
      <w:r>
        <w:t>The Department is exposed to liquidity risk mainly through the financial liabilities as disclosed in the face of the balance sheet and the amounts related to financial guarantees. The Department manages its liquidity risk by:</w:t>
      </w:r>
    </w:p>
    <w:p w14:paraId="6600A686" w14:textId="6B556031" w:rsidR="003719CD" w:rsidRDefault="003719CD" w:rsidP="00310F12">
      <w:pPr>
        <w:pStyle w:val="ListBullet"/>
      </w:pPr>
      <w:r>
        <w:t>close monitoring of its short-term and long-term borrowings by senior management, including monthly reviews on current and future borrowing levels and requirements</w:t>
      </w:r>
    </w:p>
    <w:p w14:paraId="42015698" w14:textId="4558256C" w:rsidR="003719CD" w:rsidRDefault="003719CD" w:rsidP="00310F12">
      <w:pPr>
        <w:pStyle w:val="ListBullet"/>
      </w:pPr>
      <w:r>
        <w:t>maintaining an adequate level of uncommitted funds that can be drawn at short notice to meet its short-term obligations</w:t>
      </w:r>
    </w:p>
    <w:p w14:paraId="4863DEFC" w14:textId="61A0702E" w:rsidR="003719CD" w:rsidRDefault="003719CD" w:rsidP="00310F12">
      <w:pPr>
        <w:pStyle w:val="ListBullet"/>
      </w:pPr>
      <w:r>
        <w:t>holding investments and other contractual financial assets that are readily tradeable in the financial markets</w:t>
      </w:r>
    </w:p>
    <w:p w14:paraId="3A6E3440" w14:textId="62FC8DA5" w:rsidR="003719CD" w:rsidRDefault="003719CD" w:rsidP="00310F12">
      <w:pPr>
        <w:pStyle w:val="ListBullet"/>
      </w:pPr>
      <w:r>
        <w:t>careful maturity planning of its financial obligations based on forecasts of future cash flows</w:t>
      </w:r>
    </w:p>
    <w:p w14:paraId="30D758C3" w14:textId="0DD2D33A" w:rsidR="003719CD" w:rsidRDefault="003719CD" w:rsidP="00310F12">
      <w:pPr>
        <w:pStyle w:val="ListBullet"/>
      </w:pPr>
      <w:r>
        <w:t xml:space="preserve">a high credit rating for the State of Victoria (Moody’s Investor Services and Standard &amp; Poor’s </w:t>
      </w:r>
      <w:r w:rsidR="00633542">
        <w:t>double</w:t>
      </w:r>
      <w:r>
        <w:t>-A, which assists in accessing debt market at a lower interest rate).</w:t>
      </w:r>
    </w:p>
    <w:p w14:paraId="5074FEB1" w14:textId="77777777" w:rsidR="003719CD" w:rsidRDefault="003719CD" w:rsidP="00DC39DE">
      <w:r>
        <w:t>The Department’s exposure to liquidity risk is deemed insignificant based on prior periods’ data and current assessment of risk. Cash for unexpected events is generally sourced from liquidation of available-for-sale financial investments.</w:t>
      </w:r>
    </w:p>
    <w:p w14:paraId="335B9B93" w14:textId="6347B3B5" w:rsidR="003719CD" w:rsidRDefault="003719CD" w:rsidP="00DC39DE">
      <w:r>
        <w:t>The carrying amount detailed in the following table of contractual financial liabilities recorded in the financial statements, and $200 000 (</w:t>
      </w:r>
      <w:fldSimple w:instr="DOCPROPERTY  YearPrevious  \* MERGEFORMAT">
        <w:r w:rsidR="00A545BA">
          <w:t>20X1</w:t>
        </w:r>
      </w:fldSimple>
      <w:r>
        <w:t>: $200 000) in relation to financial guarantees granted for loans to other entities (refer to Note 8.2), represents the Department’s maximum exposure to liquidity risk.</w:t>
      </w:r>
    </w:p>
    <w:p w14:paraId="7EF40DEF" w14:textId="77777777" w:rsidR="007E486C" w:rsidRDefault="007E486C">
      <w:pPr>
        <w:keepLines w:val="0"/>
        <w:rPr>
          <w:rFonts w:asciiTheme="majorHAnsi" w:eastAsiaTheme="majorEastAsia" w:hAnsiTheme="majorHAnsi" w:cstheme="majorBidi"/>
          <w:b/>
          <w:bCs/>
          <w:iCs/>
          <w:color w:val="FFFFFF" w:themeColor="background1"/>
          <w:sz w:val="20"/>
          <w:szCs w:val="24"/>
        </w:rPr>
      </w:pPr>
      <w:r>
        <w:br w:type="page"/>
      </w:r>
    </w:p>
    <w:p w14:paraId="3E86408E" w14:textId="5E18F822" w:rsidR="003719CD" w:rsidRDefault="003719CD" w:rsidP="007D536F">
      <w:pPr>
        <w:pStyle w:val="GuidanceBlockHeading"/>
      </w:pPr>
      <w:r>
        <w:lastRenderedPageBreak/>
        <w:t>Guidance – Liquidity risk disclosures</w:t>
      </w:r>
    </w:p>
    <w:p w14:paraId="3F676DB7" w14:textId="77777777" w:rsidR="003719CD" w:rsidRPr="00430E85" w:rsidRDefault="003719CD" w:rsidP="007D536F">
      <w:pPr>
        <w:pStyle w:val="GuidanceHeading"/>
        <w:rPr>
          <w:rStyle w:val="Guidance"/>
        </w:rPr>
      </w:pPr>
      <w:r w:rsidRPr="00430E85">
        <w:rPr>
          <w:rStyle w:val="Guidance"/>
        </w:rPr>
        <w:t>Liquidity risk</w:t>
      </w:r>
      <w:r w:rsidRPr="00430E85">
        <w:rPr>
          <w:rStyle w:val="Reference"/>
        </w:rPr>
        <w:t xml:space="preserve"> [AASB 7.39]</w:t>
      </w:r>
    </w:p>
    <w:p w14:paraId="7DE8CF0E" w14:textId="77777777" w:rsidR="003719CD" w:rsidRPr="00430E85" w:rsidRDefault="003719CD" w:rsidP="007D536F">
      <w:pPr>
        <w:keepNext/>
        <w:rPr>
          <w:rStyle w:val="Guidance"/>
        </w:rPr>
      </w:pPr>
      <w:r w:rsidRPr="00430E85">
        <w:rPr>
          <w:rStyle w:val="Guidance"/>
        </w:rPr>
        <w:t>An entity shall disclose:</w:t>
      </w:r>
    </w:p>
    <w:p w14:paraId="675C5A86" w14:textId="6BFE1B34" w:rsidR="003719CD" w:rsidRPr="00430E85" w:rsidRDefault="003719CD" w:rsidP="00367D84">
      <w:pPr>
        <w:pStyle w:val="ListAlpha"/>
        <w:numPr>
          <w:ilvl w:val="0"/>
          <w:numId w:val="10"/>
        </w:numPr>
        <w:rPr>
          <w:rStyle w:val="Guidance"/>
        </w:rPr>
      </w:pPr>
      <w:r w:rsidRPr="00430E85">
        <w:rPr>
          <w:rStyle w:val="Guidance"/>
        </w:rPr>
        <w:t>a maturity analysis for non-derivative financial instrument liabilities (including issued financial guarantee contracts) that shows the remaining contractual maturities</w:t>
      </w:r>
    </w:p>
    <w:p w14:paraId="5D09AC0E" w14:textId="0E669081" w:rsidR="003719CD" w:rsidRPr="00430E85" w:rsidRDefault="003719CD" w:rsidP="00367D84">
      <w:pPr>
        <w:pStyle w:val="ListAlpha"/>
        <w:numPr>
          <w:ilvl w:val="0"/>
          <w:numId w:val="10"/>
        </w:numPr>
        <w:rPr>
          <w:rStyle w:val="Guidance"/>
        </w:rPr>
      </w:pPr>
      <w:r w:rsidRPr="00430E85">
        <w:rPr>
          <w:rStyle w:val="Guidance"/>
        </w:rPr>
        <w:t>a maturity analysis for derivative financial instrument liabilities. The maturity analysis shall include the remaining contractual maturities for those derivative financial instrument liabilities for which contractual maturities are essential for an understanding of the timing of the cash flows</w:t>
      </w:r>
    </w:p>
    <w:p w14:paraId="571A8C12" w14:textId="77777777" w:rsidR="003719CD" w:rsidRPr="00430E85" w:rsidRDefault="003719CD" w:rsidP="00367D84">
      <w:pPr>
        <w:pStyle w:val="ListAlpha"/>
        <w:numPr>
          <w:ilvl w:val="0"/>
          <w:numId w:val="10"/>
        </w:numPr>
        <w:rPr>
          <w:rStyle w:val="Guidance"/>
        </w:rPr>
      </w:pPr>
      <w:r w:rsidRPr="00430E85">
        <w:rPr>
          <w:rStyle w:val="Guidance"/>
        </w:rPr>
        <w:t>a description of how it manages the liquidity risk inherent in (a) and (b).</w:t>
      </w:r>
    </w:p>
    <w:p w14:paraId="307C7977" w14:textId="77777777" w:rsidR="003719CD" w:rsidRPr="00430E85" w:rsidRDefault="003719CD" w:rsidP="007D536F">
      <w:pPr>
        <w:keepNext/>
        <w:rPr>
          <w:rStyle w:val="Guidance"/>
        </w:rPr>
      </w:pPr>
      <w:r w:rsidRPr="00430E85">
        <w:rPr>
          <w:rStyle w:val="Guidance"/>
        </w:rPr>
        <w:t>The amounts disclosed in the maturity analysis are the contractual undiscounted cash flows. An entity shall use its judgement to determine an appropriate number of time bands. For example, an entity might determine that the following time bands are appropriate:</w:t>
      </w:r>
    </w:p>
    <w:p w14:paraId="324C856D" w14:textId="0FC26D06" w:rsidR="003719CD" w:rsidRPr="00430E85" w:rsidRDefault="003719CD" w:rsidP="00310F12">
      <w:pPr>
        <w:pStyle w:val="ListBullet"/>
        <w:rPr>
          <w:rStyle w:val="Guidance"/>
        </w:rPr>
      </w:pPr>
      <w:r w:rsidRPr="00430E85">
        <w:rPr>
          <w:rStyle w:val="Guidance"/>
        </w:rPr>
        <w:t>not later than one month</w:t>
      </w:r>
    </w:p>
    <w:p w14:paraId="3CA76D1B" w14:textId="30DD2F96" w:rsidR="003719CD" w:rsidRPr="00430E85" w:rsidRDefault="003719CD" w:rsidP="00310F12">
      <w:pPr>
        <w:pStyle w:val="ListBullet"/>
        <w:rPr>
          <w:rStyle w:val="Guidance"/>
        </w:rPr>
      </w:pPr>
      <w:r w:rsidRPr="00430E85">
        <w:rPr>
          <w:rStyle w:val="Guidance"/>
        </w:rPr>
        <w:t>later than one month and not later than three months</w:t>
      </w:r>
    </w:p>
    <w:p w14:paraId="7E117BB9" w14:textId="30774E02" w:rsidR="003719CD" w:rsidRPr="00430E85" w:rsidRDefault="003719CD" w:rsidP="00310F12">
      <w:pPr>
        <w:pStyle w:val="ListBullet"/>
        <w:rPr>
          <w:rStyle w:val="Guidance"/>
        </w:rPr>
      </w:pPr>
      <w:r w:rsidRPr="00430E85">
        <w:rPr>
          <w:rStyle w:val="Guidance"/>
        </w:rPr>
        <w:t>later than three months and not later than one year</w:t>
      </w:r>
    </w:p>
    <w:p w14:paraId="7FC45D04" w14:textId="6BF86543" w:rsidR="003719CD" w:rsidRPr="00430E85" w:rsidRDefault="003719CD" w:rsidP="00310F12">
      <w:pPr>
        <w:pStyle w:val="ListBullet"/>
        <w:rPr>
          <w:rStyle w:val="Guidance"/>
        </w:rPr>
      </w:pPr>
      <w:r w:rsidRPr="00430E85">
        <w:rPr>
          <w:rStyle w:val="Guidance"/>
        </w:rPr>
        <w:t>later than one year and not later than five years</w:t>
      </w:r>
    </w:p>
    <w:p w14:paraId="2B31698D" w14:textId="77777777" w:rsidR="003719CD" w:rsidRPr="00430E85" w:rsidRDefault="003719CD" w:rsidP="00310F12">
      <w:pPr>
        <w:pStyle w:val="ListBullet"/>
        <w:rPr>
          <w:rStyle w:val="Guidance"/>
        </w:rPr>
      </w:pPr>
      <w:r w:rsidRPr="00430E85">
        <w:rPr>
          <w:rStyle w:val="Guidance"/>
        </w:rPr>
        <w:t>greater than five years.</w:t>
      </w:r>
      <w:r w:rsidRPr="00430E85">
        <w:rPr>
          <w:rStyle w:val="Reference"/>
        </w:rPr>
        <w:t xml:space="preserve"> [AASB 7.B11]</w:t>
      </w:r>
    </w:p>
    <w:p w14:paraId="21AB0CE2" w14:textId="77777777" w:rsidR="003719CD" w:rsidRPr="00430E85" w:rsidRDefault="003719CD" w:rsidP="007D536F">
      <w:pPr>
        <w:keepNext/>
        <w:rPr>
          <w:rStyle w:val="Guidance"/>
        </w:rPr>
      </w:pPr>
      <w:r w:rsidRPr="00430E85">
        <w:rPr>
          <w:rStyle w:val="Guidance"/>
        </w:rPr>
        <w:t>An entity is required to disclose maturity analysis for financial liabilities that shows the remaining contractual maturities for some financial liabilities. In this disclosure:</w:t>
      </w:r>
    </w:p>
    <w:p w14:paraId="3A19F898" w14:textId="3351A092" w:rsidR="003719CD" w:rsidRPr="00430E85" w:rsidRDefault="003719CD" w:rsidP="00310F12">
      <w:pPr>
        <w:pStyle w:val="ListBullet"/>
        <w:rPr>
          <w:rStyle w:val="Guidance"/>
        </w:rPr>
      </w:pPr>
      <w:r w:rsidRPr="00430E85">
        <w:rPr>
          <w:rStyle w:val="Guidance"/>
        </w:rPr>
        <w:t>when a counterparty has a choice of when an amount is paid, the liability is allocated to the earliest period in which the entity can be required to pay. For example, financial liabilities an entity can be required to repay on demand (e.g. demand deposits) are included in the earliest time band</w:t>
      </w:r>
    </w:p>
    <w:p w14:paraId="1162A56E" w14:textId="5D89C3CC" w:rsidR="003719CD" w:rsidRPr="00430E85" w:rsidRDefault="003719CD" w:rsidP="00310F12">
      <w:pPr>
        <w:pStyle w:val="ListBullet"/>
        <w:rPr>
          <w:rStyle w:val="Guidance"/>
        </w:rPr>
      </w:pPr>
      <w:r w:rsidRPr="00430E85">
        <w:rPr>
          <w:rStyle w:val="Guidance"/>
        </w:rPr>
        <w:t>when an entity is committed to make amounts available in instalments, each instalment is allocated to the earliest period in which the entity can be required to pay. For example, an undrawn loan commitment is included in the time band containing the earliest date it can be drawn down</w:t>
      </w:r>
    </w:p>
    <w:p w14:paraId="10712802" w14:textId="77777777" w:rsidR="003719CD" w:rsidRPr="00430E85" w:rsidRDefault="003719CD" w:rsidP="00310F12">
      <w:pPr>
        <w:pStyle w:val="ListBullet"/>
        <w:rPr>
          <w:rStyle w:val="Guidance"/>
        </w:rPr>
      </w:pPr>
      <w:r w:rsidRPr="00430E85">
        <w:rPr>
          <w:rStyle w:val="Guidance"/>
        </w:rPr>
        <w:t xml:space="preserve">for issued financial guarantee contracts, the maximum amount of the guarantee is allocated to the earliest period in which the guarantee could be called. </w:t>
      </w:r>
      <w:r w:rsidRPr="00430E85">
        <w:rPr>
          <w:rStyle w:val="Reference"/>
        </w:rPr>
        <w:t>[AASB 7.B11C]</w:t>
      </w:r>
    </w:p>
    <w:p w14:paraId="60188D4C" w14:textId="77777777" w:rsidR="003719CD" w:rsidRPr="00430E85" w:rsidRDefault="003719CD" w:rsidP="007D536F">
      <w:pPr>
        <w:keepNext/>
        <w:rPr>
          <w:rStyle w:val="Guidance"/>
        </w:rPr>
      </w:pPr>
      <w:r w:rsidRPr="00430E85">
        <w:rPr>
          <w:rStyle w:val="Guidance"/>
        </w:rPr>
        <w:t>The contractual amounts disclosed in the maturity analysis are the contractual undiscounted cash flows, for example:</w:t>
      </w:r>
    </w:p>
    <w:p w14:paraId="28F17BC5" w14:textId="0929633F" w:rsidR="003719CD" w:rsidRPr="00430E85" w:rsidRDefault="003719CD" w:rsidP="00310F12">
      <w:pPr>
        <w:pStyle w:val="ListBullet"/>
        <w:rPr>
          <w:rStyle w:val="Guidance"/>
        </w:rPr>
      </w:pPr>
      <w:r w:rsidRPr="00430E85">
        <w:rPr>
          <w:rStyle w:val="Guidance"/>
        </w:rPr>
        <w:t>gross lease obligations (before deducting finance charges)</w:t>
      </w:r>
    </w:p>
    <w:p w14:paraId="53260244" w14:textId="13D11E36" w:rsidR="003719CD" w:rsidRPr="00430E85" w:rsidRDefault="003719CD" w:rsidP="00310F12">
      <w:pPr>
        <w:pStyle w:val="ListBullet"/>
        <w:rPr>
          <w:rStyle w:val="Guidance"/>
        </w:rPr>
      </w:pPr>
      <w:r w:rsidRPr="00430E85">
        <w:rPr>
          <w:rStyle w:val="Guidance"/>
        </w:rPr>
        <w:t>prices specified in forward agreements to purchase financial assets for cash</w:t>
      </w:r>
    </w:p>
    <w:p w14:paraId="7431D267" w14:textId="5880CB8B" w:rsidR="003719CD" w:rsidRPr="00430E85" w:rsidRDefault="003719CD" w:rsidP="00310F12">
      <w:pPr>
        <w:pStyle w:val="ListBullet"/>
        <w:rPr>
          <w:rStyle w:val="Guidance"/>
        </w:rPr>
      </w:pPr>
      <w:r w:rsidRPr="00430E85">
        <w:rPr>
          <w:rStyle w:val="Guidance"/>
        </w:rPr>
        <w:t>net amounts for pay floating/receive fixed interest rate swaps for which net cash flows are exchanged</w:t>
      </w:r>
    </w:p>
    <w:p w14:paraId="3661A23E" w14:textId="600D69BD" w:rsidR="003719CD" w:rsidRPr="00430E85" w:rsidRDefault="003719CD" w:rsidP="00310F12">
      <w:pPr>
        <w:pStyle w:val="ListBullet"/>
        <w:rPr>
          <w:rStyle w:val="Guidance"/>
        </w:rPr>
      </w:pPr>
      <w:r w:rsidRPr="00430E85">
        <w:rPr>
          <w:rStyle w:val="Guidance"/>
        </w:rPr>
        <w:t>contractual amounts to be exchanged in a derivative financial instrument (e.g. a currency swap) for which gross cash flows are exchanged</w:t>
      </w:r>
    </w:p>
    <w:p w14:paraId="5A9A02DB" w14:textId="77777777" w:rsidR="003719CD" w:rsidRPr="00430E85" w:rsidRDefault="003719CD" w:rsidP="00310F12">
      <w:pPr>
        <w:pStyle w:val="ListBullet"/>
        <w:rPr>
          <w:rStyle w:val="Guidance"/>
        </w:rPr>
      </w:pPr>
      <w:r w:rsidRPr="00430E85">
        <w:rPr>
          <w:rStyle w:val="Guidance"/>
        </w:rPr>
        <w:t xml:space="preserve">gross loan commitments. </w:t>
      </w:r>
      <w:r w:rsidRPr="00430E85">
        <w:rPr>
          <w:rStyle w:val="Reference"/>
        </w:rPr>
        <w:t>[AASB 7.B11D]</w:t>
      </w:r>
    </w:p>
    <w:p w14:paraId="616C7FB2" w14:textId="77777777" w:rsidR="003719CD" w:rsidRDefault="003719CD" w:rsidP="007D536F">
      <w:pPr>
        <w:pStyle w:val="GuidanceEnd"/>
      </w:pPr>
    </w:p>
    <w:p w14:paraId="5FB9885D" w14:textId="77777777" w:rsidR="007E486C" w:rsidRDefault="007E486C">
      <w:pPr>
        <w:keepLines w:val="0"/>
        <w:rPr>
          <w:rFonts w:asciiTheme="majorHAnsi" w:eastAsiaTheme="majorEastAsia" w:hAnsiTheme="majorHAnsi" w:cstheme="majorBidi"/>
          <w:b/>
          <w:sz w:val="22"/>
          <w:szCs w:val="24"/>
        </w:rPr>
      </w:pPr>
      <w:r>
        <w:br w:type="page"/>
      </w:r>
    </w:p>
    <w:p w14:paraId="1A6BBE56" w14:textId="419A83A8" w:rsidR="003719CD" w:rsidRDefault="003719CD" w:rsidP="007D536F">
      <w:pPr>
        <w:pStyle w:val="Heading3"/>
      </w:pPr>
      <w:r>
        <w:lastRenderedPageBreak/>
        <w:t>Financial instruments: Market risk</w:t>
      </w:r>
    </w:p>
    <w:p w14:paraId="3271A795" w14:textId="77777777" w:rsidR="003719CD" w:rsidRDefault="003719CD" w:rsidP="00DC39DE">
      <w:r>
        <w:t>The Department’s exposures to market risk are primarily through interest rate risk, foreign currency risk and equity price risk. Objectives, policies and processes used to manage each of these risks are disclosed below.</w:t>
      </w:r>
    </w:p>
    <w:p w14:paraId="4D36DDC3" w14:textId="77777777" w:rsidR="003719CD" w:rsidRDefault="003719CD" w:rsidP="007D536F">
      <w:pPr>
        <w:pStyle w:val="Heading4"/>
      </w:pPr>
      <w:r>
        <w:t xml:space="preserve">Sensitivity disclosure analysis and assumptions </w:t>
      </w:r>
      <w:r w:rsidRPr="00430E85">
        <w:rPr>
          <w:rStyle w:val="Reference"/>
        </w:rPr>
        <w:t>[AASB 7.40(b), 41, B17 B21]</w:t>
      </w:r>
    </w:p>
    <w:p w14:paraId="4CE66B7D" w14:textId="77777777" w:rsidR="003719CD" w:rsidRDefault="003719CD" w:rsidP="007D536F">
      <w:pPr>
        <w:keepNext/>
      </w:pPr>
      <w:r>
        <w:t xml:space="preserve">The Department’s sensitivity to market risk is determined based on the observed range of actual historical data for the preceding five-year period, with all variables other than the primary risk variable held constant. The Department’s fund managers cannot be expected to predict movements in market rates and prices. Sensitivity analyses shown are for illustrative purposes only. The following movements are ‘reasonably possible’ over the next 12 months: </w:t>
      </w:r>
    </w:p>
    <w:p w14:paraId="3EB67898" w14:textId="0C0B1848" w:rsidR="003719CD" w:rsidRDefault="00AD4380" w:rsidP="00310F12">
      <w:pPr>
        <w:pStyle w:val="ListBullet"/>
      </w:pPr>
      <w:r>
        <w:t>A</w:t>
      </w:r>
      <w:r w:rsidR="003719CD">
        <w:t xml:space="preserve"> movement of 100 basis points up and down (100 basis points up and down) in market interest rates (AUD)</w:t>
      </w:r>
    </w:p>
    <w:p w14:paraId="793D456B" w14:textId="20AF26E0" w:rsidR="003719CD" w:rsidRDefault="00AD4380" w:rsidP="00310F12">
      <w:pPr>
        <w:pStyle w:val="ListBullet"/>
      </w:pPr>
      <w:r>
        <w:t>P</w:t>
      </w:r>
      <w:r w:rsidR="003719CD">
        <w:t>roportional exchange rate movement of 15 per cent down (</w:t>
      </w:r>
      <w:fldSimple w:instr="DOCPROPERTY  YearCurrent  \* MERGEFORMAT">
        <w:r w:rsidR="00A545BA">
          <w:t>20X2</w:t>
        </w:r>
      </w:fldSimple>
      <w:r w:rsidR="003719CD">
        <w:t>: 15 per cent, depreciation of AUD) and 15 per cent up (</w:t>
      </w:r>
      <w:fldSimple w:instr="DOCPROPERTY  YearPrevious  \* MERGEFORMAT">
        <w:r w:rsidR="00A545BA">
          <w:t>20X1</w:t>
        </w:r>
      </w:fldSimple>
      <w:r w:rsidR="003719CD">
        <w:t>: 15 per cent, appreciation of AUD) against the USD, from the year end rate of 0.90 (</w:t>
      </w:r>
      <w:fldSimple w:instr="DOCPROPERTY  YearPrevious  \* MERGEFORMAT">
        <w:r w:rsidR="00A545BA">
          <w:t>20X1</w:t>
        </w:r>
      </w:fldSimple>
      <w:r w:rsidR="003719CD">
        <w:t>: 0.90)</w:t>
      </w:r>
    </w:p>
    <w:p w14:paraId="3E9D10C8" w14:textId="7A7312FF" w:rsidR="003719CD" w:rsidRDefault="00AD4380" w:rsidP="00310F12">
      <w:pPr>
        <w:pStyle w:val="ListBullet"/>
      </w:pPr>
      <w:r>
        <w:t>A</w:t>
      </w:r>
      <w:r w:rsidR="003719CD">
        <w:t xml:space="preserve"> movement of 15 per cent up and down (</w:t>
      </w:r>
      <w:fldSimple w:instr="DOCPROPERTY  YearPrevious  \* MERGEFORMAT">
        <w:r w:rsidR="00A545BA">
          <w:t>20X1</w:t>
        </w:r>
      </w:fldSimple>
      <w:r w:rsidR="003719CD">
        <w:t>: 15 per cent) for the top ASX 200 index.</w:t>
      </w:r>
    </w:p>
    <w:p w14:paraId="2A99ACB0" w14:textId="77777777" w:rsidR="003719CD" w:rsidRDefault="003719CD" w:rsidP="00DC39DE">
      <w:r>
        <w:t>The tables that follow show the impact on the Department’s net result and equity for each category of financial instrument held by the Department at the end of the reporting period, if the above movements were to occur.</w:t>
      </w:r>
    </w:p>
    <w:p w14:paraId="6482A238" w14:textId="77777777" w:rsidR="003719CD" w:rsidRPr="00430E85" w:rsidRDefault="003719CD" w:rsidP="00DC39DE">
      <w:pPr>
        <w:rPr>
          <w:rStyle w:val="Guidance"/>
        </w:rPr>
      </w:pPr>
      <w:r w:rsidRPr="00430E85">
        <w:rPr>
          <w:rStyle w:val="Guidance"/>
        </w:rPr>
        <w:t>[Entities should use basis points (interest rates) or percentages (foreign exchange and for equities/managed investment funds) relevant to their own situation at the end of the financial year.]</w:t>
      </w:r>
    </w:p>
    <w:p w14:paraId="029626B9" w14:textId="77777777" w:rsidR="003719CD" w:rsidRDefault="003719CD" w:rsidP="007D536F">
      <w:pPr>
        <w:pStyle w:val="Heading3"/>
      </w:pPr>
      <w:r>
        <w:t xml:space="preserve">Interest rate risk </w:t>
      </w:r>
      <w:r w:rsidRPr="00430E85">
        <w:rPr>
          <w:rStyle w:val="Reference"/>
        </w:rPr>
        <w:t>[AASB 7.33]</w:t>
      </w:r>
    </w:p>
    <w:p w14:paraId="55583BA8" w14:textId="77777777" w:rsidR="003719CD" w:rsidRDefault="003719CD" w:rsidP="00DC39DE">
      <w:r>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34F57B91" w14:textId="77777777" w:rsidR="003719CD" w:rsidRDefault="003719CD" w:rsidP="00DC39DE">
      <w:r>
        <w:t xml:space="preserve">Cash flow interest rate risk is the risk that the future cash flows of a financial instrument will fluctuate because of changes in market interest rates. The Department has minimal exposure to cash flow interest rate risks through cash and deposits, term deposits and bank overdrafts that are at floating rate. </w:t>
      </w:r>
    </w:p>
    <w:p w14:paraId="48924ADC" w14:textId="77777777" w:rsidR="003719CD" w:rsidRDefault="003719CD" w:rsidP="00DC39DE">
      <w:r>
        <w:t>The Department manages this risk by mainly undertaking fixed rate or non-interest-bearing financial instruments with relatively even maturity profiles, with only insignificant amounts of financial instruments at floating rate. Management has concluded for cash at bank and bank overdraft, as financial assets that can be left at floating rate without necessarily exposing the Department to significant bad risk, management monitors movement in interest rates on a daily basis.</w:t>
      </w:r>
    </w:p>
    <w:p w14:paraId="2F4EA3F4" w14:textId="77777777" w:rsidR="003719CD" w:rsidRDefault="003719CD" w:rsidP="00DC39DE">
      <w:r>
        <w:t>The carrying amounts of financial assets and financial liabilities that are exposed to interest rates and the Department’s sensitivity to interest rate risk are set out in the table that follows.</w:t>
      </w:r>
    </w:p>
    <w:p w14:paraId="6C4C740F" w14:textId="77777777" w:rsidR="007E486C" w:rsidRDefault="007E486C">
      <w:pPr>
        <w:keepLines w:val="0"/>
        <w:rPr>
          <w:b/>
          <w:iCs/>
          <w:color w:val="404040" w:themeColor="text1" w:themeTint="BF"/>
        </w:rPr>
      </w:pPr>
      <w:r>
        <w:br w:type="page"/>
      </w:r>
    </w:p>
    <w:p w14:paraId="76F48CCC" w14:textId="71EB55EE" w:rsidR="003719CD" w:rsidRDefault="003719CD" w:rsidP="007D536F">
      <w:pPr>
        <w:pStyle w:val="Caption"/>
      </w:pPr>
      <w:r>
        <w:lastRenderedPageBreak/>
        <w:t xml:space="preserve">Interest rate exposure of financial instruments </w:t>
      </w:r>
      <w:r w:rsidRPr="00430E85">
        <w:rPr>
          <w:rStyle w:val="Reference"/>
        </w:rPr>
        <w:t>[AASB 7.34(a)]</w:t>
      </w:r>
      <w:r>
        <w:tab/>
        <w:t>($ thousand)</w:t>
      </w:r>
    </w:p>
    <w:tbl>
      <w:tblPr>
        <w:tblStyle w:val="DTFTable"/>
        <w:tblW w:w="9639" w:type="dxa"/>
        <w:tblLayout w:type="fixed"/>
        <w:tblLook w:val="06A0" w:firstRow="1" w:lastRow="0" w:firstColumn="1" w:lastColumn="0" w:noHBand="1" w:noVBand="1"/>
      </w:tblPr>
      <w:tblGrid>
        <w:gridCol w:w="3686"/>
        <w:gridCol w:w="1644"/>
        <w:gridCol w:w="907"/>
        <w:gridCol w:w="1134"/>
        <w:gridCol w:w="1190"/>
        <w:gridCol w:w="1078"/>
      </w:tblGrid>
      <w:tr w:rsidR="008E5233" w14:paraId="19C7072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tcPr>
          <w:p w14:paraId="24314F7B" w14:textId="59A674B3" w:rsidR="008E5233" w:rsidRDefault="008E5A9E">
            <w:pPr>
              <w:keepNext/>
            </w:pPr>
            <w:fldSimple w:instr="DOCPROPERTY  YearCurrent \* MERGEFORMAT">
              <w:r>
                <w:t>20X2</w:t>
              </w:r>
            </w:fldSimple>
          </w:p>
        </w:tc>
        <w:tc>
          <w:tcPr>
            <w:tcW w:w="1644" w:type="dxa"/>
          </w:tcPr>
          <w:p w14:paraId="12C2EB6B"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Weighted average interest rate (%)</w:t>
            </w:r>
          </w:p>
        </w:tc>
        <w:tc>
          <w:tcPr>
            <w:tcW w:w="907" w:type="dxa"/>
          </w:tcPr>
          <w:p w14:paraId="5ACE112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Carrying amount</w:t>
            </w:r>
          </w:p>
        </w:tc>
        <w:tc>
          <w:tcPr>
            <w:tcW w:w="1134" w:type="dxa"/>
          </w:tcPr>
          <w:p w14:paraId="2E750898"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Fixed interest rate</w:t>
            </w:r>
          </w:p>
        </w:tc>
        <w:tc>
          <w:tcPr>
            <w:tcW w:w="1190" w:type="dxa"/>
          </w:tcPr>
          <w:p w14:paraId="5AD7799F"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Variable interest rate</w:t>
            </w:r>
          </w:p>
        </w:tc>
        <w:tc>
          <w:tcPr>
            <w:tcW w:w="1078" w:type="dxa"/>
          </w:tcPr>
          <w:p w14:paraId="1761B0C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Non‑interest bearing</w:t>
            </w:r>
          </w:p>
        </w:tc>
      </w:tr>
      <w:tr w:rsidR="008E5233" w14:paraId="1C0A08F5" w14:textId="77777777">
        <w:tc>
          <w:tcPr>
            <w:cnfStyle w:val="001000000000" w:firstRow="0" w:lastRow="0" w:firstColumn="1" w:lastColumn="0" w:oddVBand="0" w:evenVBand="0" w:oddHBand="0" w:evenHBand="0" w:firstRowFirstColumn="0" w:firstRowLastColumn="0" w:lastRowFirstColumn="0" w:lastRowLastColumn="0"/>
            <w:tcW w:w="3686" w:type="dxa"/>
          </w:tcPr>
          <w:p w14:paraId="036B1721" w14:textId="77777777" w:rsidR="008E5233" w:rsidRDefault="005648A9">
            <w:r>
              <w:rPr>
                <w:b/>
              </w:rPr>
              <w:t>Financial assets</w:t>
            </w:r>
          </w:p>
        </w:tc>
        <w:tc>
          <w:tcPr>
            <w:tcW w:w="1644" w:type="dxa"/>
          </w:tcPr>
          <w:p w14:paraId="3E62EEE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47505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853FAE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58CCE6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7B5946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83702F6" w14:textId="77777777">
        <w:tc>
          <w:tcPr>
            <w:cnfStyle w:val="001000000000" w:firstRow="0" w:lastRow="0" w:firstColumn="1" w:lastColumn="0" w:oddVBand="0" w:evenVBand="0" w:oddHBand="0" w:evenHBand="0" w:firstRowFirstColumn="0" w:firstRowLastColumn="0" w:lastRowFirstColumn="0" w:lastRowLastColumn="0"/>
            <w:tcW w:w="3686" w:type="dxa"/>
          </w:tcPr>
          <w:p w14:paraId="48066FED" w14:textId="77777777" w:rsidR="008E5233" w:rsidRDefault="005648A9">
            <w:r>
              <w:t>Cash and deposits</w:t>
            </w:r>
          </w:p>
        </w:tc>
        <w:tc>
          <w:tcPr>
            <w:tcW w:w="1644" w:type="dxa"/>
          </w:tcPr>
          <w:p w14:paraId="3A00B788" w14:textId="77777777" w:rsidR="008E5233" w:rsidRDefault="005648A9">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88DAD7A" w14:textId="3201BD47" w:rsidR="008E5233" w:rsidRDefault="00157784">
            <w:pPr>
              <w:cnfStyle w:val="000000000000" w:firstRow="0" w:lastRow="0" w:firstColumn="0" w:lastColumn="0" w:oddVBand="0" w:evenVBand="0" w:oddHBand="0" w:evenHBand="0" w:firstRowFirstColumn="0" w:firstRowLastColumn="0" w:lastRowFirstColumn="0" w:lastRowLastColumn="0"/>
            </w:pPr>
            <w:r>
              <w:t>71</w:t>
            </w:r>
            <w:r w:rsidR="005648A9">
              <w:t xml:space="preserve"> </w:t>
            </w:r>
            <w:r w:rsidR="00DD7DB5">
              <w:t>803</w:t>
            </w:r>
          </w:p>
        </w:tc>
        <w:tc>
          <w:tcPr>
            <w:tcW w:w="1134" w:type="dxa"/>
          </w:tcPr>
          <w:p w14:paraId="7E450FB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3A77C222" w14:textId="6DBBB199" w:rsidR="008E5233" w:rsidRDefault="00157784">
            <w:pPr>
              <w:cnfStyle w:val="000000000000" w:firstRow="0" w:lastRow="0" w:firstColumn="0" w:lastColumn="0" w:oddVBand="0" w:evenVBand="0" w:oddHBand="0" w:evenHBand="0" w:firstRowFirstColumn="0" w:firstRowLastColumn="0" w:lastRowFirstColumn="0" w:lastRowLastColumn="0"/>
            </w:pPr>
            <w:r>
              <w:t>71</w:t>
            </w:r>
            <w:r w:rsidR="005648A9">
              <w:t xml:space="preserve"> </w:t>
            </w:r>
            <w:r w:rsidR="00DD7DB5">
              <w:t>803</w:t>
            </w:r>
          </w:p>
        </w:tc>
        <w:tc>
          <w:tcPr>
            <w:tcW w:w="1078" w:type="dxa"/>
          </w:tcPr>
          <w:p w14:paraId="1F5F5B1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623330FC" w14:textId="77777777">
        <w:tc>
          <w:tcPr>
            <w:cnfStyle w:val="001000000000" w:firstRow="0" w:lastRow="0" w:firstColumn="1" w:lastColumn="0" w:oddVBand="0" w:evenVBand="0" w:oddHBand="0" w:evenHBand="0" w:firstRowFirstColumn="0" w:firstRowLastColumn="0" w:lastRowFirstColumn="0" w:lastRowLastColumn="0"/>
            <w:tcW w:w="3686" w:type="dxa"/>
          </w:tcPr>
          <w:p w14:paraId="61795D46" w14:textId="77777777" w:rsidR="008E5233" w:rsidRDefault="005648A9">
            <w:r>
              <w:t>Receivables</w:t>
            </w:r>
            <w:r>
              <w:rPr>
                <w:vertAlign w:val="superscript"/>
              </w:rPr>
              <w:t xml:space="preserve"> (a)</w:t>
            </w:r>
          </w:p>
        </w:tc>
        <w:tc>
          <w:tcPr>
            <w:tcW w:w="1644" w:type="dxa"/>
          </w:tcPr>
          <w:p w14:paraId="07FC325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123899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7B6183B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670645F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76B6E9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E140BA4" w14:textId="77777777">
        <w:tc>
          <w:tcPr>
            <w:cnfStyle w:val="001000000000" w:firstRow="0" w:lastRow="0" w:firstColumn="1" w:lastColumn="0" w:oddVBand="0" w:evenVBand="0" w:oddHBand="0" w:evenHBand="0" w:firstRowFirstColumn="0" w:firstRowLastColumn="0" w:lastRowFirstColumn="0" w:lastRowLastColumn="0"/>
            <w:tcW w:w="3686" w:type="dxa"/>
          </w:tcPr>
          <w:p w14:paraId="60EB2EA7" w14:textId="77777777" w:rsidR="008E5233" w:rsidRDefault="005648A9">
            <w:r>
              <w:t>Finance lease receivables</w:t>
            </w:r>
          </w:p>
        </w:tc>
        <w:tc>
          <w:tcPr>
            <w:tcW w:w="1644" w:type="dxa"/>
          </w:tcPr>
          <w:p w14:paraId="3969A737"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540CE10" w14:textId="77777777" w:rsidR="008E5233" w:rsidRDefault="005648A9">
            <w:pPr>
              <w:cnfStyle w:val="000000000000" w:firstRow="0" w:lastRow="0" w:firstColumn="0" w:lastColumn="0" w:oddVBand="0" w:evenVBand="0" w:oddHBand="0" w:evenHBand="0" w:firstRowFirstColumn="0" w:firstRowLastColumn="0" w:lastRowFirstColumn="0" w:lastRowLastColumn="0"/>
            </w:pPr>
            <w:r>
              <w:t>581</w:t>
            </w:r>
          </w:p>
        </w:tc>
        <w:tc>
          <w:tcPr>
            <w:tcW w:w="1134" w:type="dxa"/>
          </w:tcPr>
          <w:p w14:paraId="422DF090" w14:textId="77777777" w:rsidR="008E5233" w:rsidRDefault="005648A9">
            <w:pPr>
              <w:cnfStyle w:val="000000000000" w:firstRow="0" w:lastRow="0" w:firstColumn="0" w:lastColumn="0" w:oddVBand="0" w:evenVBand="0" w:oddHBand="0" w:evenHBand="0" w:firstRowFirstColumn="0" w:firstRowLastColumn="0" w:lastRowFirstColumn="0" w:lastRowLastColumn="0"/>
            </w:pPr>
            <w:r>
              <w:t>581</w:t>
            </w:r>
          </w:p>
        </w:tc>
        <w:tc>
          <w:tcPr>
            <w:tcW w:w="1190" w:type="dxa"/>
          </w:tcPr>
          <w:p w14:paraId="7772995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272181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F64DA36" w14:textId="77777777">
        <w:tc>
          <w:tcPr>
            <w:cnfStyle w:val="001000000000" w:firstRow="0" w:lastRow="0" w:firstColumn="1" w:lastColumn="0" w:oddVBand="0" w:evenVBand="0" w:oddHBand="0" w:evenHBand="0" w:firstRowFirstColumn="0" w:firstRowLastColumn="0" w:lastRowFirstColumn="0" w:lastRowLastColumn="0"/>
            <w:tcW w:w="3686" w:type="dxa"/>
          </w:tcPr>
          <w:p w14:paraId="120F7D22" w14:textId="77777777" w:rsidR="008E5233" w:rsidRDefault="005648A9">
            <w:r>
              <w:t>Sale of goods and services</w:t>
            </w:r>
          </w:p>
        </w:tc>
        <w:tc>
          <w:tcPr>
            <w:tcW w:w="1644" w:type="dxa"/>
          </w:tcPr>
          <w:p w14:paraId="774030C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49C41AB"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1 374</w:t>
            </w:r>
          </w:p>
        </w:tc>
        <w:tc>
          <w:tcPr>
            <w:tcW w:w="1134" w:type="dxa"/>
          </w:tcPr>
          <w:p w14:paraId="2990353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C56F8D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F962DB8"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1 374</w:t>
            </w:r>
          </w:p>
        </w:tc>
      </w:tr>
      <w:tr w:rsidR="008E5233" w14:paraId="708E4E7E" w14:textId="77777777">
        <w:tc>
          <w:tcPr>
            <w:cnfStyle w:val="001000000000" w:firstRow="0" w:lastRow="0" w:firstColumn="1" w:lastColumn="0" w:oddVBand="0" w:evenVBand="0" w:oddHBand="0" w:evenHBand="0" w:firstRowFirstColumn="0" w:firstRowLastColumn="0" w:lastRowFirstColumn="0" w:lastRowLastColumn="0"/>
            <w:tcW w:w="3686" w:type="dxa"/>
          </w:tcPr>
          <w:p w14:paraId="6B1438CF" w14:textId="77777777" w:rsidR="008E5233" w:rsidRDefault="005648A9">
            <w:r>
              <w:t>Loans to third parties</w:t>
            </w:r>
          </w:p>
        </w:tc>
        <w:tc>
          <w:tcPr>
            <w:tcW w:w="1644" w:type="dxa"/>
          </w:tcPr>
          <w:p w14:paraId="01D44C5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80A7A7" w14:textId="77777777" w:rsidR="008E5233" w:rsidRDefault="005648A9">
            <w:pPr>
              <w:cnfStyle w:val="000000000000" w:firstRow="0" w:lastRow="0" w:firstColumn="0" w:lastColumn="0" w:oddVBand="0" w:evenVBand="0" w:oddHBand="0" w:evenHBand="0" w:firstRowFirstColumn="0" w:firstRowLastColumn="0" w:lastRowFirstColumn="0" w:lastRowLastColumn="0"/>
            </w:pPr>
            <w:r>
              <w:t>544</w:t>
            </w:r>
          </w:p>
        </w:tc>
        <w:tc>
          <w:tcPr>
            <w:tcW w:w="1134" w:type="dxa"/>
          </w:tcPr>
          <w:p w14:paraId="0AAC7E8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67F994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827F928" w14:textId="77777777" w:rsidR="008E5233" w:rsidRDefault="005648A9">
            <w:pPr>
              <w:cnfStyle w:val="000000000000" w:firstRow="0" w:lastRow="0" w:firstColumn="0" w:lastColumn="0" w:oddVBand="0" w:evenVBand="0" w:oddHBand="0" w:evenHBand="0" w:firstRowFirstColumn="0" w:firstRowLastColumn="0" w:lastRowFirstColumn="0" w:lastRowLastColumn="0"/>
            </w:pPr>
            <w:r>
              <w:t>544</w:t>
            </w:r>
          </w:p>
        </w:tc>
      </w:tr>
      <w:tr w:rsidR="008E5233" w14:paraId="144E3BF4" w14:textId="77777777">
        <w:tc>
          <w:tcPr>
            <w:cnfStyle w:val="001000000000" w:firstRow="0" w:lastRow="0" w:firstColumn="1" w:lastColumn="0" w:oddVBand="0" w:evenVBand="0" w:oddHBand="0" w:evenHBand="0" w:firstRowFirstColumn="0" w:firstRowLastColumn="0" w:lastRowFirstColumn="0" w:lastRowLastColumn="0"/>
            <w:tcW w:w="3686" w:type="dxa"/>
          </w:tcPr>
          <w:p w14:paraId="1E66253F" w14:textId="77777777" w:rsidR="008E5233" w:rsidRDefault="005648A9">
            <w:r>
              <w:t>Accrued investment income</w:t>
            </w:r>
          </w:p>
        </w:tc>
        <w:tc>
          <w:tcPr>
            <w:tcW w:w="1644" w:type="dxa"/>
          </w:tcPr>
          <w:p w14:paraId="4FAFA3E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02F895F" w14:textId="77777777" w:rsidR="008E5233" w:rsidRDefault="005648A9">
            <w:pPr>
              <w:cnfStyle w:val="000000000000" w:firstRow="0" w:lastRow="0" w:firstColumn="0" w:lastColumn="0" w:oddVBand="0" w:evenVBand="0" w:oddHBand="0" w:evenHBand="0" w:firstRowFirstColumn="0" w:firstRowLastColumn="0" w:lastRowFirstColumn="0" w:lastRowLastColumn="0"/>
            </w:pPr>
            <w:r>
              <w:t>1 864</w:t>
            </w:r>
          </w:p>
        </w:tc>
        <w:tc>
          <w:tcPr>
            <w:tcW w:w="1134" w:type="dxa"/>
          </w:tcPr>
          <w:p w14:paraId="5AB5BAA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08C795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6BC8E035" w14:textId="77777777" w:rsidR="008E5233" w:rsidRDefault="005648A9">
            <w:pPr>
              <w:cnfStyle w:val="000000000000" w:firstRow="0" w:lastRow="0" w:firstColumn="0" w:lastColumn="0" w:oddVBand="0" w:evenVBand="0" w:oddHBand="0" w:evenHBand="0" w:firstRowFirstColumn="0" w:firstRowLastColumn="0" w:lastRowFirstColumn="0" w:lastRowLastColumn="0"/>
            </w:pPr>
            <w:r>
              <w:t>1 864</w:t>
            </w:r>
          </w:p>
        </w:tc>
      </w:tr>
      <w:tr w:rsidR="008E5233" w14:paraId="006D1A14" w14:textId="77777777">
        <w:tc>
          <w:tcPr>
            <w:cnfStyle w:val="001000000000" w:firstRow="0" w:lastRow="0" w:firstColumn="1" w:lastColumn="0" w:oddVBand="0" w:evenVBand="0" w:oddHBand="0" w:evenHBand="0" w:firstRowFirstColumn="0" w:firstRowLastColumn="0" w:lastRowFirstColumn="0" w:lastRowLastColumn="0"/>
            <w:tcW w:w="3686" w:type="dxa"/>
          </w:tcPr>
          <w:p w14:paraId="185ECC4C" w14:textId="77777777" w:rsidR="008E5233" w:rsidRDefault="005648A9">
            <w:r>
              <w:t>Other receivables</w:t>
            </w:r>
          </w:p>
        </w:tc>
        <w:tc>
          <w:tcPr>
            <w:tcW w:w="1644" w:type="dxa"/>
          </w:tcPr>
          <w:p w14:paraId="07D02C1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83950B1" w14:textId="77777777" w:rsidR="008E5233" w:rsidRDefault="005648A9">
            <w:pPr>
              <w:cnfStyle w:val="000000000000" w:firstRow="0" w:lastRow="0" w:firstColumn="0" w:lastColumn="0" w:oddVBand="0" w:evenVBand="0" w:oddHBand="0" w:evenHBand="0" w:firstRowFirstColumn="0" w:firstRowLastColumn="0" w:lastRowFirstColumn="0" w:lastRowLastColumn="0"/>
            </w:pPr>
            <w:r>
              <w:t>334</w:t>
            </w:r>
          </w:p>
        </w:tc>
        <w:tc>
          <w:tcPr>
            <w:tcW w:w="1134" w:type="dxa"/>
          </w:tcPr>
          <w:p w14:paraId="29D96F5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590482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5B2DA057" w14:textId="77777777" w:rsidR="008E5233" w:rsidRDefault="005648A9">
            <w:pPr>
              <w:cnfStyle w:val="000000000000" w:firstRow="0" w:lastRow="0" w:firstColumn="0" w:lastColumn="0" w:oddVBand="0" w:evenVBand="0" w:oddHBand="0" w:evenHBand="0" w:firstRowFirstColumn="0" w:firstRowLastColumn="0" w:lastRowFirstColumn="0" w:lastRowLastColumn="0"/>
            </w:pPr>
            <w:r>
              <w:t>334</w:t>
            </w:r>
          </w:p>
        </w:tc>
      </w:tr>
      <w:tr w:rsidR="008E5233" w14:paraId="11D21432" w14:textId="77777777">
        <w:tc>
          <w:tcPr>
            <w:cnfStyle w:val="001000000000" w:firstRow="0" w:lastRow="0" w:firstColumn="1" w:lastColumn="0" w:oddVBand="0" w:evenVBand="0" w:oddHBand="0" w:evenHBand="0" w:firstRowFirstColumn="0" w:firstRowLastColumn="0" w:lastRowFirstColumn="0" w:lastRowLastColumn="0"/>
            <w:tcW w:w="3686" w:type="dxa"/>
          </w:tcPr>
          <w:p w14:paraId="748E1707" w14:textId="77777777" w:rsidR="008E5233" w:rsidRDefault="005648A9">
            <w:r>
              <w:t>Investments and other contractual financial assets</w:t>
            </w:r>
          </w:p>
        </w:tc>
        <w:tc>
          <w:tcPr>
            <w:tcW w:w="1644" w:type="dxa"/>
          </w:tcPr>
          <w:p w14:paraId="0A16565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15FC05A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00729A2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4790E85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D2E3C7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F6E7468" w14:textId="77777777">
        <w:tc>
          <w:tcPr>
            <w:cnfStyle w:val="001000000000" w:firstRow="0" w:lastRow="0" w:firstColumn="1" w:lastColumn="0" w:oddVBand="0" w:evenVBand="0" w:oddHBand="0" w:evenHBand="0" w:firstRowFirstColumn="0" w:firstRowLastColumn="0" w:lastRowFirstColumn="0" w:lastRowLastColumn="0"/>
            <w:tcW w:w="3686" w:type="dxa"/>
          </w:tcPr>
          <w:p w14:paraId="435D84C7" w14:textId="77777777" w:rsidR="008E5233" w:rsidRDefault="005648A9">
            <w:r>
              <w:t>Equities and managed investment schemes</w:t>
            </w:r>
          </w:p>
        </w:tc>
        <w:tc>
          <w:tcPr>
            <w:tcW w:w="1644" w:type="dxa"/>
          </w:tcPr>
          <w:p w14:paraId="75BB8C2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36FB8C8E" w14:textId="77777777" w:rsidR="008E5233" w:rsidRDefault="005648A9">
            <w:pPr>
              <w:cnfStyle w:val="000000000000" w:firstRow="0" w:lastRow="0" w:firstColumn="0" w:lastColumn="0" w:oddVBand="0" w:evenVBand="0" w:oddHBand="0" w:evenHBand="0" w:firstRowFirstColumn="0" w:firstRowLastColumn="0" w:lastRowFirstColumn="0" w:lastRowLastColumn="0"/>
            </w:pPr>
            <w:r>
              <w:t>2 165</w:t>
            </w:r>
          </w:p>
        </w:tc>
        <w:tc>
          <w:tcPr>
            <w:tcW w:w="1134" w:type="dxa"/>
          </w:tcPr>
          <w:p w14:paraId="6B4BF0D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5B6325F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5B582FA" w14:textId="77777777" w:rsidR="008E5233" w:rsidRDefault="005648A9">
            <w:pPr>
              <w:cnfStyle w:val="000000000000" w:firstRow="0" w:lastRow="0" w:firstColumn="0" w:lastColumn="0" w:oddVBand="0" w:evenVBand="0" w:oddHBand="0" w:evenHBand="0" w:firstRowFirstColumn="0" w:firstRowLastColumn="0" w:lastRowFirstColumn="0" w:lastRowLastColumn="0"/>
            </w:pPr>
            <w:r>
              <w:t>2 165</w:t>
            </w:r>
          </w:p>
        </w:tc>
      </w:tr>
      <w:tr w:rsidR="008E5233" w14:paraId="5E68664F" w14:textId="77777777">
        <w:tc>
          <w:tcPr>
            <w:cnfStyle w:val="001000000000" w:firstRow="0" w:lastRow="0" w:firstColumn="1" w:lastColumn="0" w:oddVBand="0" w:evenVBand="0" w:oddHBand="0" w:evenHBand="0" w:firstRowFirstColumn="0" w:firstRowLastColumn="0" w:lastRowFirstColumn="0" w:lastRowLastColumn="0"/>
            <w:tcW w:w="3686" w:type="dxa"/>
          </w:tcPr>
          <w:p w14:paraId="6B748D79" w14:textId="77777777" w:rsidR="008E5233" w:rsidRDefault="005648A9">
            <w:r>
              <w:t>Term deposits</w:t>
            </w:r>
          </w:p>
        </w:tc>
        <w:tc>
          <w:tcPr>
            <w:tcW w:w="1644" w:type="dxa"/>
          </w:tcPr>
          <w:p w14:paraId="71645709"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316BECAE" w14:textId="77777777" w:rsidR="008E5233" w:rsidRDefault="005648A9">
            <w:pPr>
              <w:cnfStyle w:val="000000000000" w:firstRow="0" w:lastRow="0" w:firstColumn="0" w:lastColumn="0" w:oddVBand="0" w:evenVBand="0" w:oddHBand="0" w:evenHBand="0" w:firstRowFirstColumn="0" w:firstRowLastColumn="0" w:lastRowFirstColumn="0" w:lastRowLastColumn="0"/>
            </w:pPr>
            <w:r>
              <w:t>2 890</w:t>
            </w:r>
          </w:p>
        </w:tc>
        <w:tc>
          <w:tcPr>
            <w:tcW w:w="1134" w:type="dxa"/>
          </w:tcPr>
          <w:p w14:paraId="1463A5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4DC3B01E" w14:textId="77777777" w:rsidR="008E5233" w:rsidRDefault="005648A9">
            <w:pPr>
              <w:cnfStyle w:val="000000000000" w:firstRow="0" w:lastRow="0" w:firstColumn="0" w:lastColumn="0" w:oddVBand="0" w:evenVBand="0" w:oddHBand="0" w:evenHBand="0" w:firstRowFirstColumn="0" w:firstRowLastColumn="0" w:lastRowFirstColumn="0" w:lastRowLastColumn="0"/>
            </w:pPr>
            <w:r>
              <w:t>2 890</w:t>
            </w:r>
          </w:p>
        </w:tc>
        <w:tc>
          <w:tcPr>
            <w:tcW w:w="1078" w:type="dxa"/>
          </w:tcPr>
          <w:p w14:paraId="67485EC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A91340E"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6629CE1F" w14:textId="77777777" w:rsidR="008E5233" w:rsidRDefault="005648A9">
            <w:r>
              <w:t>Debt securities</w:t>
            </w:r>
          </w:p>
        </w:tc>
        <w:tc>
          <w:tcPr>
            <w:tcW w:w="1644" w:type="dxa"/>
            <w:tcBorders>
              <w:bottom w:val="single" w:sz="12" w:space="0" w:color="auto"/>
            </w:tcBorders>
          </w:tcPr>
          <w:p w14:paraId="6CD56AE7"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Borders>
              <w:bottom w:val="single" w:sz="12" w:space="0" w:color="auto"/>
            </w:tcBorders>
          </w:tcPr>
          <w:p w14:paraId="5273127C" w14:textId="77777777" w:rsidR="008E5233" w:rsidRDefault="005648A9">
            <w:pPr>
              <w:cnfStyle w:val="000000000000" w:firstRow="0" w:lastRow="0" w:firstColumn="0" w:lastColumn="0" w:oddVBand="0" w:evenVBand="0" w:oddHBand="0" w:evenHBand="0" w:firstRowFirstColumn="0" w:firstRowLastColumn="0" w:lastRowFirstColumn="0" w:lastRowLastColumn="0"/>
            </w:pPr>
            <w:r>
              <w:t>9 021</w:t>
            </w:r>
          </w:p>
        </w:tc>
        <w:tc>
          <w:tcPr>
            <w:tcW w:w="1134" w:type="dxa"/>
            <w:tcBorders>
              <w:bottom w:val="single" w:sz="12" w:space="0" w:color="auto"/>
            </w:tcBorders>
          </w:tcPr>
          <w:p w14:paraId="2398EE8C" w14:textId="77777777" w:rsidR="008E5233" w:rsidRDefault="005648A9">
            <w:pPr>
              <w:cnfStyle w:val="000000000000" w:firstRow="0" w:lastRow="0" w:firstColumn="0" w:lastColumn="0" w:oddVBand="0" w:evenVBand="0" w:oddHBand="0" w:evenHBand="0" w:firstRowFirstColumn="0" w:firstRowLastColumn="0" w:lastRowFirstColumn="0" w:lastRowLastColumn="0"/>
            </w:pPr>
            <w:r>
              <w:t>5 198</w:t>
            </w:r>
          </w:p>
        </w:tc>
        <w:tc>
          <w:tcPr>
            <w:tcW w:w="1190" w:type="dxa"/>
            <w:tcBorders>
              <w:bottom w:val="single" w:sz="12" w:space="0" w:color="auto"/>
            </w:tcBorders>
          </w:tcPr>
          <w:p w14:paraId="3D043FFC" w14:textId="77777777" w:rsidR="008E5233" w:rsidRDefault="005648A9">
            <w:pPr>
              <w:cnfStyle w:val="000000000000" w:firstRow="0" w:lastRow="0" w:firstColumn="0" w:lastColumn="0" w:oddVBand="0" w:evenVBand="0" w:oddHBand="0" w:evenHBand="0" w:firstRowFirstColumn="0" w:firstRowLastColumn="0" w:lastRowFirstColumn="0" w:lastRowLastColumn="0"/>
            </w:pPr>
            <w:r>
              <w:t>3 823</w:t>
            </w:r>
          </w:p>
        </w:tc>
        <w:tc>
          <w:tcPr>
            <w:tcW w:w="1078" w:type="dxa"/>
            <w:tcBorders>
              <w:bottom w:val="single" w:sz="12" w:space="0" w:color="auto"/>
            </w:tcBorders>
          </w:tcPr>
          <w:p w14:paraId="6717793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1A749D7C" w14:textId="77777777" w:rsidTr="008E5233">
        <w:tc>
          <w:tcPr>
            <w:cnfStyle w:val="001000000000" w:firstRow="0" w:lastRow="0" w:firstColumn="1" w:lastColumn="0" w:oddVBand="0" w:evenVBand="0" w:oddHBand="0" w:evenHBand="0" w:firstRowFirstColumn="0" w:firstRowLastColumn="0" w:lastRowFirstColumn="0" w:lastRowLastColumn="0"/>
            <w:tcW w:w="3686" w:type="dxa"/>
          </w:tcPr>
          <w:p w14:paraId="7F86BC19" w14:textId="77777777" w:rsidR="008E5233" w:rsidRDefault="005648A9">
            <w:r>
              <w:rPr>
                <w:b/>
              </w:rPr>
              <w:t>Total financial assets</w:t>
            </w:r>
          </w:p>
        </w:tc>
        <w:tc>
          <w:tcPr>
            <w:tcW w:w="1644" w:type="dxa"/>
          </w:tcPr>
          <w:p w14:paraId="6EEB021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BB3119" w14:textId="24440958" w:rsidR="008E5233" w:rsidRDefault="00DD7DB5">
            <w:pPr>
              <w:cnfStyle w:val="000000000000" w:firstRow="0" w:lastRow="0" w:firstColumn="0" w:lastColumn="0" w:oddVBand="0" w:evenVBand="0" w:oddHBand="0" w:evenHBand="0" w:firstRowFirstColumn="0" w:firstRowLastColumn="0" w:lastRowFirstColumn="0" w:lastRowLastColumn="0"/>
            </w:pPr>
            <w:r>
              <w:rPr>
                <w:b/>
              </w:rPr>
              <w:t>90</w:t>
            </w:r>
            <w:r w:rsidR="005648A9">
              <w:rPr>
                <w:b/>
              </w:rPr>
              <w:t xml:space="preserve"> </w:t>
            </w:r>
            <w:r>
              <w:rPr>
                <w:b/>
              </w:rPr>
              <w:t>57</w:t>
            </w:r>
            <w:r w:rsidR="00157784">
              <w:rPr>
                <w:b/>
              </w:rPr>
              <w:t>6</w:t>
            </w:r>
          </w:p>
        </w:tc>
        <w:tc>
          <w:tcPr>
            <w:tcW w:w="1134" w:type="dxa"/>
          </w:tcPr>
          <w:p w14:paraId="50576DB7"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5 779</w:t>
            </w:r>
          </w:p>
        </w:tc>
        <w:tc>
          <w:tcPr>
            <w:tcW w:w="1190" w:type="dxa"/>
          </w:tcPr>
          <w:p w14:paraId="4518D2F5" w14:textId="2CA9EF0C" w:rsidR="008E5233" w:rsidRDefault="005648A9">
            <w:pPr>
              <w:cnfStyle w:val="000000000000" w:firstRow="0" w:lastRow="0" w:firstColumn="0" w:lastColumn="0" w:oddVBand="0" w:evenVBand="0" w:oddHBand="0" w:evenHBand="0" w:firstRowFirstColumn="0" w:firstRowLastColumn="0" w:lastRowFirstColumn="0" w:lastRowLastColumn="0"/>
            </w:pPr>
            <w:r>
              <w:rPr>
                <w:b/>
              </w:rPr>
              <w:t>7</w:t>
            </w:r>
            <w:r w:rsidR="00DD7DB5">
              <w:rPr>
                <w:b/>
              </w:rPr>
              <w:t>8</w:t>
            </w:r>
            <w:r>
              <w:rPr>
                <w:b/>
              </w:rPr>
              <w:t xml:space="preserve"> </w:t>
            </w:r>
            <w:r w:rsidR="00DD7DB5">
              <w:rPr>
                <w:b/>
              </w:rPr>
              <w:t>51</w:t>
            </w:r>
            <w:r w:rsidR="00157784">
              <w:rPr>
                <w:b/>
              </w:rPr>
              <w:t>6</w:t>
            </w:r>
          </w:p>
        </w:tc>
        <w:tc>
          <w:tcPr>
            <w:tcW w:w="1078" w:type="dxa"/>
          </w:tcPr>
          <w:p w14:paraId="6461D3C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6 281</w:t>
            </w:r>
          </w:p>
        </w:tc>
      </w:tr>
      <w:tr w:rsidR="00671D55" w14:paraId="19AC3E9B" w14:textId="77777777" w:rsidTr="008E5233">
        <w:tc>
          <w:tcPr>
            <w:cnfStyle w:val="001000000000" w:firstRow="0" w:lastRow="0" w:firstColumn="1" w:lastColumn="0" w:oddVBand="0" w:evenVBand="0" w:oddHBand="0" w:evenHBand="0" w:firstRowFirstColumn="0" w:firstRowLastColumn="0" w:lastRowFirstColumn="0" w:lastRowLastColumn="0"/>
            <w:tcW w:w="3686" w:type="dxa"/>
          </w:tcPr>
          <w:p w14:paraId="6687F6BE" w14:textId="77777777" w:rsidR="008E5233" w:rsidRDefault="005648A9">
            <w:r>
              <w:rPr>
                <w:b/>
              </w:rPr>
              <w:t>Financial liabilities</w:t>
            </w:r>
          </w:p>
        </w:tc>
        <w:tc>
          <w:tcPr>
            <w:tcW w:w="1644" w:type="dxa"/>
          </w:tcPr>
          <w:p w14:paraId="0911CEC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B35CC5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29ED9D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1BCA58D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3CBE4A5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DD2ECA6" w14:textId="77777777">
        <w:tc>
          <w:tcPr>
            <w:cnfStyle w:val="001000000000" w:firstRow="0" w:lastRow="0" w:firstColumn="1" w:lastColumn="0" w:oddVBand="0" w:evenVBand="0" w:oddHBand="0" w:evenHBand="0" w:firstRowFirstColumn="0" w:firstRowLastColumn="0" w:lastRowFirstColumn="0" w:lastRowLastColumn="0"/>
            <w:tcW w:w="3686" w:type="dxa"/>
          </w:tcPr>
          <w:p w14:paraId="42695B75" w14:textId="77777777" w:rsidR="008E5233" w:rsidRDefault="005648A9">
            <w:r>
              <w:rPr>
                <w:b/>
              </w:rPr>
              <w:t>Payables</w:t>
            </w:r>
            <w:r>
              <w:rPr>
                <w:b/>
                <w:vertAlign w:val="superscript"/>
              </w:rPr>
              <w:t xml:space="preserve"> (a)</w:t>
            </w:r>
          </w:p>
        </w:tc>
        <w:tc>
          <w:tcPr>
            <w:tcW w:w="1644" w:type="dxa"/>
          </w:tcPr>
          <w:p w14:paraId="5EE666D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804A0B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74979A4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770655E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91B77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591BCA2" w14:textId="77777777">
        <w:tc>
          <w:tcPr>
            <w:cnfStyle w:val="001000000000" w:firstRow="0" w:lastRow="0" w:firstColumn="1" w:lastColumn="0" w:oddVBand="0" w:evenVBand="0" w:oddHBand="0" w:evenHBand="0" w:firstRowFirstColumn="0" w:firstRowLastColumn="0" w:lastRowFirstColumn="0" w:lastRowLastColumn="0"/>
            <w:tcW w:w="3686" w:type="dxa"/>
          </w:tcPr>
          <w:p w14:paraId="5FCD6416" w14:textId="77777777" w:rsidR="008E5233" w:rsidRDefault="005648A9">
            <w:r>
              <w:t>Supplies and services</w:t>
            </w:r>
          </w:p>
        </w:tc>
        <w:tc>
          <w:tcPr>
            <w:tcW w:w="1644" w:type="dxa"/>
          </w:tcPr>
          <w:p w14:paraId="65857A4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4CB0F146" w14:textId="77777777" w:rsidR="008E5233" w:rsidRDefault="005648A9">
            <w:pPr>
              <w:cnfStyle w:val="000000000000" w:firstRow="0" w:lastRow="0" w:firstColumn="0" w:lastColumn="0" w:oddVBand="0" w:evenVBand="0" w:oddHBand="0" w:evenHBand="0" w:firstRowFirstColumn="0" w:firstRowLastColumn="0" w:lastRowFirstColumn="0" w:lastRowLastColumn="0"/>
            </w:pPr>
            <w:r>
              <w:t>4 508</w:t>
            </w:r>
          </w:p>
        </w:tc>
        <w:tc>
          <w:tcPr>
            <w:tcW w:w="1134" w:type="dxa"/>
          </w:tcPr>
          <w:p w14:paraId="3B24F17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34FE5F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B3684CE" w14:textId="77777777" w:rsidR="008E5233" w:rsidRDefault="005648A9">
            <w:pPr>
              <w:cnfStyle w:val="000000000000" w:firstRow="0" w:lastRow="0" w:firstColumn="0" w:lastColumn="0" w:oddVBand="0" w:evenVBand="0" w:oddHBand="0" w:evenHBand="0" w:firstRowFirstColumn="0" w:firstRowLastColumn="0" w:lastRowFirstColumn="0" w:lastRowLastColumn="0"/>
            </w:pPr>
            <w:r>
              <w:t>4 508</w:t>
            </w:r>
          </w:p>
        </w:tc>
      </w:tr>
      <w:tr w:rsidR="008E5233" w14:paraId="41BEB57E" w14:textId="77777777">
        <w:tc>
          <w:tcPr>
            <w:cnfStyle w:val="001000000000" w:firstRow="0" w:lastRow="0" w:firstColumn="1" w:lastColumn="0" w:oddVBand="0" w:evenVBand="0" w:oddHBand="0" w:evenHBand="0" w:firstRowFirstColumn="0" w:firstRowLastColumn="0" w:lastRowFirstColumn="0" w:lastRowLastColumn="0"/>
            <w:tcW w:w="3686" w:type="dxa"/>
          </w:tcPr>
          <w:p w14:paraId="72FE7EF8" w14:textId="77777777" w:rsidR="008E5233" w:rsidRDefault="005648A9">
            <w:r>
              <w:t>Amounts payable to government and agencies</w:t>
            </w:r>
          </w:p>
        </w:tc>
        <w:tc>
          <w:tcPr>
            <w:tcW w:w="1644" w:type="dxa"/>
          </w:tcPr>
          <w:p w14:paraId="2859F4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1E055E1E"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10 891</w:t>
            </w:r>
          </w:p>
        </w:tc>
        <w:tc>
          <w:tcPr>
            <w:tcW w:w="1134" w:type="dxa"/>
          </w:tcPr>
          <w:p w14:paraId="4EF85E4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294642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76B7D9D" w14:textId="77777777" w:rsidR="008E5233" w:rsidRDefault="005648A9">
            <w:pPr>
              <w:cnfStyle w:val="000000000000" w:firstRow="0" w:lastRow="0" w:firstColumn="0" w:lastColumn="0" w:oddVBand="0" w:evenVBand="0" w:oddHBand="0" w:evenHBand="0" w:firstRowFirstColumn="0" w:firstRowLastColumn="0" w:lastRowFirstColumn="0" w:lastRowLastColumn="0"/>
            </w:pPr>
            <w:r>
              <w:t>10 891</w:t>
            </w:r>
          </w:p>
        </w:tc>
      </w:tr>
      <w:tr w:rsidR="008E5233" w14:paraId="2E3B21B3" w14:textId="77777777">
        <w:tc>
          <w:tcPr>
            <w:cnfStyle w:val="001000000000" w:firstRow="0" w:lastRow="0" w:firstColumn="1" w:lastColumn="0" w:oddVBand="0" w:evenVBand="0" w:oddHBand="0" w:evenHBand="0" w:firstRowFirstColumn="0" w:firstRowLastColumn="0" w:lastRowFirstColumn="0" w:lastRowLastColumn="0"/>
            <w:tcW w:w="3686" w:type="dxa"/>
          </w:tcPr>
          <w:p w14:paraId="4C458B39" w14:textId="77777777" w:rsidR="008E5233" w:rsidRDefault="005648A9">
            <w:r>
              <w:t>Other payables</w:t>
            </w:r>
          </w:p>
        </w:tc>
        <w:tc>
          <w:tcPr>
            <w:tcW w:w="1644" w:type="dxa"/>
          </w:tcPr>
          <w:p w14:paraId="22FAEB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F28F5D3" w14:textId="77777777" w:rsidR="008E5233" w:rsidRDefault="005648A9">
            <w:pPr>
              <w:cnfStyle w:val="000000000000" w:firstRow="0" w:lastRow="0" w:firstColumn="0" w:lastColumn="0" w:oddVBand="0" w:evenVBand="0" w:oddHBand="0" w:evenHBand="0" w:firstRowFirstColumn="0" w:firstRowLastColumn="0" w:lastRowFirstColumn="0" w:lastRowLastColumn="0"/>
            </w:pPr>
            <w:r>
              <w:t>817</w:t>
            </w:r>
          </w:p>
        </w:tc>
        <w:tc>
          <w:tcPr>
            <w:tcW w:w="1134" w:type="dxa"/>
          </w:tcPr>
          <w:p w14:paraId="316B6A3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00D642D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6CE951C" w14:textId="77777777" w:rsidR="008E5233" w:rsidRDefault="005648A9">
            <w:pPr>
              <w:cnfStyle w:val="000000000000" w:firstRow="0" w:lastRow="0" w:firstColumn="0" w:lastColumn="0" w:oddVBand="0" w:evenVBand="0" w:oddHBand="0" w:evenHBand="0" w:firstRowFirstColumn="0" w:firstRowLastColumn="0" w:lastRowFirstColumn="0" w:lastRowLastColumn="0"/>
            </w:pPr>
            <w:r>
              <w:t>817</w:t>
            </w:r>
          </w:p>
        </w:tc>
      </w:tr>
      <w:tr w:rsidR="008E5233" w14:paraId="33EF444D" w14:textId="77777777">
        <w:tc>
          <w:tcPr>
            <w:cnfStyle w:val="001000000000" w:firstRow="0" w:lastRow="0" w:firstColumn="1" w:lastColumn="0" w:oddVBand="0" w:evenVBand="0" w:oddHBand="0" w:evenHBand="0" w:firstRowFirstColumn="0" w:firstRowLastColumn="0" w:lastRowFirstColumn="0" w:lastRowLastColumn="0"/>
            <w:tcW w:w="3686" w:type="dxa"/>
          </w:tcPr>
          <w:p w14:paraId="2D889CC1" w14:textId="77777777" w:rsidR="008E5233" w:rsidRDefault="005648A9">
            <w:r>
              <w:rPr>
                <w:b/>
              </w:rPr>
              <w:t>Borrowings</w:t>
            </w:r>
          </w:p>
        </w:tc>
        <w:tc>
          <w:tcPr>
            <w:tcW w:w="1644" w:type="dxa"/>
          </w:tcPr>
          <w:p w14:paraId="6CF271F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2C0A6F50"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275D299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90" w:type="dxa"/>
          </w:tcPr>
          <w:p w14:paraId="3C11D51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32956A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633C0A4B" w14:textId="77777777">
        <w:tc>
          <w:tcPr>
            <w:cnfStyle w:val="001000000000" w:firstRow="0" w:lastRow="0" w:firstColumn="1" w:lastColumn="0" w:oddVBand="0" w:evenVBand="0" w:oddHBand="0" w:evenHBand="0" w:firstRowFirstColumn="0" w:firstRowLastColumn="0" w:lastRowFirstColumn="0" w:lastRowLastColumn="0"/>
            <w:tcW w:w="3686" w:type="dxa"/>
          </w:tcPr>
          <w:p w14:paraId="7D1C17CF" w14:textId="77777777" w:rsidR="008E5233" w:rsidRDefault="005648A9">
            <w:r>
              <w:t>Lease liabilities</w:t>
            </w:r>
          </w:p>
        </w:tc>
        <w:tc>
          <w:tcPr>
            <w:tcW w:w="1644" w:type="dxa"/>
          </w:tcPr>
          <w:p w14:paraId="39CA583C"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2A7CF57" w14:textId="77777777" w:rsidR="008E5233" w:rsidRDefault="005648A9">
            <w:pPr>
              <w:cnfStyle w:val="000000000000" w:firstRow="0" w:lastRow="0" w:firstColumn="0" w:lastColumn="0" w:oddVBand="0" w:evenVBand="0" w:oddHBand="0" w:evenHBand="0" w:firstRowFirstColumn="0" w:firstRowLastColumn="0" w:lastRowFirstColumn="0" w:lastRowLastColumn="0"/>
            </w:pPr>
            <w:r>
              <w:t>8 064</w:t>
            </w:r>
          </w:p>
        </w:tc>
        <w:tc>
          <w:tcPr>
            <w:tcW w:w="1134" w:type="dxa"/>
          </w:tcPr>
          <w:p w14:paraId="1AC9F268" w14:textId="77777777" w:rsidR="008E5233" w:rsidRDefault="005648A9">
            <w:pPr>
              <w:cnfStyle w:val="000000000000" w:firstRow="0" w:lastRow="0" w:firstColumn="0" w:lastColumn="0" w:oddVBand="0" w:evenVBand="0" w:oddHBand="0" w:evenHBand="0" w:firstRowFirstColumn="0" w:firstRowLastColumn="0" w:lastRowFirstColumn="0" w:lastRowLastColumn="0"/>
            </w:pPr>
            <w:r>
              <w:t>8 064</w:t>
            </w:r>
          </w:p>
        </w:tc>
        <w:tc>
          <w:tcPr>
            <w:tcW w:w="1190" w:type="dxa"/>
          </w:tcPr>
          <w:p w14:paraId="5065434A"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57D360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70A79A4" w14:textId="77777777">
        <w:tc>
          <w:tcPr>
            <w:cnfStyle w:val="001000000000" w:firstRow="0" w:lastRow="0" w:firstColumn="1" w:lastColumn="0" w:oddVBand="0" w:evenVBand="0" w:oddHBand="0" w:evenHBand="0" w:firstRowFirstColumn="0" w:firstRowLastColumn="0" w:lastRowFirstColumn="0" w:lastRowLastColumn="0"/>
            <w:tcW w:w="3686" w:type="dxa"/>
          </w:tcPr>
          <w:p w14:paraId="1163D749" w14:textId="77777777" w:rsidR="008E5233" w:rsidRDefault="005648A9">
            <w:r>
              <w:t>Service concession financial liability</w:t>
            </w:r>
          </w:p>
        </w:tc>
        <w:tc>
          <w:tcPr>
            <w:tcW w:w="1644" w:type="dxa"/>
          </w:tcPr>
          <w:p w14:paraId="3E46BE8C"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3B08CF16" w14:textId="77777777" w:rsidR="008E5233" w:rsidRDefault="005648A9">
            <w:pPr>
              <w:cnfStyle w:val="000000000000" w:firstRow="0" w:lastRow="0" w:firstColumn="0" w:lastColumn="0" w:oddVBand="0" w:evenVBand="0" w:oddHBand="0" w:evenHBand="0" w:firstRowFirstColumn="0" w:firstRowLastColumn="0" w:lastRowFirstColumn="0" w:lastRowLastColumn="0"/>
            </w:pPr>
            <w:r>
              <w:t>58 500</w:t>
            </w:r>
          </w:p>
        </w:tc>
        <w:tc>
          <w:tcPr>
            <w:tcW w:w="1134" w:type="dxa"/>
          </w:tcPr>
          <w:p w14:paraId="5BFD4AB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1F294D5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E89C9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AA46BEA" w14:textId="77777777">
        <w:tc>
          <w:tcPr>
            <w:cnfStyle w:val="001000000000" w:firstRow="0" w:lastRow="0" w:firstColumn="1" w:lastColumn="0" w:oddVBand="0" w:evenVBand="0" w:oddHBand="0" w:evenHBand="0" w:firstRowFirstColumn="0" w:firstRowLastColumn="0" w:lastRowFirstColumn="0" w:lastRowLastColumn="0"/>
            <w:tcW w:w="3686" w:type="dxa"/>
          </w:tcPr>
          <w:p w14:paraId="47E95E39" w14:textId="77777777" w:rsidR="008E5233" w:rsidRDefault="005648A9">
            <w:r>
              <w:t>Advances from government</w:t>
            </w:r>
          </w:p>
        </w:tc>
        <w:tc>
          <w:tcPr>
            <w:tcW w:w="1644" w:type="dxa"/>
          </w:tcPr>
          <w:p w14:paraId="5ED07BC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7F29A801" w14:textId="77777777" w:rsidR="008E5233" w:rsidRDefault="005648A9">
            <w:pPr>
              <w:cnfStyle w:val="000000000000" w:firstRow="0" w:lastRow="0" w:firstColumn="0" w:lastColumn="0" w:oddVBand="0" w:evenVBand="0" w:oddHBand="0" w:evenHBand="0" w:firstRowFirstColumn="0" w:firstRowLastColumn="0" w:lastRowFirstColumn="0" w:lastRowLastColumn="0"/>
            </w:pPr>
            <w:r>
              <w:t>5 313</w:t>
            </w:r>
          </w:p>
        </w:tc>
        <w:tc>
          <w:tcPr>
            <w:tcW w:w="1134" w:type="dxa"/>
          </w:tcPr>
          <w:p w14:paraId="7C1F345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90" w:type="dxa"/>
          </w:tcPr>
          <w:p w14:paraId="542798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E0E0361" w14:textId="77777777" w:rsidR="008E5233" w:rsidRDefault="005648A9">
            <w:pPr>
              <w:cnfStyle w:val="000000000000" w:firstRow="0" w:lastRow="0" w:firstColumn="0" w:lastColumn="0" w:oddVBand="0" w:evenVBand="0" w:oddHBand="0" w:evenHBand="0" w:firstRowFirstColumn="0" w:firstRowLastColumn="0" w:lastRowFirstColumn="0" w:lastRowLastColumn="0"/>
            </w:pPr>
            <w:r>
              <w:t>5 313</w:t>
            </w:r>
          </w:p>
        </w:tc>
      </w:tr>
      <w:tr w:rsidR="008E5233" w14:paraId="11D402C9" w14:textId="77777777" w:rsidTr="008E5233">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tcBorders>
          </w:tcPr>
          <w:p w14:paraId="20CCDB62" w14:textId="77777777" w:rsidR="008E5233" w:rsidRDefault="005648A9">
            <w:r>
              <w:t>Loans from TCV</w:t>
            </w:r>
          </w:p>
        </w:tc>
        <w:tc>
          <w:tcPr>
            <w:tcW w:w="1644" w:type="dxa"/>
            <w:tcBorders>
              <w:bottom w:val="single" w:sz="12" w:space="0" w:color="auto"/>
            </w:tcBorders>
          </w:tcPr>
          <w:p w14:paraId="6E08FD3D"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12" w:space="0" w:color="auto"/>
            </w:tcBorders>
          </w:tcPr>
          <w:p w14:paraId="69E807AA" w14:textId="77777777" w:rsidR="008E5233" w:rsidRDefault="005648A9">
            <w:pPr>
              <w:cnfStyle w:val="000000000000" w:firstRow="0" w:lastRow="0" w:firstColumn="0" w:lastColumn="0" w:oddVBand="0" w:evenVBand="0" w:oddHBand="0" w:evenHBand="0" w:firstRowFirstColumn="0" w:firstRowLastColumn="0" w:lastRowFirstColumn="0" w:lastRowLastColumn="0"/>
            </w:pPr>
            <w:r>
              <w:t>48 696</w:t>
            </w:r>
          </w:p>
        </w:tc>
        <w:tc>
          <w:tcPr>
            <w:tcW w:w="1134" w:type="dxa"/>
            <w:tcBorders>
              <w:bottom w:val="single" w:sz="12" w:space="0" w:color="auto"/>
            </w:tcBorders>
          </w:tcPr>
          <w:p w14:paraId="057B045D" w14:textId="77777777" w:rsidR="008E5233" w:rsidRDefault="005648A9">
            <w:pPr>
              <w:cnfStyle w:val="000000000000" w:firstRow="0" w:lastRow="0" w:firstColumn="0" w:lastColumn="0" w:oddVBand="0" w:evenVBand="0" w:oddHBand="0" w:evenHBand="0" w:firstRowFirstColumn="0" w:firstRowLastColumn="0" w:lastRowFirstColumn="0" w:lastRowLastColumn="0"/>
            </w:pPr>
            <w:r>
              <w:t>48 696</w:t>
            </w:r>
          </w:p>
        </w:tc>
        <w:tc>
          <w:tcPr>
            <w:tcW w:w="1190" w:type="dxa"/>
            <w:tcBorders>
              <w:bottom w:val="single" w:sz="12" w:space="0" w:color="auto"/>
            </w:tcBorders>
          </w:tcPr>
          <w:p w14:paraId="5B63241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Borders>
              <w:bottom w:val="single" w:sz="12" w:space="0" w:color="auto"/>
            </w:tcBorders>
          </w:tcPr>
          <w:p w14:paraId="056BC0E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62544193" w14:textId="77777777" w:rsidTr="00182709">
        <w:tc>
          <w:tcPr>
            <w:cnfStyle w:val="001000000000" w:firstRow="0" w:lastRow="0" w:firstColumn="1" w:lastColumn="0" w:oddVBand="0" w:evenVBand="0" w:oddHBand="0" w:evenHBand="0" w:firstRowFirstColumn="0" w:firstRowLastColumn="0" w:lastRowFirstColumn="0" w:lastRowLastColumn="0"/>
            <w:tcW w:w="3686" w:type="dxa"/>
          </w:tcPr>
          <w:p w14:paraId="0D7B9A96" w14:textId="77777777" w:rsidR="008E5233" w:rsidRDefault="005648A9">
            <w:r>
              <w:rPr>
                <w:b/>
              </w:rPr>
              <w:t>Total financial liabilities</w:t>
            </w:r>
          </w:p>
        </w:tc>
        <w:tc>
          <w:tcPr>
            <w:tcW w:w="1644" w:type="dxa"/>
          </w:tcPr>
          <w:p w14:paraId="59E61D7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6C066308"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136 789</w:t>
            </w:r>
          </w:p>
        </w:tc>
        <w:tc>
          <w:tcPr>
            <w:tcW w:w="1134" w:type="dxa"/>
          </w:tcPr>
          <w:p w14:paraId="4C12183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56 760</w:t>
            </w:r>
          </w:p>
        </w:tc>
        <w:tc>
          <w:tcPr>
            <w:tcW w:w="1190" w:type="dxa"/>
          </w:tcPr>
          <w:p w14:paraId="6D3744C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c>
          <w:tcPr>
            <w:tcW w:w="1078" w:type="dxa"/>
          </w:tcPr>
          <w:p w14:paraId="7C556CF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21 529</w:t>
            </w:r>
          </w:p>
        </w:tc>
      </w:tr>
    </w:tbl>
    <w:p w14:paraId="6AB5D5F4" w14:textId="77777777" w:rsidR="003719CD" w:rsidRDefault="003719CD" w:rsidP="00DC39DE"/>
    <w:p w14:paraId="5CDDE28E"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3696"/>
        <w:gridCol w:w="1634"/>
        <w:gridCol w:w="913"/>
        <w:gridCol w:w="1134"/>
        <w:gridCol w:w="1184"/>
        <w:gridCol w:w="1078"/>
      </w:tblGrid>
      <w:tr w:rsidR="008E5233" w14:paraId="135968D7"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96" w:type="dxa"/>
          </w:tcPr>
          <w:p w14:paraId="4B76A22F" w14:textId="061BCBCC" w:rsidR="008E5233" w:rsidRDefault="008E5A9E">
            <w:pPr>
              <w:keepNext/>
            </w:pPr>
            <w:fldSimple w:instr="DOCPROPERTY  YearPrevious  \* MERGEFORMAT">
              <w:r>
                <w:rPr>
                  <w:lang w:val="en-US"/>
                </w:rPr>
                <w:t>20X1</w:t>
              </w:r>
            </w:fldSimple>
          </w:p>
        </w:tc>
        <w:tc>
          <w:tcPr>
            <w:tcW w:w="1634" w:type="dxa"/>
          </w:tcPr>
          <w:p w14:paraId="2138BE04"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Weighted average interest rate (%)</w:t>
            </w:r>
          </w:p>
        </w:tc>
        <w:tc>
          <w:tcPr>
            <w:tcW w:w="913" w:type="dxa"/>
          </w:tcPr>
          <w:p w14:paraId="18DE6A3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Carrying amount</w:t>
            </w:r>
          </w:p>
        </w:tc>
        <w:tc>
          <w:tcPr>
            <w:tcW w:w="1134" w:type="dxa"/>
          </w:tcPr>
          <w:p w14:paraId="279E3DEA"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Fixed interest rate</w:t>
            </w:r>
          </w:p>
        </w:tc>
        <w:tc>
          <w:tcPr>
            <w:tcW w:w="1184" w:type="dxa"/>
          </w:tcPr>
          <w:p w14:paraId="7CBA03BC"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Variable interest rate</w:t>
            </w:r>
          </w:p>
        </w:tc>
        <w:tc>
          <w:tcPr>
            <w:tcW w:w="1078" w:type="dxa"/>
          </w:tcPr>
          <w:p w14:paraId="072E3950" w14:textId="77777777" w:rsidR="008E5233" w:rsidRDefault="005648A9">
            <w:pPr>
              <w:keepNext/>
              <w:cnfStyle w:val="100000000000" w:firstRow="1" w:lastRow="0" w:firstColumn="0" w:lastColumn="0" w:oddVBand="0" w:evenVBand="0" w:oddHBand="0" w:evenHBand="0" w:firstRowFirstColumn="0" w:firstRowLastColumn="0" w:lastRowFirstColumn="0" w:lastRowLastColumn="0"/>
            </w:pPr>
            <w:r>
              <w:t>Non‑interest bearing</w:t>
            </w:r>
          </w:p>
        </w:tc>
      </w:tr>
      <w:tr w:rsidR="008E5233" w14:paraId="4C529029" w14:textId="77777777">
        <w:tc>
          <w:tcPr>
            <w:cnfStyle w:val="001000000000" w:firstRow="0" w:lastRow="0" w:firstColumn="1" w:lastColumn="0" w:oddVBand="0" w:evenVBand="0" w:oddHBand="0" w:evenHBand="0" w:firstRowFirstColumn="0" w:firstRowLastColumn="0" w:lastRowFirstColumn="0" w:lastRowLastColumn="0"/>
            <w:tcW w:w="3696" w:type="dxa"/>
          </w:tcPr>
          <w:p w14:paraId="6817AB1D" w14:textId="77777777" w:rsidR="008E5233" w:rsidRDefault="005648A9">
            <w:r>
              <w:rPr>
                <w:b/>
              </w:rPr>
              <w:t>Financial assets</w:t>
            </w:r>
          </w:p>
        </w:tc>
        <w:tc>
          <w:tcPr>
            <w:tcW w:w="1634" w:type="dxa"/>
          </w:tcPr>
          <w:p w14:paraId="6F0C5B6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81BD03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6E0FBE9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6D0FCDA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25119A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28D46019" w14:textId="77777777">
        <w:tc>
          <w:tcPr>
            <w:cnfStyle w:val="001000000000" w:firstRow="0" w:lastRow="0" w:firstColumn="1" w:lastColumn="0" w:oddVBand="0" w:evenVBand="0" w:oddHBand="0" w:evenHBand="0" w:firstRowFirstColumn="0" w:firstRowLastColumn="0" w:lastRowFirstColumn="0" w:lastRowLastColumn="0"/>
            <w:tcW w:w="3696" w:type="dxa"/>
          </w:tcPr>
          <w:p w14:paraId="167142F9" w14:textId="77777777" w:rsidR="008E5233" w:rsidRDefault="005648A9">
            <w:r>
              <w:t>Cash and deposits</w:t>
            </w:r>
          </w:p>
        </w:tc>
        <w:tc>
          <w:tcPr>
            <w:tcW w:w="1634" w:type="dxa"/>
          </w:tcPr>
          <w:p w14:paraId="12230847"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650139A6" w14:textId="6F8F1D60" w:rsidR="008E5233" w:rsidRDefault="005648A9">
            <w:pPr>
              <w:cnfStyle w:val="000000000000" w:firstRow="0" w:lastRow="0" w:firstColumn="0" w:lastColumn="0" w:oddVBand="0" w:evenVBand="0" w:oddHBand="0" w:evenHBand="0" w:firstRowFirstColumn="0" w:firstRowLastColumn="0" w:lastRowFirstColumn="0" w:lastRowLastColumn="0"/>
            </w:pPr>
            <w:r>
              <w:t>6</w:t>
            </w:r>
            <w:r w:rsidR="00112A46">
              <w:t>6</w:t>
            </w:r>
            <w:r>
              <w:t xml:space="preserve"> </w:t>
            </w:r>
            <w:r w:rsidR="00112A46">
              <w:t>443</w:t>
            </w:r>
          </w:p>
        </w:tc>
        <w:tc>
          <w:tcPr>
            <w:tcW w:w="1134" w:type="dxa"/>
          </w:tcPr>
          <w:p w14:paraId="7B0D756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4E5F2540" w14:textId="6592E2FF" w:rsidR="008E5233" w:rsidRDefault="005648A9">
            <w:pPr>
              <w:cnfStyle w:val="000000000000" w:firstRow="0" w:lastRow="0" w:firstColumn="0" w:lastColumn="0" w:oddVBand="0" w:evenVBand="0" w:oddHBand="0" w:evenHBand="0" w:firstRowFirstColumn="0" w:firstRowLastColumn="0" w:lastRowFirstColumn="0" w:lastRowLastColumn="0"/>
            </w:pPr>
            <w:r>
              <w:t>6</w:t>
            </w:r>
            <w:r w:rsidR="00112A46">
              <w:t>6</w:t>
            </w:r>
            <w:r>
              <w:t xml:space="preserve"> </w:t>
            </w:r>
            <w:r w:rsidR="00112A46">
              <w:t>443</w:t>
            </w:r>
          </w:p>
        </w:tc>
        <w:tc>
          <w:tcPr>
            <w:tcW w:w="1078" w:type="dxa"/>
          </w:tcPr>
          <w:p w14:paraId="3324E0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4310020" w14:textId="77777777">
        <w:tc>
          <w:tcPr>
            <w:cnfStyle w:val="001000000000" w:firstRow="0" w:lastRow="0" w:firstColumn="1" w:lastColumn="0" w:oddVBand="0" w:evenVBand="0" w:oddHBand="0" w:evenHBand="0" w:firstRowFirstColumn="0" w:firstRowLastColumn="0" w:lastRowFirstColumn="0" w:lastRowLastColumn="0"/>
            <w:tcW w:w="3696" w:type="dxa"/>
          </w:tcPr>
          <w:p w14:paraId="76776DAE" w14:textId="77777777" w:rsidR="008E5233" w:rsidRDefault="005648A9">
            <w:r>
              <w:t>Receivables</w:t>
            </w:r>
            <w:r>
              <w:rPr>
                <w:vertAlign w:val="superscript"/>
              </w:rPr>
              <w:t xml:space="preserve"> (a)</w:t>
            </w:r>
          </w:p>
        </w:tc>
        <w:tc>
          <w:tcPr>
            <w:tcW w:w="1634" w:type="dxa"/>
          </w:tcPr>
          <w:p w14:paraId="5EB79AC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4BAAE9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8C7F9C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3AC6CA0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7741038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10D5CA03" w14:textId="77777777">
        <w:tc>
          <w:tcPr>
            <w:cnfStyle w:val="001000000000" w:firstRow="0" w:lastRow="0" w:firstColumn="1" w:lastColumn="0" w:oddVBand="0" w:evenVBand="0" w:oddHBand="0" w:evenHBand="0" w:firstRowFirstColumn="0" w:firstRowLastColumn="0" w:lastRowFirstColumn="0" w:lastRowLastColumn="0"/>
            <w:tcW w:w="3696" w:type="dxa"/>
          </w:tcPr>
          <w:p w14:paraId="36DE9A60" w14:textId="77777777" w:rsidR="008E5233" w:rsidRDefault="005648A9">
            <w:r>
              <w:t>Finance lease receivables</w:t>
            </w:r>
          </w:p>
        </w:tc>
        <w:tc>
          <w:tcPr>
            <w:tcW w:w="1634" w:type="dxa"/>
          </w:tcPr>
          <w:p w14:paraId="14D52B0C"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50E11A7D" w14:textId="77777777" w:rsidR="008E5233" w:rsidRDefault="005648A9">
            <w:pPr>
              <w:cnfStyle w:val="000000000000" w:firstRow="0" w:lastRow="0" w:firstColumn="0" w:lastColumn="0" w:oddVBand="0" w:evenVBand="0" w:oddHBand="0" w:evenHBand="0" w:firstRowFirstColumn="0" w:firstRowLastColumn="0" w:lastRowFirstColumn="0" w:lastRowLastColumn="0"/>
            </w:pPr>
            <w:r>
              <w:t>1 231</w:t>
            </w:r>
          </w:p>
        </w:tc>
        <w:tc>
          <w:tcPr>
            <w:tcW w:w="1134" w:type="dxa"/>
          </w:tcPr>
          <w:p w14:paraId="66C210EA" w14:textId="77777777" w:rsidR="008E5233" w:rsidRDefault="005648A9">
            <w:pPr>
              <w:cnfStyle w:val="000000000000" w:firstRow="0" w:lastRow="0" w:firstColumn="0" w:lastColumn="0" w:oddVBand="0" w:evenVBand="0" w:oddHBand="0" w:evenHBand="0" w:firstRowFirstColumn="0" w:firstRowLastColumn="0" w:lastRowFirstColumn="0" w:lastRowLastColumn="0"/>
            </w:pPr>
            <w:r>
              <w:t>1 231</w:t>
            </w:r>
          </w:p>
        </w:tc>
        <w:tc>
          <w:tcPr>
            <w:tcW w:w="1184" w:type="dxa"/>
          </w:tcPr>
          <w:p w14:paraId="3E0FC33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DC1DA0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90E9E08" w14:textId="77777777">
        <w:tc>
          <w:tcPr>
            <w:cnfStyle w:val="001000000000" w:firstRow="0" w:lastRow="0" w:firstColumn="1" w:lastColumn="0" w:oddVBand="0" w:evenVBand="0" w:oddHBand="0" w:evenHBand="0" w:firstRowFirstColumn="0" w:firstRowLastColumn="0" w:lastRowFirstColumn="0" w:lastRowLastColumn="0"/>
            <w:tcW w:w="3696" w:type="dxa"/>
          </w:tcPr>
          <w:p w14:paraId="74B3809F" w14:textId="77777777" w:rsidR="008E5233" w:rsidRDefault="005648A9">
            <w:r>
              <w:t>Sale of goods and services</w:t>
            </w:r>
          </w:p>
        </w:tc>
        <w:tc>
          <w:tcPr>
            <w:tcW w:w="1634" w:type="dxa"/>
          </w:tcPr>
          <w:p w14:paraId="255A420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12A4FB50" w14:textId="77777777" w:rsidR="008E5233" w:rsidRDefault="005648A9">
            <w:pPr>
              <w:cnfStyle w:val="000000000000" w:firstRow="0" w:lastRow="0" w:firstColumn="0" w:lastColumn="0" w:oddVBand="0" w:evenVBand="0" w:oddHBand="0" w:evenHBand="0" w:firstRowFirstColumn="0" w:firstRowLastColumn="0" w:lastRowFirstColumn="0" w:lastRowLastColumn="0"/>
            </w:pPr>
            <w:r>
              <w:t>965</w:t>
            </w:r>
          </w:p>
        </w:tc>
        <w:tc>
          <w:tcPr>
            <w:tcW w:w="1134" w:type="dxa"/>
          </w:tcPr>
          <w:p w14:paraId="5E49F8F0"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6DFF6F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69122B28" w14:textId="77777777" w:rsidR="008E5233" w:rsidRDefault="005648A9">
            <w:pPr>
              <w:cnfStyle w:val="000000000000" w:firstRow="0" w:lastRow="0" w:firstColumn="0" w:lastColumn="0" w:oddVBand="0" w:evenVBand="0" w:oddHBand="0" w:evenHBand="0" w:firstRowFirstColumn="0" w:firstRowLastColumn="0" w:lastRowFirstColumn="0" w:lastRowLastColumn="0"/>
            </w:pPr>
            <w:r>
              <w:t>965</w:t>
            </w:r>
          </w:p>
        </w:tc>
      </w:tr>
      <w:tr w:rsidR="008E5233" w14:paraId="7021DC39" w14:textId="77777777">
        <w:tc>
          <w:tcPr>
            <w:cnfStyle w:val="001000000000" w:firstRow="0" w:lastRow="0" w:firstColumn="1" w:lastColumn="0" w:oddVBand="0" w:evenVBand="0" w:oddHBand="0" w:evenHBand="0" w:firstRowFirstColumn="0" w:firstRowLastColumn="0" w:lastRowFirstColumn="0" w:lastRowLastColumn="0"/>
            <w:tcW w:w="3696" w:type="dxa"/>
          </w:tcPr>
          <w:p w14:paraId="40D18674" w14:textId="77777777" w:rsidR="008E5233" w:rsidRDefault="005648A9">
            <w:r>
              <w:t>Loans to third parties</w:t>
            </w:r>
          </w:p>
        </w:tc>
        <w:tc>
          <w:tcPr>
            <w:tcW w:w="1634" w:type="dxa"/>
          </w:tcPr>
          <w:p w14:paraId="411FD93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DDC30D2" w14:textId="77777777" w:rsidR="008E5233" w:rsidRDefault="005648A9">
            <w:pPr>
              <w:cnfStyle w:val="000000000000" w:firstRow="0" w:lastRow="0" w:firstColumn="0" w:lastColumn="0" w:oddVBand="0" w:evenVBand="0" w:oddHBand="0" w:evenHBand="0" w:firstRowFirstColumn="0" w:firstRowLastColumn="0" w:lastRowFirstColumn="0" w:lastRowLastColumn="0"/>
            </w:pPr>
            <w:r>
              <w:t>485</w:t>
            </w:r>
          </w:p>
        </w:tc>
        <w:tc>
          <w:tcPr>
            <w:tcW w:w="1134" w:type="dxa"/>
          </w:tcPr>
          <w:p w14:paraId="0349EA7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45B3B82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1AACBED6" w14:textId="77777777" w:rsidR="008E5233" w:rsidRDefault="005648A9">
            <w:pPr>
              <w:cnfStyle w:val="000000000000" w:firstRow="0" w:lastRow="0" w:firstColumn="0" w:lastColumn="0" w:oddVBand="0" w:evenVBand="0" w:oddHBand="0" w:evenHBand="0" w:firstRowFirstColumn="0" w:firstRowLastColumn="0" w:lastRowFirstColumn="0" w:lastRowLastColumn="0"/>
            </w:pPr>
            <w:r>
              <w:t>485</w:t>
            </w:r>
          </w:p>
        </w:tc>
      </w:tr>
      <w:tr w:rsidR="008E5233" w14:paraId="53FF2357" w14:textId="77777777">
        <w:tc>
          <w:tcPr>
            <w:cnfStyle w:val="001000000000" w:firstRow="0" w:lastRow="0" w:firstColumn="1" w:lastColumn="0" w:oddVBand="0" w:evenVBand="0" w:oddHBand="0" w:evenHBand="0" w:firstRowFirstColumn="0" w:firstRowLastColumn="0" w:lastRowFirstColumn="0" w:lastRowLastColumn="0"/>
            <w:tcW w:w="3696" w:type="dxa"/>
          </w:tcPr>
          <w:p w14:paraId="5E0A77A8" w14:textId="77777777" w:rsidR="008E5233" w:rsidRDefault="005648A9">
            <w:r>
              <w:t>Accrued investment income</w:t>
            </w:r>
          </w:p>
        </w:tc>
        <w:tc>
          <w:tcPr>
            <w:tcW w:w="1634" w:type="dxa"/>
          </w:tcPr>
          <w:p w14:paraId="529D591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96FF197"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1 058</w:t>
            </w:r>
          </w:p>
        </w:tc>
        <w:tc>
          <w:tcPr>
            <w:tcW w:w="1134" w:type="dxa"/>
          </w:tcPr>
          <w:p w14:paraId="5694221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0BEBDB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725F7B03" w14:textId="77777777" w:rsidR="008E5233" w:rsidRDefault="005648A9">
            <w:pPr>
              <w:cnfStyle w:val="000000000000" w:firstRow="0" w:lastRow="0" w:firstColumn="0" w:lastColumn="0" w:oddVBand="0" w:evenVBand="0" w:oddHBand="0" w:evenHBand="0" w:firstRowFirstColumn="0" w:firstRowLastColumn="0" w:lastRowFirstColumn="0" w:lastRowLastColumn="0"/>
            </w:pPr>
            <w:r>
              <w:t>1 058</w:t>
            </w:r>
          </w:p>
        </w:tc>
      </w:tr>
      <w:tr w:rsidR="008E5233" w14:paraId="37E357A3" w14:textId="77777777">
        <w:tc>
          <w:tcPr>
            <w:cnfStyle w:val="001000000000" w:firstRow="0" w:lastRow="0" w:firstColumn="1" w:lastColumn="0" w:oddVBand="0" w:evenVBand="0" w:oddHBand="0" w:evenHBand="0" w:firstRowFirstColumn="0" w:firstRowLastColumn="0" w:lastRowFirstColumn="0" w:lastRowLastColumn="0"/>
            <w:tcW w:w="3696" w:type="dxa"/>
          </w:tcPr>
          <w:p w14:paraId="7DFBA72E" w14:textId="77777777" w:rsidR="008E5233" w:rsidRDefault="005648A9">
            <w:r>
              <w:t>Other receivables</w:t>
            </w:r>
          </w:p>
        </w:tc>
        <w:tc>
          <w:tcPr>
            <w:tcW w:w="1634" w:type="dxa"/>
          </w:tcPr>
          <w:p w14:paraId="3A49831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1374BCC" w14:textId="77777777" w:rsidR="008E5233" w:rsidRDefault="005648A9">
            <w:pPr>
              <w:cnfStyle w:val="000000000000" w:firstRow="0" w:lastRow="0" w:firstColumn="0" w:lastColumn="0" w:oddVBand="0" w:evenVBand="0" w:oddHBand="0" w:evenHBand="0" w:firstRowFirstColumn="0" w:firstRowLastColumn="0" w:lastRowFirstColumn="0" w:lastRowLastColumn="0"/>
            </w:pPr>
            <w:r>
              <w:t>438</w:t>
            </w:r>
          </w:p>
        </w:tc>
        <w:tc>
          <w:tcPr>
            <w:tcW w:w="1134" w:type="dxa"/>
          </w:tcPr>
          <w:p w14:paraId="3163924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3F0487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41A16A4" w14:textId="77777777" w:rsidR="008E5233" w:rsidRDefault="005648A9">
            <w:pPr>
              <w:cnfStyle w:val="000000000000" w:firstRow="0" w:lastRow="0" w:firstColumn="0" w:lastColumn="0" w:oddVBand="0" w:evenVBand="0" w:oddHBand="0" w:evenHBand="0" w:firstRowFirstColumn="0" w:firstRowLastColumn="0" w:lastRowFirstColumn="0" w:lastRowLastColumn="0"/>
            </w:pPr>
            <w:r>
              <w:t>438</w:t>
            </w:r>
          </w:p>
        </w:tc>
      </w:tr>
      <w:tr w:rsidR="008E5233" w14:paraId="0E13AE7D" w14:textId="77777777">
        <w:tc>
          <w:tcPr>
            <w:cnfStyle w:val="001000000000" w:firstRow="0" w:lastRow="0" w:firstColumn="1" w:lastColumn="0" w:oddVBand="0" w:evenVBand="0" w:oddHBand="0" w:evenHBand="0" w:firstRowFirstColumn="0" w:firstRowLastColumn="0" w:lastRowFirstColumn="0" w:lastRowLastColumn="0"/>
            <w:tcW w:w="3696" w:type="dxa"/>
          </w:tcPr>
          <w:p w14:paraId="27A5DBB0" w14:textId="77777777" w:rsidR="008E5233" w:rsidRDefault="005648A9">
            <w:r>
              <w:t>Investments and other contractual financial assets</w:t>
            </w:r>
          </w:p>
        </w:tc>
        <w:tc>
          <w:tcPr>
            <w:tcW w:w="1634" w:type="dxa"/>
          </w:tcPr>
          <w:p w14:paraId="20E9AFC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0083729"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1638F4A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20DFBC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0D804CE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510B8887" w14:textId="77777777">
        <w:tc>
          <w:tcPr>
            <w:cnfStyle w:val="001000000000" w:firstRow="0" w:lastRow="0" w:firstColumn="1" w:lastColumn="0" w:oddVBand="0" w:evenVBand="0" w:oddHBand="0" w:evenHBand="0" w:firstRowFirstColumn="0" w:firstRowLastColumn="0" w:lastRowFirstColumn="0" w:lastRowLastColumn="0"/>
            <w:tcW w:w="3696" w:type="dxa"/>
          </w:tcPr>
          <w:p w14:paraId="2419A018" w14:textId="77777777" w:rsidR="008E5233" w:rsidRDefault="005648A9">
            <w:r>
              <w:t>Equities and managed investment schemes</w:t>
            </w:r>
          </w:p>
        </w:tc>
        <w:tc>
          <w:tcPr>
            <w:tcW w:w="1634" w:type="dxa"/>
          </w:tcPr>
          <w:p w14:paraId="061F726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F752119" w14:textId="77777777" w:rsidR="008E5233" w:rsidRDefault="005648A9">
            <w:pPr>
              <w:cnfStyle w:val="000000000000" w:firstRow="0" w:lastRow="0" w:firstColumn="0" w:lastColumn="0" w:oddVBand="0" w:evenVBand="0" w:oddHBand="0" w:evenHBand="0" w:firstRowFirstColumn="0" w:firstRowLastColumn="0" w:lastRowFirstColumn="0" w:lastRowLastColumn="0"/>
            </w:pPr>
            <w:r>
              <w:t>4 179</w:t>
            </w:r>
          </w:p>
        </w:tc>
        <w:tc>
          <w:tcPr>
            <w:tcW w:w="1134" w:type="dxa"/>
          </w:tcPr>
          <w:p w14:paraId="4B83BF0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1845696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39E99525" w14:textId="77777777" w:rsidR="008E5233" w:rsidRDefault="005648A9">
            <w:pPr>
              <w:cnfStyle w:val="000000000000" w:firstRow="0" w:lastRow="0" w:firstColumn="0" w:lastColumn="0" w:oddVBand="0" w:evenVBand="0" w:oddHBand="0" w:evenHBand="0" w:firstRowFirstColumn="0" w:firstRowLastColumn="0" w:lastRowFirstColumn="0" w:lastRowLastColumn="0"/>
            </w:pPr>
            <w:r>
              <w:t>4 179</w:t>
            </w:r>
          </w:p>
        </w:tc>
      </w:tr>
      <w:tr w:rsidR="008E5233" w14:paraId="0CC14D6A" w14:textId="77777777">
        <w:tc>
          <w:tcPr>
            <w:cnfStyle w:val="001000000000" w:firstRow="0" w:lastRow="0" w:firstColumn="1" w:lastColumn="0" w:oddVBand="0" w:evenVBand="0" w:oddHBand="0" w:evenHBand="0" w:firstRowFirstColumn="0" w:firstRowLastColumn="0" w:lastRowFirstColumn="0" w:lastRowLastColumn="0"/>
            <w:tcW w:w="3696" w:type="dxa"/>
          </w:tcPr>
          <w:p w14:paraId="428185F3" w14:textId="77777777" w:rsidR="008E5233" w:rsidRDefault="005648A9">
            <w:r>
              <w:t>Term deposits</w:t>
            </w:r>
          </w:p>
        </w:tc>
        <w:tc>
          <w:tcPr>
            <w:tcW w:w="1634" w:type="dxa"/>
          </w:tcPr>
          <w:p w14:paraId="7DFC8C1F" w14:textId="77777777" w:rsidR="008E5233" w:rsidRDefault="005648A9">
            <w:pPr>
              <w:cnfStyle w:val="000000000000" w:firstRow="0" w:lastRow="0" w:firstColumn="0" w:lastColumn="0" w:oddVBand="0" w:evenVBand="0" w:oddHBand="0" w:evenHBand="0" w:firstRowFirstColumn="0" w:firstRowLastColumn="0" w:lastRowFirstColumn="0" w:lastRowLastColumn="0"/>
            </w:pPr>
            <w:r>
              <w:t>4</w:t>
            </w:r>
          </w:p>
        </w:tc>
        <w:tc>
          <w:tcPr>
            <w:tcW w:w="913" w:type="dxa"/>
          </w:tcPr>
          <w:p w14:paraId="5C988117" w14:textId="77777777" w:rsidR="008E5233" w:rsidRDefault="005648A9">
            <w:pPr>
              <w:cnfStyle w:val="000000000000" w:firstRow="0" w:lastRow="0" w:firstColumn="0" w:lastColumn="0" w:oddVBand="0" w:evenVBand="0" w:oddHBand="0" w:evenHBand="0" w:firstRowFirstColumn="0" w:firstRowLastColumn="0" w:lastRowFirstColumn="0" w:lastRowLastColumn="0"/>
            </w:pPr>
            <w:r>
              <w:t>5 130</w:t>
            </w:r>
          </w:p>
        </w:tc>
        <w:tc>
          <w:tcPr>
            <w:tcW w:w="1134" w:type="dxa"/>
          </w:tcPr>
          <w:p w14:paraId="619D24B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6495BC98" w14:textId="77777777" w:rsidR="008E5233" w:rsidRDefault="005648A9">
            <w:pPr>
              <w:cnfStyle w:val="000000000000" w:firstRow="0" w:lastRow="0" w:firstColumn="0" w:lastColumn="0" w:oddVBand="0" w:evenVBand="0" w:oddHBand="0" w:evenHBand="0" w:firstRowFirstColumn="0" w:firstRowLastColumn="0" w:lastRowFirstColumn="0" w:lastRowLastColumn="0"/>
            </w:pPr>
            <w:r>
              <w:t>5 130</w:t>
            </w:r>
          </w:p>
        </w:tc>
        <w:tc>
          <w:tcPr>
            <w:tcW w:w="1078" w:type="dxa"/>
          </w:tcPr>
          <w:p w14:paraId="5F70FDB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251C78B7"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bottom w:val="single" w:sz="12" w:space="0" w:color="auto"/>
            </w:tcBorders>
          </w:tcPr>
          <w:p w14:paraId="6EC39460" w14:textId="77777777" w:rsidR="008E5233" w:rsidRDefault="005648A9">
            <w:r>
              <w:t>Debt securities</w:t>
            </w:r>
          </w:p>
        </w:tc>
        <w:tc>
          <w:tcPr>
            <w:tcW w:w="1634" w:type="dxa"/>
            <w:tcBorders>
              <w:bottom w:val="single" w:sz="12" w:space="0" w:color="auto"/>
            </w:tcBorders>
          </w:tcPr>
          <w:p w14:paraId="602021E8"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Borders>
              <w:bottom w:val="single" w:sz="12" w:space="0" w:color="auto"/>
            </w:tcBorders>
          </w:tcPr>
          <w:p w14:paraId="4BC1A503" w14:textId="77777777" w:rsidR="008E5233" w:rsidRDefault="005648A9">
            <w:pPr>
              <w:cnfStyle w:val="000000000000" w:firstRow="0" w:lastRow="0" w:firstColumn="0" w:lastColumn="0" w:oddVBand="0" w:evenVBand="0" w:oddHBand="0" w:evenHBand="0" w:firstRowFirstColumn="0" w:firstRowLastColumn="0" w:lastRowFirstColumn="0" w:lastRowLastColumn="0"/>
            </w:pPr>
            <w:r>
              <w:t>7 422</w:t>
            </w:r>
          </w:p>
        </w:tc>
        <w:tc>
          <w:tcPr>
            <w:tcW w:w="1134" w:type="dxa"/>
            <w:tcBorders>
              <w:bottom w:val="single" w:sz="12" w:space="0" w:color="auto"/>
            </w:tcBorders>
          </w:tcPr>
          <w:p w14:paraId="5EE434DC" w14:textId="77777777" w:rsidR="008E5233" w:rsidRDefault="005648A9">
            <w:pPr>
              <w:cnfStyle w:val="000000000000" w:firstRow="0" w:lastRow="0" w:firstColumn="0" w:lastColumn="0" w:oddVBand="0" w:evenVBand="0" w:oddHBand="0" w:evenHBand="0" w:firstRowFirstColumn="0" w:firstRowLastColumn="0" w:lastRowFirstColumn="0" w:lastRowLastColumn="0"/>
            </w:pPr>
            <w:r>
              <w:t>5 013</w:t>
            </w:r>
          </w:p>
        </w:tc>
        <w:tc>
          <w:tcPr>
            <w:tcW w:w="1184" w:type="dxa"/>
            <w:tcBorders>
              <w:bottom w:val="single" w:sz="12" w:space="0" w:color="auto"/>
            </w:tcBorders>
          </w:tcPr>
          <w:p w14:paraId="73CCD4C7" w14:textId="77777777" w:rsidR="008E5233" w:rsidRDefault="005648A9">
            <w:pPr>
              <w:cnfStyle w:val="000000000000" w:firstRow="0" w:lastRow="0" w:firstColumn="0" w:lastColumn="0" w:oddVBand="0" w:evenVBand="0" w:oddHBand="0" w:evenHBand="0" w:firstRowFirstColumn="0" w:firstRowLastColumn="0" w:lastRowFirstColumn="0" w:lastRowLastColumn="0"/>
            </w:pPr>
            <w:r>
              <w:t>2 409</w:t>
            </w:r>
          </w:p>
        </w:tc>
        <w:tc>
          <w:tcPr>
            <w:tcW w:w="1078" w:type="dxa"/>
            <w:tcBorders>
              <w:bottom w:val="single" w:sz="12" w:space="0" w:color="auto"/>
            </w:tcBorders>
          </w:tcPr>
          <w:p w14:paraId="140BD5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0EDDF913" w14:textId="77777777" w:rsidTr="008E5233">
        <w:tc>
          <w:tcPr>
            <w:cnfStyle w:val="001000000000" w:firstRow="0" w:lastRow="0" w:firstColumn="1" w:lastColumn="0" w:oddVBand="0" w:evenVBand="0" w:oddHBand="0" w:evenHBand="0" w:firstRowFirstColumn="0" w:firstRowLastColumn="0" w:lastRowFirstColumn="0" w:lastRowLastColumn="0"/>
            <w:tcW w:w="3696" w:type="dxa"/>
          </w:tcPr>
          <w:p w14:paraId="504FD45A" w14:textId="77777777" w:rsidR="008E5233" w:rsidRDefault="005648A9">
            <w:r>
              <w:rPr>
                <w:b/>
              </w:rPr>
              <w:t>Total financial assets</w:t>
            </w:r>
          </w:p>
        </w:tc>
        <w:tc>
          <w:tcPr>
            <w:tcW w:w="1634" w:type="dxa"/>
          </w:tcPr>
          <w:p w14:paraId="219272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0A45A1CD" w14:textId="62B49F69" w:rsidR="008E5233" w:rsidRDefault="005648A9">
            <w:pPr>
              <w:cnfStyle w:val="000000000000" w:firstRow="0" w:lastRow="0" w:firstColumn="0" w:lastColumn="0" w:oddVBand="0" w:evenVBand="0" w:oddHBand="0" w:evenHBand="0" w:firstRowFirstColumn="0" w:firstRowLastColumn="0" w:lastRowFirstColumn="0" w:lastRowLastColumn="0"/>
            </w:pPr>
            <w:r>
              <w:rPr>
                <w:b/>
              </w:rPr>
              <w:t>8</w:t>
            </w:r>
            <w:r w:rsidR="00112A46">
              <w:rPr>
                <w:b/>
              </w:rPr>
              <w:t>7</w:t>
            </w:r>
            <w:r>
              <w:rPr>
                <w:b/>
              </w:rPr>
              <w:t xml:space="preserve"> </w:t>
            </w:r>
            <w:r w:rsidR="00112A46">
              <w:rPr>
                <w:b/>
              </w:rPr>
              <w:t>351</w:t>
            </w:r>
          </w:p>
        </w:tc>
        <w:tc>
          <w:tcPr>
            <w:tcW w:w="1134" w:type="dxa"/>
          </w:tcPr>
          <w:p w14:paraId="2C5CF83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6 244</w:t>
            </w:r>
          </w:p>
        </w:tc>
        <w:tc>
          <w:tcPr>
            <w:tcW w:w="1184" w:type="dxa"/>
          </w:tcPr>
          <w:p w14:paraId="05ABE992" w14:textId="46546280" w:rsidR="008E5233" w:rsidRDefault="005648A9">
            <w:pPr>
              <w:cnfStyle w:val="000000000000" w:firstRow="0" w:lastRow="0" w:firstColumn="0" w:lastColumn="0" w:oddVBand="0" w:evenVBand="0" w:oddHBand="0" w:evenHBand="0" w:firstRowFirstColumn="0" w:firstRowLastColumn="0" w:lastRowFirstColumn="0" w:lastRowLastColumn="0"/>
            </w:pPr>
            <w:r>
              <w:rPr>
                <w:b/>
              </w:rPr>
              <w:t xml:space="preserve">73 </w:t>
            </w:r>
            <w:r w:rsidR="00112A46">
              <w:rPr>
                <w:b/>
              </w:rPr>
              <w:t>98</w:t>
            </w:r>
            <w:r>
              <w:rPr>
                <w:b/>
              </w:rPr>
              <w:t>2</w:t>
            </w:r>
          </w:p>
        </w:tc>
        <w:tc>
          <w:tcPr>
            <w:tcW w:w="1078" w:type="dxa"/>
          </w:tcPr>
          <w:p w14:paraId="2F2C3C5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7 125</w:t>
            </w:r>
          </w:p>
        </w:tc>
      </w:tr>
      <w:tr w:rsidR="00671D55" w14:paraId="11A9C34B" w14:textId="77777777" w:rsidTr="008E5233">
        <w:tc>
          <w:tcPr>
            <w:cnfStyle w:val="001000000000" w:firstRow="0" w:lastRow="0" w:firstColumn="1" w:lastColumn="0" w:oddVBand="0" w:evenVBand="0" w:oddHBand="0" w:evenHBand="0" w:firstRowFirstColumn="0" w:firstRowLastColumn="0" w:lastRowFirstColumn="0" w:lastRowLastColumn="0"/>
            <w:tcW w:w="3696" w:type="dxa"/>
          </w:tcPr>
          <w:p w14:paraId="61F3E15C" w14:textId="77777777" w:rsidR="008E5233" w:rsidRDefault="005648A9">
            <w:r>
              <w:rPr>
                <w:b/>
              </w:rPr>
              <w:t>Financial liabilities</w:t>
            </w:r>
          </w:p>
        </w:tc>
        <w:tc>
          <w:tcPr>
            <w:tcW w:w="1634" w:type="dxa"/>
          </w:tcPr>
          <w:p w14:paraId="641962E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CF3577C"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5E7012A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0C886C02"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68A44C4F"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731BC5F1" w14:textId="77777777">
        <w:tc>
          <w:tcPr>
            <w:cnfStyle w:val="001000000000" w:firstRow="0" w:lastRow="0" w:firstColumn="1" w:lastColumn="0" w:oddVBand="0" w:evenVBand="0" w:oddHBand="0" w:evenHBand="0" w:firstRowFirstColumn="0" w:firstRowLastColumn="0" w:lastRowFirstColumn="0" w:lastRowLastColumn="0"/>
            <w:tcW w:w="3696" w:type="dxa"/>
          </w:tcPr>
          <w:p w14:paraId="4B292432" w14:textId="77777777" w:rsidR="008E5233" w:rsidRDefault="005648A9">
            <w:r>
              <w:t>Payables</w:t>
            </w:r>
            <w:r>
              <w:rPr>
                <w:vertAlign w:val="superscript"/>
              </w:rPr>
              <w:t xml:space="preserve"> (a)</w:t>
            </w:r>
          </w:p>
        </w:tc>
        <w:tc>
          <w:tcPr>
            <w:tcW w:w="1634" w:type="dxa"/>
          </w:tcPr>
          <w:p w14:paraId="045E643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3437587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4A4A8A5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8A986F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0AAB9264"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E786AD9" w14:textId="77777777">
        <w:tc>
          <w:tcPr>
            <w:cnfStyle w:val="001000000000" w:firstRow="0" w:lastRow="0" w:firstColumn="1" w:lastColumn="0" w:oddVBand="0" w:evenVBand="0" w:oddHBand="0" w:evenHBand="0" w:firstRowFirstColumn="0" w:firstRowLastColumn="0" w:lastRowFirstColumn="0" w:lastRowLastColumn="0"/>
            <w:tcW w:w="3696" w:type="dxa"/>
          </w:tcPr>
          <w:p w14:paraId="0B85908F" w14:textId="77777777" w:rsidR="008E5233" w:rsidRDefault="005648A9">
            <w:r>
              <w:t>Supplies and services</w:t>
            </w:r>
          </w:p>
        </w:tc>
        <w:tc>
          <w:tcPr>
            <w:tcW w:w="1634" w:type="dxa"/>
          </w:tcPr>
          <w:p w14:paraId="1E0787E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21F58D79" w14:textId="77777777" w:rsidR="008E5233" w:rsidRDefault="005648A9">
            <w:pPr>
              <w:cnfStyle w:val="000000000000" w:firstRow="0" w:lastRow="0" w:firstColumn="0" w:lastColumn="0" w:oddVBand="0" w:evenVBand="0" w:oddHBand="0" w:evenHBand="0" w:firstRowFirstColumn="0" w:firstRowLastColumn="0" w:lastRowFirstColumn="0" w:lastRowLastColumn="0"/>
            </w:pPr>
            <w:r>
              <w:t>3 387</w:t>
            </w:r>
          </w:p>
        </w:tc>
        <w:tc>
          <w:tcPr>
            <w:tcW w:w="1134" w:type="dxa"/>
          </w:tcPr>
          <w:p w14:paraId="64412BA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3334978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3A72664" w14:textId="77777777" w:rsidR="008E5233" w:rsidRDefault="005648A9">
            <w:pPr>
              <w:cnfStyle w:val="000000000000" w:firstRow="0" w:lastRow="0" w:firstColumn="0" w:lastColumn="0" w:oddVBand="0" w:evenVBand="0" w:oddHBand="0" w:evenHBand="0" w:firstRowFirstColumn="0" w:firstRowLastColumn="0" w:lastRowFirstColumn="0" w:lastRowLastColumn="0"/>
            </w:pPr>
            <w:r>
              <w:t>3 387</w:t>
            </w:r>
          </w:p>
        </w:tc>
      </w:tr>
      <w:tr w:rsidR="008E5233" w14:paraId="5F2A0BB4" w14:textId="77777777">
        <w:tc>
          <w:tcPr>
            <w:cnfStyle w:val="001000000000" w:firstRow="0" w:lastRow="0" w:firstColumn="1" w:lastColumn="0" w:oddVBand="0" w:evenVBand="0" w:oddHBand="0" w:evenHBand="0" w:firstRowFirstColumn="0" w:firstRowLastColumn="0" w:lastRowFirstColumn="0" w:lastRowLastColumn="0"/>
            <w:tcW w:w="3696" w:type="dxa"/>
          </w:tcPr>
          <w:p w14:paraId="2CA7DA3B" w14:textId="77777777" w:rsidR="008E5233" w:rsidRDefault="005648A9">
            <w:r>
              <w:t>Amounts payable to government and agencies</w:t>
            </w:r>
          </w:p>
        </w:tc>
        <w:tc>
          <w:tcPr>
            <w:tcW w:w="1634" w:type="dxa"/>
          </w:tcPr>
          <w:p w14:paraId="3E6BC347"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72F5D53" w14:textId="77777777" w:rsidR="008E5233" w:rsidRDefault="005648A9">
            <w:pPr>
              <w:cnfStyle w:val="000000000000" w:firstRow="0" w:lastRow="0" w:firstColumn="0" w:lastColumn="0" w:oddVBand="0" w:evenVBand="0" w:oddHBand="0" w:evenHBand="0" w:firstRowFirstColumn="0" w:firstRowLastColumn="0" w:lastRowFirstColumn="0" w:lastRowLastColumn="0"/>
            </w:pPr>
            <w:r>
              <w:t>1 796</w:t>
            </w:r>
          </w:p>
        </w:tc>
        <w:tc>
          <w:tcPr>
            <w:tcW w:w="1134" w:type="dxa"/>
          </w:tcPr>
          <w:p w14:paraId="7F1C0D8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723F956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C52CA5D" w14:textId="77777777" w:rsidR="008E5233" w:rsidRDefault="005648A9">
            <w:pPr>
              <w:cnfStyle w:val="000000000000" w:firstRow="0" w:lastRow="0" w:firstColumn="0" w:lastColumn="0" w:oddVBand="0" w:evenVBand="0" w:oddHBand="0" w:evenHBand="0" w:firstRowFirstColumn="0" w:firstRowLastColumn="0" w:lastRowFirstColumn="0" w:lastRowLastColumn="0"/>
            </w:pPr>
            <w:r>
              <w:t>1 796</w:t>
            </w:r>
          </w:p>
        </w:tc>
      </w:tr>
      <w:tr w:rsidR="008E5233" w14:paraId="3A6737A9" w14:textId="77777777">
        <w:tc>
          <w:tcPr>
            <w:cnfStyle w:val="001000000000" w:firstRow="0" w:lastRow="0" w:firstColumn="1" w:lastColumn="0" w:oddVBand="0" w:evenVBand="0" w:oddHBand="0" w:evenHBand="0" w:firstRowFirstColumn="0" w:firstRowLastColumn="0" w:lastRowFirstColumn="0" w:lastRowLastColumn="0"/>
            <w:tcW w:w="3696" w:type="dxa"/>
          </w:tcPr>
          <w:p w14:paraId="6B0FE1E3" w14:textId="77777777" w:rsidR="008E5233" w:rsidRDefault="005648A9">
            <w:r>
              <w:t>Other payables</w:t>
            </w:r>
          </w:p>
        </w:tc>
        <w:tc>
          <w:tcPr>
            <w:tcW w:w="1634" w:type="dxa"/>
          </w:tcPr>
          <w:p w14:paraId="5B59B81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1BF79F6D" w14:textId="77777777" w:rsidR="008E5233" w:rsidRDefault="005648A9">
            <w:pPr>
              <w:cnfStyle w:val="000000000000" w:firstRow="0" w:lastRow="0" w:firstColumn="0" w:lastColumn="0" w:oddVBand="0" w:evenVBand="0" w:oddHBand="0" w:evenHBand="0" w:firstRowFirstColumn="0" w:firstRowLastColumn="0" w:lastRowFirstColumn="0" w:lastRowLastColumn="0"/>
            </w:pPr>
            <w:r>
              <w:t>8 925</w:t>
            </w:r>
          </w:p>
        </w:tc>
        <w:tc>
          <w:tcPr>
            <w:tcW w:w="1134" w:type="dxa"/>
          </w:tcPr>
          <w:p w14:paraId="05ABC90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2A4AEBE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1747D947" w14:textId="77777777" w:rsidR="008E5233" w:rsidRDefault="005648A9">
            <w:pPr>
              <w:cnfStyle w:val="000000000000" w:firstRow="0" w:lastRow="0" w:firstColumn="0" w:lastColumn="0" w:oddVBand="0" w:evenVBand="0" w:oddHBand="0" w:evenHBand="0" w:firstRowFirstColumn="0" w:firstRowLastColumn="0" w:lastRowFirstColumn="0" w:lastRowLastColumn="0"/>
            </w:pPr>
            <w:r>
              <w:t>8 925</w:t>
            </w:r>
          </w:p>
        </w:tc>
      </w:tr>
      <w:tr w:rsidR="008E5233" w14:paraId="3BDEC661" w14:textId="77777777">
        <w:tc>
          <w:tcPr>
            <w:cnfStyle w:val="001000000000" w:firstRow="0" w:lastRow="0" w:firstColumn="1" w:lastColumn="0" w:oddVBand="0" w:evenVBand="0" w:oddHBand="0" w:evenHBand="0" w:firstRowFirstColumn="0" w:firstRowLastColumn="0" w:lastRowFirstColumn="0" w:lastRowLastColumn="0"/>
            <w:tcW w:w="3696" w:type="dxa"/>
          </w:tcPr>
          <w:p w14:paraId="24CF1115" w14:textId="77777777" w:rsidR="008E5233" w:rsidRDefault="005648A9">
            <w:r>
              <w:rPr>
                <w:b/>
              </w:rPr>
              <w:t>Borrowings</w:t>
            </w:r>
          </w:p>
        </w:tc>
        <w:tc>
          <w:tcPr>
            <w:tcW w:w="1634" w:type="dxa"/>
          </w:tcPr>
          <w:p w14:paraId="36CF1F6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42F59FC5"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34" w:type="dxa"/>
          </w:tcPr>
          <w:p w14:paraId="63FF161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4C0056AA"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078" w:type="dxa"/>
          </w:tcPr>
          <w:p w14:paraId="44098276"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440DC939" w14:textId="77777777">
        <w:tc>
          <w:tcPr>
            <w:cnfStyle w:val="001000000000" w:firstRow="0" w:lastRow="0" w:firstColumn="1" w:lastColumn="0" w:oddVBand="0" w:evenVBand="0" w:oddHBand="0" w:evenHBand="0" w:firstRowFirstColumn="0" w:firstRowLastColumn="0" w:lastRowFirstColumn="0" w:lastRowLastColumn="0"/>
            <w:tcW w:w="3696" w:type="dxa"/>
          </w:tcPr>
          <w:p w14:paraId="6C6D4516" w14:textId="77777777" w:rsidR="008E5233" w:rsidRDefault="005648A9">
            <w:r>
              <w:t>Bank overdraft</w:t>
            </w:r>
          </w:p>
        </w:tc>
        <w:tc>
          <w:tcPr>
            <w:tcW w:w="1634" w:type="dxa"/>
          </w:tcPr>
          <w:p w14:paraId="370052A1" w14:textId="77777777" w:rsidR="008E5233" w:rsidRDefault="005648A9">
            <w:pPr>
              <w:cnfStyle w:val="000000000000" w:firstRow="0" w:lastRow="0" w:firstColumn="0" w:lastColumn="0" w:oddVBand="0" w:evenVBand="0" w:oddHBand="0" w:evenHBand="0" w:firstRowFirstColumn="0" w:firstRowLastColumn="0" w:lastRowFirstColumn="0" w:lastRowLastColumn="0"/>
            </w:pPr>
            <w:r>
              <w:t>10</w:t>
            </w:r>
          </w:p>
        </w:tc>
        <w:tc>
          <w:tcPr>
            <w:tcW w:w="913" w:type="dxa"/>
          </w:tcPr>
          <w:p w14:paraId="226ECB39"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c>
          <w:tcPr>
            <w:tcW w:w="1134" w:type="dxa"/>
          </w:tcPr>
          <w:p w14:paraId="0F77104B"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1184" w:type="dxa"/>
          </w:tcPr>
          <w:p w14:paraId="65B8C4C4" w14:textId="77777777" w:rsidR="008E5233" w:rsidRDefault="005648A9">
            <w:pPr>
              <w:cnfStyle w:val="000000000000" w:firstRow="0" w:lastRow="0" w:firstColumn="0" w:lastColumn="0" w:oddVBand="0" w:evenVBand="0" w:oddHBand="0" w:evenHBand="0" w:firstRowFirstColumn="0" w:firstRowLastColumn="0" w:lastRowFirstColumn="0" w:lastRowLastColumn="0"/>
            </w:pPr>
            <w:r>
              <w:t>5 437</w:t>
            </w:r>
          </w:p>
        </w:tc>
        <w:tc>
          <w:tcPr>
            <w:tcW w:w="1078" w:type="dxa"/>
          </w:tcPr>
          <w:p w14:paraId="7C6183E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1AE728D6" w14:textId="77777777">
        <w:tc>
          <w:tcPr>
            <w:cnfStyle w:val="001000000000" w:firstRow="0" w:lastRow="0" w:firstColumn="1" w:lastColumn="0" w:oddVBand="0" w:evenVBand="0" w:oddHBand="0" w:evenHBand="0" w:firstRowFirstColumn="0" w:firstRowLastColumn="0" w:lastRowFirstColumn="0" w:lastRowLastColumn="0"/>
            <w:tcW w:w="3696" w:type="dxa"/>
          </w:tcPr>
          <w:p w14:paraId="5FED723C" w14:textId="77777777" w:rsidR="008E5233" w:rsidRDefault="005648A9">
            <w:r>
              <w:t>Lease liabilities</w:t>
            </w:r>
          </w:p>
        </w:tc>
        <w:tc>
          <w:tcPr>
            <w:tcW w:w="1634" w:type="dxa"/>
          </w:tcPr>
          <w:p w14:paraId="33446288"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Pr>
          <w:p w14:paraId="6184C31C" w14:textId="77777777" w:rsidR="008E5233" w:rsidRDefault="005648A9">
            <w:pPr>
              <w:cnfStyle w:val="000000000000" w:firstRow="0" w:lastRow="0" w:firstColumn="0" w:lastColumn="0" w:oddVBand="0" w:evenVBand="0" w:oddHBand="0" w:evenHBand="0" w:firstRowFirstColumn="0" w:firstRowLastColumn="0" w:lastRowFirstColumn="0" w:lastRowLastColumn="0"/>
            </w:pPr>
            <w:r>
              <w:t>20 062</w:t>
            </w:r>
          </w:p>
        </w:tc>
        <w:tc>
          <w:tcPr>
            <w:tcW w:w="1134" w:type="dxa"/>
          </w:tcPr>
          <w:p w14:paraId="3D3E02DB" w14:textId="77777777" w:rsidR="008E5233" w:rsidRDefault="005648A9">
            <w:pPr>
              <w:cnfStyle w:val="000000000000" w:firstRow="0" w:lastRow="0" w:firstColumn="0" w:lastColumn="0" w:oddVBand="0" w:evenVBand="0" w:oddHBand="0" w:evenHBand="0" w:firstRowFirstColumn="0" w:firstRowLastColumn="0" w:lastRowFirstColumn="0" w:lastRowLastColumn="0"/>
            </w:pPr>
            <w:r>
              <w:t>20 062</w:t>
            </w:r>
          </w:p>
        </w:tc>
        <w:tc>
          <w:tcPr>
            <w:tcW w:w="1184" w:type="dxa"/>
          </w:tcPr>
          <w:p w14:paraId="0F0064C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1D27CC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3C8803AE" w14:textId="77777777">
        <w:tc>
          <w:tcPr>
            <w:cnfStyle w:val="001000000000" w:firstRow="0" w:lastRow="0" w:firstColumn="1" w:lastColumn="0" w:oddVBand="0" w:evenVBand="0" w:oddHBand="0" w:evenHBand="0" w:firstRowFirstColumn="0" w:firstRowLastColumn="0" w:lastRowFirstColumn="0" w:lastRowLastColumn="0"/>
            <w:tcW w:w="3696" w:type="dxa"/>
          </w:tcPr>
          <w:p w14:paraId="311664F9" w14:textId="77777777" w:rsidR="008E5233" w:rsidRDefault="005648A9">
            <w:r>
              <w:t>Service concession financial liability</w:t>
            </w:r>
          </w:p>
        </w:tc>
        <w:tc>
          <w:tcPr>
            <w:tcW w:w="1634" w:type="dxa"/>
          </w:tcPr>
          <w:p w14:paraId="432C6605"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13" w:type="dxa"/>
          </w:tcPr>
          <w:p w14:paraId="1952A52F" w14:textId="77777777" w:rsidR="008E5233" w:rsidRDefault="005648A9">
            <w:pPr>
              <w:cnfStyle w:val="000000000000" w:firstRow="0" w:lastRow="0" w:firstColumn="0" w:lastColumn="0" w:oddVBand="0" w:evenVBand="0" w:oddHBand="0" w:evenHBand="0" w:firstRowFirstColumn="0" w:firstRowLastColumn="0" w:lastRowFirstColumn="0" w:lastRowLastColumn="0"/>
            </w:pPr>
            <w:r>
              <w:t>59 500</w:t>
            </w:r>
          </w:p>
        </w:tc>
        <w:tc>
          <w:tcPr>
            <w:tcW w:w="1134" w:type="dxa"/>
          </w:tcPr>
          <w:p w14:paraId="1297CD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64C591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0A676B3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7311EF2" w14:textId="77777777">
        <w:tc>
          <w:tcPr>
            <w:cnfStyle w:val="001000000000" w:firstRow="0" w:lastRow="0" w:firstColumn="1" w:lastColumn="0" w:oddVBand="0" w:evenVBand="0" w:oddHBand="0" w:evenHBand="0" w:firstRowFirstColumn="0" w:firstRowLastColumn="0" w:lastRowFirstColumn="0" w:lastRowLastColumn="0"/>
            <w:tcW w:w="3696" w:type="dxa"/>
          </w:tcPr>
          <w:p w14:paraId="4901EBA0" w14:textId="77777777" w:rsidR="008E5233" w:rsidRDefault="005648A9">
            <w:r>
              <w:t>Advances from government</w:t>
            </w:r>
          </w:p>
        </w:tc>
        <w:tc>
          <w:tcPr>
            <w:tcW w:w="1634" w:type="dxa"/>
          </w:tcPr>
          <w:p w14:paraId="69B9228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7E6F7BB9" w14:textId="77777777" w:rsidR="008E5233" w:rsidRDefault="005648A9">
            <w:pPr>
              <w:cnfStyle w:val="000000000000" w:firstRow="0" w:lastRow="0" w:firstColumn="0" w:lastColumn="0" w:oddVBand="0" w:evenVBand="0" w:oddHBand="0" w:evenHBand="0" w:firstRowFirstColumn="0" w:firstRowLastColumn="0" w:lastRowFirstColumn="0" w:lastRowLastColumn="0"/>
            </w:pPr>
            <w:r>
              <w:t>12 344</w:t>
            </w:r>
          </w:p>
        </w:tc>
        <w:tc>
          <w:tcPr>
            <w:tcW w:w="1134" w:type="dxa"/>
          </w:tcPr>
          <w:p w14:paraId="15EA55C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Pr>
          <w:p w14:paraId="59E8962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AD5CD48" w14:textId="77777777" w:rsidR="008E5233" w:rsidRDefault="005648A9">
            <w:pPr>
              <w:cnfStyle w:val="000000000000" w:firstRow="0" w:lastRow="0" w:firstColumn="0" w:lastColumn="0" w:oddVBand="0" w:evenVBand="0" w:oddHBand="0" w:evenHBand="0" w:firstRowFirstColumn="0" w:firstRowLastColumn="0" w:lastRowFirstColumn="0" w:lastRowLastColumn="0"/>
            </w:pPr>
            <w:r>
              <w:t>12 344</w:t>
            </w:r>
          </w:p>
        </w:tc>
      </w:tr>
      <w:tr w:rsidR="008E5233" w14:paraId="0388DD73" w14:textId="77777777">
        <w:tc>
          <w:tcPr>
            <w:cnfStyle w:val="001000000000" w:firstRow="0" w:lastRow="0" w:firstColumn="1" w:lastColumn="0" w:oddVBand="0" w:evenVBand="0" w:oddHBand="0" w:evenHBand="0" w:firstRowFirstColumn="0" w:firstRowLastColumn="0" w:lastRowFirstColumn="0" w:lastRowLastColumn="0"/>
            <w:tcW w:w="3696" w:type="dxa"/>
          </w:tcPr>
          <w:p w14:paraId="027CF0F3" w14:textId="77777777" w:rsidR="008E5233" w:rsidRDefault="005648A9">
            <w:r>
              <w:t>Loans from TCV</w:t>
            </w:r>
          </w:p>
        </w:tc>
        <w:tc>
          <w:tcPr>
            <w:tcW w:w="1634" w:type="dxa"/>
          </w:tcPr>
          <w:p w14:paraId="0E345540" w14:textId="77777777" w:rsidR="008E5233" w:rsidRDefault="005648A9">
            <w:pPr>
              <w:cnfStyle w:val="000000000000" w:firstRow="0" w:lastRow="0" w:firstColumn="0" w:lastColumn="0" w:oddVBand="0" w:evenVBand="0" w:oddHBand="0" w:evenHBand="0" w:firstRowFirstColumn="0" w:firstRowLastColumn="0" w:lastRowFirstColumn="0" w:lastRowLastColumn="0"/>
            </w:pPr>
            <w:r>
              <w:t>5</w:t>
            </w:r>
          </w:p>
        </w:tc>
        <w:tc>
          <w:tcPr>
            <w:tcW w:w="913" w:type="dxa"/>
          </w:tcPr>
          <w:p w14:paraId="08B729DC" w14:textId="77777777" w:rsidR="008E5233" w:rsidRDefault="005648A9">
            <w:pPr>
              <w:cnfStyle w:val="000000000000" w:firstRow="0" w:lastRow="0" w:firstColumn="0" w:lastColumn="0" w:oddVBand="0" w:evenVBand="0" w:oddHBand="0" w:evenHBand="0" w:firstRowFirstColumn="0" w:firstRowLastColumn="0" w:lastRowFirstColumn="0" w:lastRowLastColumn="0"/>
            </w:pPr>
            <w:r>
              <w:t>27 705</w:t>
            </w:r>
          </w:p>
        </w:tc>
        <w:tc>
          <w:tcPr>
            <w:tcW w:w="1134" w:type="dxa"/>
          </w:tcPr>
          <w:p w14:paraId="75CD8A7A" w14:textId="77777777" w:rsidR="008E5233" w:rsidRDefault="005648A9">
            <w:pPr>
              <w:cnfStyle w:val="000000000000" w:firstRow="0" w:lastRow="0" w:firstColumn="0" w:lastColumn="0" w:oddVBand="0" w:evenVBand="0" w:oddHBand="0" w:evenHBand="0" w:firstRowFirstColumn="0" w:firstRowLastColumn="0" w:lastRowFirstColumn="0" w:lastRowLastColumn="0"/>
            </w:pPr>
            <w:r>
              <w:t>27 705</w:t>
            </w:r>
          </w:p>
        </w:tc>
        <w:tc>
          <w:tcPr>
            <w:tcW w:w="1184" w:type="dxa"/>
          </w:tcPr>
          <w:p w14:paraId="694654F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078" w:type="dxa"/>
          </w:tcPr>
          <w:p w14:paraId="4A358DAC"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7418C4FB" w14:textId="77777777" w:rsidTr="008E5233">
        <w:tc>
          <w:tcPr>
            <w:cnfStyle w:val="001000000000" w:firstRow="0" w:lastRow="0" w:firstColumn="1" w:lastColumn="0" w:oddVBand="0" w:evenVBand="0" w:oddHBand="0" w:evenHBand="0" w:firstRowFirstColumn="0" w:firstRowLastColumn="0" w:lastRowFirstColumn="0" w:lastRowLastColumn="0"/>
            <w:tcW w:w="3696" w:type="dxa"/>
            <w:tcBorders>
              <w:bottom w:val="single" w:sz="12" w:space="0" w:color="auto"/>
            </w:tcBorders>
          </w:tcPr>
          <w:p w14:paraId="34A42FB6" w14:textId="77777777" w:rsidR="008E5233" w:rsidRDefault="005648A9">
            <w:r>
              <w:t>Financial liabilities designated at fair value through profit or loss</w:t>
            </w:r>
          </w:p>
        </w:tc>
        <w:tc>
          <w:tcPr>
            <w:tcW w:w="1634" w:type="dxa"/>
            <w:tcBorders>
              <w:bottom w:val="single" w:sz="12" w:space="0" w:color="auto"/>
            </w:tcBorders>
          </w:tcPr>
          <w:p w14:paraId="19C73608" w14:textId="77777777" w:rsidR="008E5233" w:rsidRDefault="005648A9">
            <w:pPr>
              <w:cnfStyle w:val="000000000000" w:firstRow="0" w:lastRow="0" w:firstColumn="0" w:lastColumn="0" w:oddVBand="0" w:evenVBand="0" w:oddHBand="0" w:evenHBand="0" w:firstRowFirstColumn="0" w:firstRowLastColumn="0" w:lastRowFirstColumn="0" w:lastRowLastColumn="0"/>
            </w:pPr>
            <w:r>
              <w:t>6</w:t>
            </w:r>
          </w:p>
        </w:tc>
        <w:tc>
          <w:tcPr>
            <w:tcW w:w="913" w:type="dxa"/>
            <w:tcBorders>
              <w:bottom w:val="single" w:sz="12" w:space="0" w:color="auto"/>
            </w:tcBorders>
          </w:tcPr>
          <w:p w14:paraId="0A708D61"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1134" w:type="dxa"/>
            <w:tcBorders>
              <w:bottom w:val="single" w:sz="12" w:space="0" w:color="auto"/>
            </w:tcBorders>
          </w:tcPr>
          <w:p w14:paraId="1AEC65C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1184" w:type="dxa"/>
            <w:tcBorders>
              <w:bottom w:val="single" w:sz="12" w:space="0" w:color="auto"/>
            </w:tcBorders>
          </w:tcPr>
          <w:p w14:paraId="7A087AB2"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1078" w:type="dxa"/>
            <w:tcBorders>
              <w:bottom w:val="single" w:sz="12" w:space="0" w:color="auto"/>
            </w:tcBorders>
          </w:tcPr>
          <w:p w14:paraId="3257F9D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334B3865" w14:textId="77777777" w:rsidTr="00182709">
        <w:tc>
          <w:tcPr>
            <w:cnfStyle w:val="001000000000" w:firstRow="0" w:lastRow="0" w:firstColumn="1" w:lastColumn="0" w:oddVBand="0" w:evenVBand="0" w:oddHBand="0" w:evenHBand="0" w:firstRowFirstColumn="0" w:firstRowLastColumn="0" w:lastRowFirstColumn="0" w:lastRowLastColumn="0"/>
            <w:tcW w:w="3696" w:type="dxa"/>
          </w:tcPr>
          <w:p w14:paraId="7549D880" w14:textId="77777777" w:rsidR="008E5233" w:rsidRDefault="005648A9">
            <w:r>
              <w:rPr>
                <w:b/>
              </w:rPr>
              <w:t>Total financial liabilities</w:t>
            </w:r>
          </w:p>
        </w:tc>
        <w:tc>
          <w:tcPr>
            <w:tcW w:w="1634" w:type="dxa"/>
          </w:tcPr>
          <w:p w14:paraId="2D03A881"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13" w:type="dxa"/>
          </w:tcPr>
          <w:p w14:paraId="0064160A"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139 356</w:t>
            </w:r>
          </w:p>
        </w:tc>
        <w:tc>
          <w:tcPr>
            <w:tcW w:w="1134" w:type="dxa"/>
          </w:tcPr>
          <w:p w14:paraId="1AAE217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47 767</w:t>
            </w:r>
          </w:p>
        </w:tc>
        <w:tc>
          <w:tcPr>
            <w:tcW w:w="1184" w:type="dxa"/>
          </w:tcPr>
          <w:p w14:paraId="25460BE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5 637</w:t>
            </w:r>
          </w:p>
        </w:tc>
        <w:tc>
          <w:tcPr>
            <w:tcW w:w="1078" w:type="dxa"/>
          </w:tcPr>
          <w:p w14:paraId="0B426315"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26 452</w:t>
            </w:r>
          </w:p>
        </w:tc>
      </w:tr>
    </w:tbl>
    <w:p w14:paraId="30D02F91" w14:textId="77777777" w:rsidR="003719CD" w:rsidRDefault="003719CD" w:rsidP="007D536F">
      <w:pPr>
        <w:pStyle w:val="Note"/>
      </w:pPr>
      <w:r>
        <w:t xml:space="preserve">Note: </w:t>
      </w:r>
      <w:r w:rsidRPr="00430E85">
        <w:rPr>
          <w:rStyle w:val="Reference"/>
          <w:sz w:val="14"/>
          <w:szCs w:val="16"/>
        </w:rPr>
        <w:t>[AASB 132.AG12]</w:t>
      </w:r>
    </w:p>
    <w:p w14:paraId="3DBDAE09" w14:textId="77777777" w:rsidR="003719CD" w:rsidRDefault="003719CD" w:rsidP="007D536F">
      <w:pPr>
        <w:pStyle w:val="Note"/>
      </w:pPr>
      <w:r>
        <w:t>(a)</w:t>
      </w:r>
      <w:r>
        <w:tab/>
        <w:t>The carrying amounts disclosed here exclude statutory amounts (e.g. amounts owing from Victorian Government and GST input tax credit recoverable).</w:t>
      </w:r>
    </w:p>
    <w:p w14:paraId="30CA5960" w14:textId="77777777" w:rsidR="003719CD" w:rsidRDefault="003719CD" w:rsidP="00DC39DE"/>
    <w:p w14:paraId="5DD38400" w14:textId="3C3E36B2" w:rsidR="003719CD" w:rsidRDefault="003719CD" w:rsidP="007D536F">
      <w:pPr>
        <w:pStyle w:val="Caption"/>
        <w:tabs>
          <w:tab w:val="clear" w:pos="9639"/>
        </w:tabs>
      </w:pPr>
      <w:r>
        <w:lastRenderedPageBreak/>
        <w:t xml:space="preserve">Interest rate risk sensitivity </w:t>
      </w:r>
      <w:r w:rsidRPr="00430E85">
        <w:rPr>
          <w:rStyle w:val="Reference"/>
        </w:rPr>
        <w:t>[AASB 7.31, 34, 40(a)]</w:t>
      </w:r>
      <w:r w:rsidR="00BF25A5">
        <w:rPr>
          <w:rStyle w:val="Reference"/>
        </w:rPr>
        <w:t xml:space="preserve"> </w:t>
      </w:r>
      <w:r>
        <w:t>($ thousand)</w:t>
      </w:r>
    </w:p>
    <w:tbl>
      <w:tblPr>
        <w:tblStyle w:val="DTFTable"/>
        <w:tblW w:w="9639" w:type="dxa"/>
        <w:tblLayout w:type="fixed"/>
        <w:tblLook w:val="06A0" w:firstRow="1" w:lastRow="0" w:firstColumn="1" w:lastColumn="0" w:noHBand="1" w:noVBand="1"/>
      </w:tblPr>
      <w:tblGrid>
        <w:gridCol w:w="3909"/>
        <w:gridCol w:w="840"/>
        <w:gridCol w:w="978"/>
        <w:gridCol w:w="1536"/>
        <w:gridCol w:w="959"/>
        <w:gridCol w:w="1417"/>
      </w:tblGrid>
      <w:tr w:rsidR="009D4765" w14:paraId="3B2E64EB"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9" w:type="dxa"/>
          </w:tcPr>
          <w:p w14:paraId="523609D5" w14:textId="77777777" w:rsidR="009D4765" w:rsidRDefault="009D4765">
            <w:pPr>
              <w:keepNext/>
            </w:pPr>
          </w:p>
        </w:tc>
        <w:tc>
          <w:tcPr>
            <w:tcW w:w="840" w:type="dxa"/>
          </w:tcPr>
          <w:p w14:paraId="7E2418E7" w14:textId="77777777" w:rsidR="009D4765" w:rsidRDefault="009D4765">
            <w:pPr>
              <w:keepNext/>
              <w:cnfStyle w:val="100000000000" w:firstRow="1" w:lastRow="0" w:firstColumn="0" w:lastColumn="0" w:oddVBand="0" w:evenVBand="0" w:oddHBand="0" w:evenHBand="0" w:firstRowFirstColumn="0" w:firstRowLastColumn="0" w:lastRowFirstColumn="0" w:lastRowLastColumn="0"/>
            </w:pPr>
          </w:p>
        </w:tc>
        <w:tc>
          <w:tcPr>
            <w:tcW w:w="2514" w:type="dxa"/>
            <w:gridSpan w:val="2"/>
            <w:tcBorders>
              <w:bottom w:val="nil"/>
            </w:tcBorders>
          </w:tcPr>
          <w:p w14:paraId="215CFD91" w14:textId="43007EB2" w:rsidR="009D4765" w:rsidRDefault="009D4765" w:rsidP="009D4765">
            <w:pPr>
              <w:keepNext/>
              <w:jc w:val="center"/>
              <w:cnfStyle w:val="100000000000" w:firstRow="1" w:lastRow="0" w:firstColumn="0" w:lastColumn="0" w:oddVBand="0" w:evenVBand="0" w:oddHBand="0" w:evenHBand="0" w:firstRowFirstColumn="0" w:firstRowLastColumn="0" w:lastRowFirstColumn="0" w:lastRowLastColumn="0"/>
            </w:pPr>
            <w:r>
              <w:t>‑100 basis points</w:t>
            </w:r>
          </w:p>
        </w:tc>
        <w:tc>
          <w:tcPr>
            <w:tcW w:w="2376" w:type="dxa"/>
            <w:gridSpan w:val="2"/>
            <w:tcBorders>
              <w:bottom w:val="single" w:sz="2" w:space="0" w:color="FFFFFF" w:themeColor="background1"/>
            </w:tcBorders>
          </w:tcPr>
          <w:p w14:paraId="2E8EE686" w14:textId="51B85D88" w:rsidR="009D4765" w:rsidRDefault="009D4765" w:rsidP="009D4765">
            <w:pPr>
              <w:keepNext/>
              <w:jc w:val="center"/>
              <w:cnfStyle w:val="100000000000" w:firstRow="1" w:lastRow="0" w:firstColumn="0" w:lastColumn="0" w:oddVBand="0" w:evenVBand="0" w:oddHBand="0" w:evenHBand="0" w:firstRowFirstColumn="0" w:firstRowLastColumn="0" w:lastRowFirstColumn="0" w:lastRowLastColumn="0"/>
            </w:pPr>
            <w:r>
              <w:t>+100 basis points</w:t>
            </w:r>
          </w:p>
        </w:tc>
      </w:tr>
      <w:tr w:rsidR="00182709" w14:paraId="50F1A78E"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9" w:type="dxa"/>
          </w:tcPr>
          <w:p w14:paraId="7DE254B9" w14:textId="71962AFA" w:rsidR="00182709" w:rsidRDefault="003A413D">
            <w:pPr>
              <w:keepNext/>
            </w:pPr>
            <w:fldSimple w:instr="DOCPROPERTY  YearCurrent \* MERGEFORMAT">
              <w:r>
                <w:t>20X2</w:t>
              </w:r>
            </w:fldSimple>
          </w:p>
        </w:tc>
        <w:tc>
          <w:tcPr>
            <w:tcW w:w="840" w:type="dxa"/>
          </w:tcPr>
          <w:p w14:paraId="6ED936B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978" w:type="dxa"/>
            <w:tcBorders>
              <w:top w:val="nil"/>
            </w:tcBorders>
          </w:tcPr>
          <w:p w14:paraId="1E15E27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Net result</w:t>
            </w:r>
          </w:p>
        </w:tc>
        <w:tc>
          <w:tcPr>
            <w:tcW w:w="1536" w:type="dxa"/>
            <w:tcBorders>
              <w:top w:val="nil"/>
            </w:tcBorders>
          </w:tcPr>
          <w:p w14:paraId="489E38D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959" w:type="dxa"/>
            <w:tcBorders>
              <w:top w:val="single" w:sz="2" w:space="0" w:color="FFFFFF" w:themeColor="background1"/>
            </w:tcBorders>
          </w:tcPr>
          <w:p w14:paraId="78F8484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Net result</w:t>
            </w:r>
          </w:p>
        </w:tc>
        <w:tc>
          <w:tcPr>
            <w:tcW w:w="1417" w:type="dxa"/>
            <w:tcBorders>
              <w:top w:val="single" w:sz="2" w:space="0" w:color="FFFFFF" w:themeColor="background1"/>
            </w:tcBorders>
          </w:tcPr>
          <w:p w14:paraId="67F8DAE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182709" w14:paraId="6E39434E"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61B5C6CE" w14:textId="77777777" w:rsidR="00182709" w:rsidRDefault="0044097C">
            <w:r>
              <w:t>Contractual financial assets</w:t>
            </w:r>
          </w:p>
        </w:tc>
        <w:tc>
          <w:tcPr>
            <w:tcW w:w="840" w:type="dxa"/>
          </w:tcPr>
          <w:p w14:paraId="1598ACF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78" w:type="dxa"/>
          </w:tcPr>
          <w:p w14:paraId="1D3081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36" w:type="dxa"/>
          </w:tcPr>
          <w:p w14:paraId="68EAE2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59" w:type="dxa"/>
          </w:tcPr>
          <w:p w14:paraId="1600F60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417" w:type="dxa"/>
          </w:tcPr>
          <w:p w14:paraId="3DEAA7E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7796F1A"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25D7EC1E" w14:textId="77777777" w:rsidR="00182709" w:rsidRDefault="0044097C">
            <w:r>
              <w:t xml:space="preserve">Cash and deposits </w:t>
            </w:r>
            <w:r>
              <w:rPr>
                <w:vertAlign w:val="superscript"/>
              </w:rPr>
              <w:t>(a)</w:t>
            </w:r>
          </w:p>
        </w:tc>
        <w:tc>
          <w:tcPr>
            <w:tcW w:w="840" w:type="dxa"/>
          </w:tcPr>
          <w:p w14:paraId="6789FA36" w14:textId="77777777" w:rsidR="00182709" w:rsidRDefault="0044097C">
            <w:pPr>
              <w:cnfStyle w:val="000000000000" w:firstRow="0" w:lastRow="0" w:firstColumn="0" w:lastColumn="0" w:oddVBand="0" w:evenVBand="0" w:oddHBand="0" w:evenHBand="0" w:firstRowFirstColumn="0" w:firstRowLastColumn="0" w:lastRowFirstColumn="0" w:lastRowLastColumn="0"/>
            </w:pPr>
            <w:r>
              <w:t>69 774</w:t>
            </w:r>
          </w:p>
        </w:tc>
        <w:tc>
          <w:tcPr>
            <w:tcW w:w="978" w:type="dxa"/>
          </w:tcPr>
          <w:p w14:paraId="3350D61D" w14:textId="77777777" w:rsidR="00182709" w:rsidRDefault="0044097C">
            <w:pPr>
              <w:cnfStyle w:val="000000000000" w:firstRow="0" w:lastRow="0" w:firstColumn="0" w:lastColumn="0" w:oddVBand="0" w:evenVBand="0" w:oddHBand="0" w:evenHBand="0" w:firstRowFirstColumn="0" w:firstRowLastColumn="0" w:lastRowFirstColumn="0" w:lastRowLastColumn="0"/>
            </w:pPr>
            <w:r>
              <w:t>(698)</w:t>
            </w:r>
          </w:p>
        </w:tc>
        <w:tc>
          <w:tcPr>
            <w:tcW w:w="1536" w:type="dxa"/>
          </w:tcPr>
          <w:p w14:paraId="3F32F0F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59" w:type="dxa"/>
          </w:tcPr>
          <w:p w14:paraId="20536384" w14:textId="77777777" w:rsidR="00182709" w:rsidRDefault="0044097C">
            <w:pPr>
              <w:cnfStyle w:val="000000000000" w:firstRow="0" w:lastRow="0" w:firstColumn="0" w:lastColumn="0" w:oddVBand="0" w:evenVBand="0" w:oddHBand="0" w:evenHBand="0" w:firstRowFirstColumn="0" w:firstRowLastColumn="0" w:lastRowFirstColumn="0" w:lastRowLastColumn="0"/>
            </w:pPr>
            <w:r>
              <w:t>698</w:t>
            </w:r>
          </w:p>
        </w:tc>
        <w:tc>
          <w:tcPr>
            <w:tcW w:w="1417" w:type="dxa"/>
          </w:tcPr>
          <w:p w14:paraId="3A1D776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354DCA43" w14:textId="77777777" w:rsidTr="002253C1">
        <w:tc>
          <w:tcPr>
            <w:cnfStyle w:val="001000000000" w:firstRow="0" w:lastRow="0" w:firstColumn="1" w:lastColumn="0" w:oddVBand="0" w:evenVBand="0" w:oddHBand="0" w:evenHBand="0" w:firstRowFirstColumn="0" w:firstRowLastColumn="0" w:lastRowFirstColumn="0" w:lastRowLastColumn="0"/>
            <w:tcW w:w="3909" w:type="dxa"/>
            <w:tcBorders>
              <w:bottom w:val="single" w:sz="12" w:space="0" w:color="auto"/>
            </w:tcBorders>
          </w:tcPr>
          <w:p w14:paraId="28A7E807" w14:textId="77777777" w:rsidR="00182709" w:rsidRDefault="0044097C">
            <w:r>
              <w:t xml:space="preserve">Investments and other contractual financial assets </w:t>
            </w:r>
            <w:r>
              <w:rPr>
                <w:vertAlign w:val="superscript"/>
              </w:rPr>
              <w:t>(b)</w:t>
            </w:r>
          </w:p>
        </w:tc>
        <w:tc>
          <w:tcPr>
            <w:tcW w:w="840" w:type="dxa"/>
            <w:tcBorders>
              <w:bottom w:val="single" w:sz="12" w:space="0" w:color="auto"/>
            </w:tcBorders>
          </w:tcPr>
          <w:p w14:paraId="4C7D1521" w14:textId="77777777" w:rsidR="00182709" w:rsidRDefault="0044097C">
            <w:pPr>
              <w:cnfStyle w:val="000000000000" w:firstRow="0" w:lastRow="0" w:firstColumn="0" w:lastColumn="0" w:oddVBand="0" w:evenVBand="0" w:oddHBand="0" w:evenHBand="0" w:firstRowFirstColumn="0" w:firstRowLastColumn="0" w:lastRowFirstColumn="0" w:lastRowLastColumn="0"/>
            </w:pPr>
            <w:r>
              <w:t>6 713</w:t>
            </w:r>
          </w:p>
        </w:tc>
        <w:tc>
          <w:tcPr>
            <w:tcW w:w="978" w:type="dxa"/>
            <w:tcBorders>
              <w:bottom w:val="single" w:sz="12" w:space="0" w:color="auto"/>
            </w:tcBorders>
          </w:tcPr>
          <w:p w14:paraId="75A082DA" w14:textId="77777777" w:rsidR="00182709" w:rsidRDefault="0044097C">
            <w:pPr>
              <w:cnfStyle w:val="000000000000" w:firstRow="0" w:lastRow="0" w:firstColumn="0" w:lastColumn="0" w:oddVBand="0" w:evenVBand="0" w:oddHBand="0" w:evenHBand="0" w:firstRowFirstColumn="0" w:firstRowLastColumn="0" w:lastRowFirstColumn="0" w:lastRowLastColumn="0"/>
            </w:pPr>
            <w:r>
              <w:t>(67)</w:t>
            </w:r>
          </w:p>
        </w:tc>
        <w:tc>
          <w:tcPr>
            <w:tcW w:w="1536" w:type="dxa"/>
            <w:tcBorders>
              <w:bottom w:val="single" w:sz="12" w:space="0" w:color="auto"/>
            </w:tcBorders>
          </w:tcPr>
          <w:p w14:paraId="29C8ECA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59" w:type="dxa"/>
            <w:tcBorders>
              <w:bottom w:val="single" w:sz="12" w:space="0" w:color="auto"/>
            </w:tcBorders>
          </w:tcPr>
          <w:p w14:paraId="1C2C1F2F" w14:textId="77777777" w:rsidR="00182709" w:rsidRDefault="0044097C">
            <w:pPr>
              <w:cnfStyle w:val="000000000000" w:firstRow="0" w:lastRow="0" w:firstColumn="0" w:lastColumn="0" w:oddVBand="0" w:evenVBand="0" w:oddHBand="0" w:evenHBand="0" w:firstRowFirstColumn="0" w:firstRowLastColumn="0" w:lastRowFirstColumn="0" w:lastRowLastColumn="0"/>
            </w:pPr>
            <w:r>
              <w:t>67</w:t>
            </w:r>
          </w:p>
        </w:tc>
        <w:tc>
          <w:tcPr>
            <w:tcW w:w="1417" w:type="dxa"/>
            <w:tcBorders>
              <w:bottom w:val="single" w:sz="12" w:space="0" w:color="auto"/>
            </w:tcBorders>
          </w:tcPr>
          <w:p w14:paraId="63B5175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2F351872" w14:textId="77777777" w:rsidTr="002253C1">
        <w:tc>
          <w:tcPr>
            <w:cnfStyle w:val="001000000000" w:firstRow="0" w:lastRow="0" w:firstColumn="1" w:lastColumn="0" w:oddVBand="0" w:evenVBand="0" w:oddHBand="0" w:evenHBand="0" w:firstRowFirstColumn="0" w:firstRowLastColumn="0" w:lastRowFirstColumn="0" w:lastRowLastColumn="0"/>
            <w:tcW w:w="3909" w:type="dxa"/>
          </w:tcPr>
          <w:p w14:paraId="04553BC5" w14:textId="77777777" w:rsidR="00182709" w:rsidRDefault="0044097C">
            <w:r>
              <w:rPr>
                <w:b/>
              </w:rPr>
              <w:t>Total impact</w:t>
            </w:r>
          </w:p>
        </w:tc>
        <w:tc>
          <w:tcPr>
            <w:tcW w:w="840" w:type="dxa"/>
          </w:tcPr>
          <w:p w14:paraId="54E2965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78" w:type="dxa"/>
          </w:tcPr>
          <w:p w14:paraId="13AF1E3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(662)</w:t>
            </w:r>
          </w:p>
        </w:tc>
        <w:tc>
          <w:tcPr>
            <w:tcW w:w="1536" w:type="dxa"/>
          </w:tcPr>
          <w:p w14:paraId="4025FE5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59" w:type="dxa"/>
          </w:tcPr>
          <w:p w14:paraId="0C9A2BF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(662)</w:t>
            </w:r>
          </w:p>
        </w:tc>
        <w:tc>
          <w:tcPr>
            <w:tcW w:w="1417" w:type="dxa"/>
          </w:tcPr>
          <w:p w14:paraId="11956199" w14:textId="5045271C"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p w14:paraId="5DE58799" w14:textId="77777777" w:rsidR="003719CD" w:rsidRDefault="003719CD" w:rsidP="00DC39DE"/>
    <w:tbl>
      <w:tblPr>
        <w:tblStyle w:val="DTFTable"/>
        <w:tblW w:w="9639" w:type="dxa"/>
        <w:tblLayout w:type="fixed"/>
        <w:tblLook w:val="06A0" w:firstRow="1" w:lastRow="0" w:firstColumn="1" w:lastColumn="0" w:noHBand="1" w:noVBand="1"/>
      </w:tblPr>
      <w:tblGrid>
        <w:gridCol w:w="3915"/>
        <w:gridCol w:w="842"/>
        <w:gridCol w:w="965"/>
        <w:gridCol w:w="1558"/>
        <w:gridCol w:w="965"/>
        <w:gridCol w:w="1394"/>
      </w:tblGrid>
      <w:tr w:rsidR="00182709" w14:paraId="0976C4EF" w14:textId="77777777" w:rsidTr="002253C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15" w:type="dxa"/>
          </w:tcPr>
          <w:p w14:paraId="62C14CD1" w14:textId="76289FA9" w:rsidR="00182709" w:rsidRDefault="008E5A9E">
            <w:pPr>
              <w:keepNext/>
            </w:pPr>
            <w:fldSimple w:instr="DOCPROPERTY  YearPrevious  \* MERGEFORMAT">
              <w:r>
                <w:rPr>
                  <w:lang w:val="en-US"/>
                </w:rPr>
                <w:t>20X1</w:t>
              </w:r>
            </w:fldSimple>
          </w:p>
        </w:tc>
        <w:tc>
          <w:tcPr>
            <w:tcW w:w="842" w:type="dxa"/>
          </w:tcPr>
          <w:p w14:paraId="2CACCE83" w14:textId="0D794C1F"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65" w:type="dxa"/>
          </w:tcPr>
          <w:p w14:paraId="7C7B303B" w14:textId="688D3D65"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558" w:type="dxa"/>
          </w:tcPr>
          <w:p w14:paraId="1CF653ED" w14:textId="41DA2369"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65" w:type="dxa"/>
          </w:tcPr>
          <w:p w14:paraId="30FE74C1" w14:textId="7AC06470"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1394" w:type="dxa"/>
          </w:tcPr>
          <w:p w14:paraId="2CD1D8CC" w14:textId="40F10E5A"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182709" w14:paraId="522F3740"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2C6DA87E" w14:textId="77777777" w:rsidR="00182709" w:rsidRDefault="0044097C">
            <w:r>
              <w:t>Contractual financial assets</w:t>
            </w:r>
          </w:p>
        </w:tc>
        <w:tc>
          <w:tcPr>
            <w:tcW w:w="842" w:type="dxa"/>
          </w:tcPr>
          <w:p w14:paraId="05E5AEF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5774D36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8" w:type="dxa"/>
          </w:tcPr>
          <w:p w14:paraId="37DEE25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7C9D3DB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94" w:type="dxa"/>
          </w:tcPr>
          <w:p w14:paraId="3754FB0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0B734EE"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786767D1" w14:textId="77777777" w:rsidR="00182709" w:rsidRDefault="0044097C">
            <w:r>
              <w:t xml:space="preserve">Cash and deposits </w:t>
            </w:r>
            <w:r>
              <w:rPr>
                <w:vertAlign w:val="superscript"/>
              </w:rPr>
              <w:t>(a)</w:t>
            </w:r>
          </w:p>
        </w:tc>
        <w:tc>
          <w:tcPr>
            <w:tcW w:w="842" w:type="dxa"/>
          </w:tcPr>
          <w:p w14:paraId="3206A766" w14:textId="77777777" w:rsidR="00182709" w:rsidRDefault="0044097C">
            <w:pPr>
              <w:cnfStyle w:val="000000000000" w:firstRow="0" w:lastRow="0" w:firstColumn="0" w:lastColumn="0" w:oddVBand="0" w:evenVBand="0" w:oddHBand="0" w:evenHBand="0" w:firstRowFirstColumn="0" w:firstRowLastColumn="0" w:lastRowFirstColumn="0" w:lastRowLastColumn="0"/>
            </w:pPr>
            <w:r>
              <w:t>65 723</w:t>
            </w:r>
          </w:p>
        </w:tc>
        <w:tc>
          <w:tcPr>
            <w:tcW w:w="965" w:type="dxa"/>
          </w:tcPr>
          <w:p w14:paraId="4450D23D" w14:textId="77777777" w:rsidR="00182709" w:rsidRDefault="0044097C">
            <w:pPr>
              <w:cnfStyle w:val="000000000000" w:firstRow="0" w:lastRow="0" w:firstColumn="0" w:lastColumn="0" w:oddVBand="0" w:evenVBand="0" w:oddHBand="0" w:evenHBand="0" w:firstRowFirstColumn="0" w:firstRowLastColumn="0" w:lastRowFirstColumn="0" w:lastRowLastColumn="0"/>
            </w:pPr>
            <w:r>
              <w:t>(657)</w:t>
            </w:r>
          </w:p>
        </w:tc>
        <w:tc>
          <w:tcPr>
            <w:tcW w:w="1558" w:type="dxa"/>
          </w:tcPr>
          <w:p w14:paraId="6B9E54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Pr>
          <w:p w14:paraId="34174456" w14:textId="77777777" w:rsidR="00182709" w:rsidRDefault="0044097C">
            <w:pPr>
              <w:cnfStyle w:val="000000000000" w:firstRow="0" w:lastRow="0" w:firstColumn="0" w:lastColumn="0" w:oddVBand="0" w:evenVBand="0" w:oddHBand="0" w:evenHBand="0" w:firstRowFirstColumn="0" w:firstRowLastColumn="0" w:lastRowFirstColumn="0" w:lastRowLastColumn="0"/>
            </w:pPr>
            <w:r>
              <w:t>657</w:t>
            </w:r>
          </w:p>
        </w:tc>
        <w:tc>
          <w:tcPr>
            <w:tcW w:w="1394" w:type="dxa"/>
          </w:tcPr>
          <w:p w14:paraId="7BA554E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5185971B"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bottom w:val="single" w:sz="12" w:space="0" w:color="auto"/>
            </w:tcBorders>
          </w:tcPr>
          <w:p w14:paraId="5F76509F" w14:textId="77777777" w:rsidR="00182709" w:rsidRDefault="0044097C">
            <w:r>
              <w:t xml:space="preserve">Investments and other contractual financial assets </w:t>
            </w:r>
            <w:r>
              <w:rPr>
                <w:vertAlign w:val="superscript"/>
              </w:rPr>
              <w:t>(b)</w:t>
            </w:r>
          </w:p>
        </w:tc>
        <w:tc>
          <w:tcPr>
            <w:tcW w:w="842" w:type="dxa"/>
            <w:tcBorders>
              <w:bottom w:val="single" w:sz="12" w:space="0" w:color="auto"/>
            </w:tcBorders>
          </w:tcPr>
          <w:p w14:paraId="58FFCC83" w14:textId="77777777" w:rsidR="00182709" w:rsidRDefault="0044097C">
            <w:pPr>
              <w:cnfStyle w:val="000000000000" w:firstRow="0" w:lastRow="0" w:firstColumn="0" w:lastColumn="0" w:oddVBand="0" w:evenVBand="0" w:oddHBand="0" w:evenHBand="0" w:firstRowFirstColumn="0" w:firstRowLastColumn="0" w:lastRowFirstColumn="0" w:lastRowLastColumn="0"/>
            </w:pPr>
            <w:r>
              <w:t>7 539</w:t>
            </w:r>
          </w:p>
        </w:tc>
        <w:tc>
          <w:tcPr>
            <w:tcW w:w="965" w:type="dxa"/>
            <w:tcBorders>
              <w:bottom w:val="single" w:sz="12" w:space="0" w:color="auto"/>
            </w:tcBorders>
          </w:tcPr>
          <w:p w14:paraId="685594E1" w14:textId="77777777" w:rsidR="00182709" w:rsidRDefault="0044097C">
            <w:pPr>
              <w:cnfStyle w:val="000000000000" w:firstRow="0" w:lastRow="0" w:firstColumn="0" w:lastColumn="0" w:oddVBand="0" w:evenVBand="0" w:oddHBand="0" w:evenHBand="0" w:firstRowFirstColumn="0" w:firstRowLastColumn="0" w:lastRowFirstColumn="0" w:lastRowLastColumn="0"/>
            </w:pPr>
            <w:r>
              <w:t>(75)</w:t>
            </w:r>
          </w:p>
        </w:tc>
        <w:tc>
          <w:tcPr>
            <w:tcW w:w="1558" w:type="dxa"/>
            <w:tcBorders>
              <w:bottom w:val="single" w:sz="12" w:space="0" w:color="auto"/>
            </w:tcBorders>
          </w:tcPr>
          <w:p w14:paraId="363D6D0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Borders>
              <w:bottom w:val="single" w:sz="12" w:space="0" w:color="auto"/>
            </w:tcBorders>
          </w:tcPr>
          <w:p w14:paraId="6D8C97F5" w14:textId="77777777" w:rsidR="00182709" w:rsidRDefault="0044097C">
            <w:pPr>
              <w:cnfStyle w:val="000000000000" w:firstRow="0" w:lastRow="0" w:firstColumn="0" w:lastColumn="0" w:oddVBand="0" w:evenVBand="0" w:oddHBand="0" w:evenHBand="0" w:firstRowFirstColumn="0" w:firstRowLastColumn="0" w:lastRowFirstColumn="0" w:lastRowLastColumn="0"/>
            </w:pPr>
            <w:r>
              <w:t>75</w:t>
            </w:r>
          </w:p>
        </w:tc>
        <w:tc>
          <w:tcPr>
            <w:tcW w:w="1394" w:type="dxa"/>
            <w:tcBorders>
              <w:bottom w:val="single" w:sz="12" w:space="0" w:color="auto"/>
            </w:tcBorders>
          </w:tcPr>
          <w:p w14:paraId="45AE79D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10234DF2"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0D02CAC4" w14:textId="77777777" w:rsidR="00182709" w:rsidRDefault="0044097C">
            <w:r>
              <w:rPr>
                <w:b/>
              </w:rPr>
              <w:t>Total impact</w:t>
            </w:r>
          </w:p>
        </w:tc>
        <w:tc>
          <w:tcPr>
            <w:tcW w:w="842" w:type="dxa"/>
          </w:tcPr>
          <w:p w14:paraId="3F29808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3634347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(733)</w:t>
            </w:r>
          </w:p>
        </w:tc>
        <w:tc>
          <w:tcPr>
            <w:tcW w:w="1558" w:type="dxa"/>
          </w:tcPr>
          <w:p w14:paraId="0BCCFA3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65" w:type="dxa"/>
          </w:tcPr>
          <w:p w14:paraId="51A7F30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733</w:t>
            </w:r>
          </w:p>
        </w:tc>
        <w:tc>
          <w:tcPr>
            <w:tcW w:w="1394" w:type="dxa"/>
          </w:tcPr>
          <w:p w14:paraId="33237F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r w:rsidR="00671D55" w14:paraId="70F1A90C"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42E165A4" w14:textId="77777777" w:rsidR="00182709" w:rsidRDefault="0044097C">
            <w:r>
              <w:t>Contractual financial liabilities</w:t>
            </w:r>
          </w:p>
        </w:tc>
        <w:tc>
          <w:tcPr>
            <w:tcW w:w="842" w:type="dxa"/>
          </w:tcPr>
          <w:p w14:paraId="5C052B9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4D66A9C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558" w:type="dxa"/>
          </w:tcPr>
          <w:p w14:paraId="768C3AA4"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7CB28F6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94" w:type="dxa"/>
          </w:tcPr>
          <w:p w14:paraId="693341F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42056F2" w14:textId="77777777" w:rsidTr="002253C1">
        <w:tc>
          <w:tcPr>
            <w:cnfStyle w:val="001000000000" w:firstRow="0" w:lastRow="0" w:firstColumn="1" w:lastColumn="0" w:oddVBand="0" w:evenVBand="0" w:oddHBand="0" w:evenHBand="0" w:firstRowFirstColumn="0" w:firstRowLastColumn="0" w:lastRowFirstColumn="0" w:lastRowLastColumn="0"/>
            <w:tcW w:w="3915" w:type="dxa"/>
            <w:tcBorders>
              <w:bottom w:val="single" w:sz="12" w:space="0" w:color="auto"/>
            </w:tcBorders>
          </w:tcPr>
          <w:p w14:paraId="00E7EBC1" w14:textId="77777777" w:rsidR="00182709" w:rsidRDefault="0044097C">
            <w:r>
              <w:t xml:space="preserve">Borrowings </w:t>
            </w:r>
            <w:r>
              <w:rPr>
                <w:vertAlign w:val="superscript"/>
              </w:rPr>
              <w:t>(b)</w:t>
            </w:r>
          </w:p>
        </w:tc>
        <w:tc>
          <w:tcPr>
            <w:tcW w:w="842" w:type="dxa"/>
            <w:tcBorders>
              <w:bottom w:val="single" w:sz="12" w:space="0" w:color="auto"/>
            </w:tcBorders>
          </w:tcPr>
          <w:p w14:paraId="5C4BFDB0" w14:textId="77777777" w:rsidR="00182709" w:rsidRDefault="0044097C">
            <w:pPr>
              <w:cnfStyle w:val="000000000000" w:firstRow="0" w:lastRow="0" w:firstColumn="0" w:lastColumn="0" w:oddVBand="0" w:evenVBand="0" w:oddHBand="0" w:evenHBand="0" w:firstRowFirstColumn="0" w:firstRowLastColumn="0" w:lastRowFirstColumn="0" w:lastRowLastColumn="0"/>
            </w:pPr>
            <w:r>
              <w:t>5 637</w:t>
            </w:r>
          </w:p>
        </w:tc>
        <w:tc>
          <w:tcPr>
            <w:tcW w:w="965" w:type="dxa"/>
            <w:tcBorders>
              <w:bottom w:val="single" w:sz="12" w:space="0" w:color="auto"/>
            </w:tcBorders>
          </w:tcPr>
          <w:p w14:paraId="6A503A14" w14:textId="77777777" w:rsidR="00182709" w:rsidRDefault="0044097C">
            <w:pPr>
              <w:cnfStyle w:val="000000000000" w:firstRow="0" w:lastRow="0" w:firstColumn="0" w:lastColumn="0" w:oddVBand="0" w:evenVBand="0" w:oddHBand="0" w:evenHBand="0" w:firstRowFirstColumn="0" w:firstRowLastColumn="0" w:lastRowFirstColumn="0" w:lastRowLastColumn="0"/>
            </w:pPr>
            <w:r>
              <w:t>(56)</w:t>
            </w:r>
          </w:p>
        </w:tc>
        <w:tc>
          <w:tcPr>
            <w:tcW w:w="1558" w:type="dxa"/>
            <w:tcBorders>
              <w:bottom w:val="single" w:sz="12" w:space="0" w:color="auto"/>
            </w:tcBorders>
          </w:tcPr>
          <w:p w14:paraId="22D1013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65" w:type="dxa"/>
            <w:tcBorders>
              <w:bottom w:val="single" w:sz="12" w:space="0" w:color="auto"/>
            </w:tcBorders>
          </w:tcPr>
          <w:p w14:paraId="47283654" w14:textId="77777777" w:rsidR="00182709" w:rsidRDefault="0044097C">
            <w:pPr>
              <w:cnfStyle w:val="000000000000" w:firstRow="0" w:lastRow="0" w:firstColumn="0" w:lastColumn="0" w:oddVBand="0" w:evenVBand="0" w:oddHBand="0" w:evenHBand="0" w:firstRowFirstColumn="0" w:firstRowLastColumn="0" w:lastRowFirstColumn="0" w:lastRowLastColumn="0"/>
            </w:pPr>
            <w:r>
              <w:t>56</w:t>
            </w:r>
          </w:p>
        </w:tc>
        <w:tc>
          <w:tcPr>
            <w:tcW w:w="1394" w:type="dxa"/>
            <w:tcBorders>
              <w:bottom w:val="single" w:sz="12" w:space="0" w:color="auto"/>
            </w:tcBorders>
          </w:tcPr>
          <w:p w14:paraId="6CB919D1"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4DEBCE7A" w14:textId="77777777" w:rsidTr="002253C1">
        <w:tc>
          <w:tcPr>
            <w:cnfStyle w:val="001000000000" w:firstRow="0" w:lastRow="0" w:firstColumn="1" w:lastColumn="0" w:oddVBand="0" w:evenVBand="0" w:oddHBand="0" w:evenHBand="0" w:firstRowFirstColumn="0" w:firstRowLastColumn="0" w:lastRowFirstColumn="0" w:lastRowLastColumn="0"/>
            <w:tcW w:w="3915" w:type="dxa"/>
          </w:tcPr>
          <w:p w14:paraId="37B44AAC" w14:textId="77777777" w:rsidR="00182709" w:rsidRDefault="0044097C">
            <w:r>
              <w:rPr>
                <w:b/>
              </w:rPr>
              <w:t>Total impact</w:t>
            </w:r>
          </w:p>
        </w:tc>
        <w:tc>
          <w:tcPr>
            <w:tcW w:w="842" w:type="dxa"/>
          </w:tcPr>
          <w:p w14:paraId="1AA16A46"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65" w:type="dxa"/>
          </w:tcPr>
          <w:p w14:paraId="3D76C55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(56)</w:t>
            </w:r>
          </w:p>
        </w:tc>
        <w:tc>
          <w:tcPr>
            <w:tcW w:w="1558" w:type="dxa"/>
          </w:tcPr>
          <w:p w14:paraId="107D602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965" w:type="dxa"/>
          </w:tcPr>
          <w:p w14:paraId="34DE0E2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54</w:t>
            </w:r>
          </w:p>
        </w:tc>
        <w:tc>
          <w:tcPr>
            <w:tcW w:w="1394" w:type="dxa"/>
          </w:tcPr>
          <w:p w14:paraId="45D10C03" w14:textId="1200F519"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r>
    </w:tbl>
    <w:p w14:paraId="7A90FF2D" w14:textId="77777777" w:rsidR="003719CD" w:rsidRDefault="003719CD" w:rsidP="007D536F">
      <w:pPr>
        <w:pStyle w:val="Note"/>
      </w:pPr>
      <w:r>
        <w:t>Notes:</w:t>
      </w:r>
    </w:p>
    <w:p w14:paraId="279A58DC" w14:textId="3B6E849F" w:rsidR="003719CD" w:rsidRDefault="003719CD" w:rsidP="007D536F">
      <w:pPr>
        <w:pStyle w:val="Note"/>
      </w:pPr>
      <w:r>
        <w:t>(a)</w:t>
      </w:r>
      <w:r>
        <w:tab/>
        <w:t>Cash and deposits include a deposit of $59 728 thousand (</w:t>
      </w:r>
      <w:fldSimple w:instr="DOCPROPERTY  YearPrevious  \* MERGEFORMAT">
        <w:r w:rsidR="000911E0">
          <w:t>20X1</w:t>
        </w:r>
      </w:fldSimple>
      <w:r>
        <w:t>: $48 848 thousand) that is exposed to floating rates movements. Sensitivities to these movements are calculated as follows:</w:t>
      </w:r>
    </w:p>
    <w:p w14:paraId="674FBEF8" w14:textId="1A627249" w:rsidR="003719CD" w:rsidRDefault="003719CD" w:rsidP="007D536F">
      <w:pPr>
        <w:pStyle w:val="Note"/>
        <w:tabs>
          <w:tab w:val="left" w:pos="567"/>
        </w:tabs>
      </w:pPr>
      <w:r>
        <w:tab/>
        <w:t>–</w:t>
      </w:r>
      <w:r>
        <w:tab/>
      </w:r>
      <w:fldSimple w:instr="DOCPROPERTY  YearCurrent  \* MERGEFORMAT">
        <w:r w:rsidR="00802D33">
          <w:t>20X2</w:t>
        </w:r>
      </w:fldSimple>
      <w:r>
        <w:t>: $59 728 thousand × 0.01 = $595 thousand; and $59 728 thousand × 0.01 = $595 thousand</w:t>
      </w:r>
      <w:r w:rsidR="00381E05">
        <w:t>; and</w:t>
      </w:r>
    </w:p>
    <w:p w14:paraId="795E2222" w14:textId="27A33401" w:rsidR="003719CD" w:rsidRDefault="003719CD" w:rsidP="007D536F">
      <w:pPr>
        <w:pStyle w:val="Note"/>
        <w:tabs>
          <w:tab w:val="left" w:pos="567"/>
        </w:tabs>
      </w:pPr>
      <w:r>
        <w:tab/>
        <w:t>–</w:t>
      </w:r>
      <w:r>
        <w:tab/>
      </w:r>
      <w:fldSimple w:instr="DOCPROPERTY  YearPrevious  \* MERGEFORMAT">
        <w:r w:rsidR="00802D33">
          <w:t>20X1</w:t>
        </w:r>
      </w:fldSimple>
      <w:r>
        <w:t xml:space="preserve">: $48 848 thousand × 0.01 = $486 thousand; and $48 848 thousand × 0.01 = $486 thousand. </w:t>
      </w:r>
      <w:r w:rsidRPr="00430E85">
        <w:rPr>
          <w:rStyle w:val="Reference"/>
          <w:sz w:val="14"/>
          <w:szCs w:val="16"/>
        </w:rPr>
        <w:t>[AASB 7.40(b)]</w:t>
      </w:r>
    </w:p>
    <w:p w14:paraId="2B505DBA" w14:textId="77777777" w:rsidR="003719CD" w:rsidRDefault="003719CD" w:rsidP="007D536F">
      <w:pPr>
        <w:pStyle w:val="Note"/>
      </w:pPr>
      <w:r>
        <w:t>(b)</w:t>
      </w:r>
      <w:r>
        <w:tab/>
      </w:r>
      <w:r w:rsidRPr="00430E85">
        <w:rPr>
          <w:rStyle w:val="Guidance"/>
        </w:rPr>
        <w:t>[Disclosures on amounts exposed to movements in foreign currencies and the method of calculations as per note (a)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45286749" w14:textId="77777777" w:rsidR="003719CD" w:rsidRDefault="003719CD" w:rsidP="00DC39DE"/>
    <w:p w14:paraId="76FD6015" w14:textId="77777777" w:rsidR="007E486C" w:rsidRDefault="007E486C">
      <w:pPr>
        <w:keepLines w:val="0"/>
        <w:rPr>
          <w:rFonts w:asciiTheme="majorHAnsi" w:eastAsiaTheme="majorEastAsia" w:hAnsiTheme="majorHAnsi" w:cstheme="majorBidi"/>
          <w:b/>
          <w:sz w:val="22"/>
          <w:szCs w:val="24"/>
        </w:rPr>
      </w:pPr>
      <w:r>
        <w:br w:type="page"/>
      </w:r>
    </w:p>
    <w:p w14:paraId="3A0F36A2" w14:textId="347E93EB" w:rsidR="003719CD" w:rsidRDefault="003719CD" w:rsidP="007D536F">
      <w:pPr>
        <w:pStyle w:val="Heading3"/>
      </w:pPr>
      <w:r>
        <w:lastRenderedPageBreak/>
        <w:t xml:space="preserve">Foreign currency risk </w:t>
      </w:r>
      <w:r w:rsidRPr="00430E85">
        <w:rPr>
          <w:rStyle w:val="Reference"/>
        </w:rPr>
        <w:t>[AASB 7.33, 40(b)]</w:t>
      </w:r>
    </w:p>
    <w:p w14:paraId="74AFB9E4" w14:textId="77777777" w:rsidR="003719CD" w:rsidRDefault="003719CD" w:rsidP="00DC39DE">
      <w: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w:t>
      </w:r>
    </w:p>
    <w:p w14:paraId="147B6641" w14:textId="44781A85" w:rsidR="003719CD" w:rsidRDefault="003719CD" w:rsidP="00DC39DE">
      <w:r>
        <w:t xml:space="preserve">The Department is exposed to foreign currency risk mainly through its foreign currency term deposits, other receivables relating to the hire of the Department’s venue by overseas clients, and payables relating to purchases of supplies and consumables from overseas. </w:t>
      </w:r>
      <w:r w:rsidR="002544B7">
        <w:t>Risk is minimal, as t</w:t>
      </w:r>
      <w:r>
        <w:t>he Department has a limited amount of transactions denominated in foreign currencies and there is a relatively short timeframe between commitment and settlement</w:t>
      </w:r>
      <w:r w:rsidR="002544B7">
        <w:t>.</w:t>
      </w:r>
    </w:p>
    <w:p w14:paraId="5D0E79FE" w14:textId="77777777" w:rsidR="003719CD" w:rsidRDefault="003719CD" w:rsidP="00DC39DE">
      <w:r>
        <w:t>The Department exposures are mainly against the US dollar (USD) and are managed through continuous monitoring of movements in exchange rates against the USD, and by ensuring availability of funds through rigorous cash flow planning and monitoring. Based on past and current assessment of economic outlook, it is deemed unnecessary for the Department to enter into any hedging arrangements to manage the risk.</w:t>
      </w:r>
    </w:p>
    <w:p w14:paraId="0F6AEFD3" w14:textId="3AFF551C" w:rsidR="003719CD" w:rsidRDefault="003719CD" w:rsidP="00DC39DE">
      <w:r>
        <w:t>The Department’s sensitivity to foreign currency movements is set out below.</w:t>
      </w:r>
    </w:p>
    <w:p w14:paraId="20C39C5B" w14:textId="781E5182" w:rsidR="00A121DA" w:rsidRDefault="003719CD" w:rsidP="00507423">
      <w:pPr>
        <w:pStyle w:val="Caption"/>
      </w:pPr>
      <w:r>
        <w:t xml:space="preserve">Foreign exchange risk sensitivity </w:t>
      </w:r>
      <w:r w:rsidRPr="00430E85">
        <w:rPr>
          <w:rStyle w:val="Reference"/>
        </w:rPr>
        <w:t>[AASB 7.31, 34, 40(a)]</w:t>
      </w:r>
      <w:r>
        <w:tab/>
        <w:t>($ thousand)</w:t>
      </w:r>
    </w:p>
    <w:tbl>
      <w:tblPr>
        <w:tblStyle w:val="DTFTable"/>
        <w:tblW w:w="9638" w:type="dxa"/>
        <w:tblLayout w:type="fixed"/>
        <w:tblLook w:val="06A0" w:firstRow="1" w:lastRow="0" w:firstColumn="1" w:lastColumn="0" w:noHBand="1" w:noVBand="1"/>
      </w:tblPr>
      <w:tblGrid>
        <w:gridCol w:w="3969"/>
        <w:gridCol w:w="851"/>
        <w:gridCol w:w="989"/>
        <w:gridCol w:w="1456"/>
        <w:gridCol w:w="896"/>
        <w:gridCol w:w="1477"/>
      </w:tblGrid>
      <w:tr w:rsidR="00507423" w14:paraId="30486178"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tcPr>
          <w:p w14:paraId="6CE368AE" w14:textId="77777777" w:rsidR="00507423" w:rsidRDefault="00507423">
            <w:pPr>
              <w:keepNext/>
            </w:pPr>
          </w:p>
        </w:tc>
        <w:tc>
          <w:tcPr>
            <w:tcW w:w="851" w:type="dxa"/>
          </w:tcPr>
          <w:p w14:paraId="6B33DA10" w14:textId="77777777" w:rsidR="00507423" w:rsidRDefault="00507423">
            <w:pPr>
              <w:keepNext/>
              <w:cnfStyle w:val="100000000000" w:firstRow="1" w:lastRow="0" w:firstColumn="0" w:lastColumn="0" w:oddVBand="0" w:evenVBand="0" w:oddHBand="0" w:evenHBand="0" w:firstRowFirstColumn="0" w:firstRowLastColumn="0" w:lastRowFirstColumn="0" w:lastRowLastColumn="0"/>
            </w:pPr>
          </w:p>
        </w:tc>
        <w:tc>
          <w:tcPr>
            <w:tcW w:w="2445" w:type="dxa"/>
            <w:gridSpan w:val="2"/>
          </w:tcPr>
          <w:p w14:paraId="4FAE8303" w14:textId="3D90BC62" w:rsidR="00507423" w:rsidRDefault="00507423" w:rsidP="00507423">
            <w:pPr>
              <w:keepNext/>
              <w:jc w:val="center"/>
              <w:cnfStyle w:val="100000000000" w:firstRow="1" w:lastRow="0" w:firstColumn="0" w:lastColumn="0" w:oddVBand="0" w:evenVBand="0" w:oddHBand="0" w:evenHBand="0" w:firstRowFirstColumn="0" w:firstRowLastColumn="0" w:lastRowFirstColumn="0" w:lastRowLastColumn="0"/>
            </w:pPr>
            <w:r>
              <w:t>‑15%</w:t>
            </w:r>
          </w:p>
        </w:tc>
        <w:tc>
          <w:tcPr>
            <w:tcW w:w="2373" w:type="dxa"/>
            <w:gridSpan w:val="2"/>
            <w:tcBorders>
              <w:bottom w:val="single" w:sz="6" w:space="0" w:color="FFFFFF" w:themeColor="background1"/>
            </w:tcBorders>
          </w:tcPr>
          <w:p w14:paraId="0F75ABB1" w14:textId="6F8DD650" w:rsidR="00507423" w:rsidRDefault="00507423" w:rsidP="00507423">
            <w:pPr>
              <w:keepNext/>
              <w:jc w:val="center"/>
              <w:cnfStyle w:val="100000000000" w:firstRow="1" w:lastRow="0" w:firstColumn="0" w:lastColumn="0" w:oddVBand="0" w:evenVBand="0" w:oddHBand="0" w:evenHBand="0" w:firstRowFirstColumn="0" w:firstRowLastColumn="0" w:lastRowFirstColumn="0" w:lastRowLastColumn="0"/>
            </w:pPr>
            <w:r>
              <w:t>15%</w:t>
            </w:r>
          </w:p>
        </w:tc>
      </w:tr>
      <w:tr w:rsidR="00D35F80" w14:paraId="68DF39CF"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tcPr>
          <w:p w14:paraId="63D00CF6" w14:textId="300F178F" w:rsidR="00D35F80" w:rsidRDefault="003A413D">
            <w:pPr>
              <w:keepNext/>
            </w:pPr>
            <w:fldSimple w:instr="DOCPROPERTY  YearCurrent \* MERGEFORMAT">
              <w:r>
                <w:t>20X2</w:t>
              </w:r>
            </w:fldSimple>
          </w:p>
        </w:tc>
        <w:tc>
          <w:tcPr>
            <w:tcW w:w="851" w:type="dxa"/>
          </w:tcPr>
          <w:p w14:paraId="3F8E2770"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Carrying amount</w:t>
            </w:r>
          </w:p>
        </w:tc>
        <w:tc>
          <w:tcPr>
            <w:tcW w:w="989" w:type="dxa"/>
          </w:tcPr>
          <w:p w14:paraId="4B8BC702"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56" w:type="dxa"/>
          </w:tcPr>
          <w:p w14:paraId="4C5E70F7"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896" w:type="dxa"/>
            <w:tcBorders>
              <w:top w:val="single" w:sz="6" w:space="0" w:color="FFFFFF" w:themeColor="background1"/>
            </w:tcBorders>
          </w:tcPr>
          <w:p w14:paraId="5E209A61"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77" w:type="dxa"/>
            <w:tcBorders>
              <w:top w:val="single" w:sz="6" w:space="0" w:color="FFFFFF" w:themeColor="background1"/>
            </w:tcBorders>
          </w:tcPr>
          <w:p w14:paraId="23CF7599"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D35F80" w14:paraId="30AC9A35"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56B9A220" w14:textId="77777777" w:rsidR="00D35F80" w:rsidRDefault="00D47D44">
            <w:r>
              <w:t>Contractual financial assets</w:t>
            </w:r>
          </w:p>
        </w:tc>
        <w:tc>
          <w:tcPr>
            <w:tcW w:w="851" w:type="dxa"/>
          </w:tcPr>
          <w:p w14:paraId="2A8D7CFE"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1100EE2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6" w:type="dxa"/>
          </w:tcPr>
          <w:p w14:paraId="6BBDD5E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Pr>
          <w:p w14:paraId="6CC45A3B"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77" w:type="dxa"/>
          </w:tcPr>
          <w:p w14:paraId="43C67CC0"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55923A3"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68A4AF87" w14:textId="77777777" w:rsidR="00D35F80" w:rsidRDefault="00D47D44">
            <w:r>
              <w:t xml:space="preserve">Cash and deposits </w:t>
            </w:r>
            <w:r>
              <w:rPr>
                <w:vertAlign w:val="superscript"/>
              </w:rPr>
              <w:t>(a)</w:t>
            </w:r>
          </w:p>
        </w:tc>
        <w:tc>
          <w:tcPr>
            <w:tcW w:w="851" w:type="dxa"/>
          </w:tcPr>
          <w:p w14:paraId="10EECACD" w14:textId="77777777" w:rsidR="00D35F80" w:rsidRDefault="00D47D44">
            <w:pPr>
              <w:cnfStyle w:val="000000000000" w:firstRow="0" w:lastRow="0" w:firstColumn="0" w:lastColumn="0" w:oddVBand="0" w:evenVBand="0" w:oddHBand="0" w:evenHBand="0" w:firstRowFirstColumn="0" w:firstRowLastColumn="0" w:lastRowFirstColumn="0" w:lastRowLastColumn="0"/>
            </w:pPr>
            <w:r>
              <w:t>9 712</w:t>
            </w:r>
          </w:p>
        </w:tc>
        <w:tc>
          <w:tcPr>
            <w:tcW w:w="989" w:type="dxa"/>
          </w:tcPr>
          <w:p w14:paraId="33E6DE82" w14:textId="77777777" w:rsidR="00D35F80" w:rsidRDefault="00D47D44">
            <w:pPr>
              <w:cnfStyle w:val="000000000000" w:firstRow="0" w:lastRow="0" w:firstColumn="0" w:lastColumn="0" w:oddVBand="0" w:evenVBand="0" w:oddHBand="0" w:evenHBand="0" w:firstRowFirstColumn="0" w:firstRowLastColumn="0" w:lastRowFirstColumn="0" w:lastRowLastColumn="0"/>
            </w:pPr>
            <w:r>
              <w:t>1 714</w:t>
            </w:r>
          </w:p>
        </w:tc>
        <w:tc>
          <w:tcPr>
            <w:tcW w:w="1456" w:type="dxa"/>
          </w:tcPr>
          <w:p w14:paraId="3AF2F85E"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Pr>
          <w:p w14:paraId="162F1182" w14:textId="77777777" w:rsidR="00D35F80" w:rsidRDefault="00D47D44">
            <w:pPr>
              <w:cnfStyle w:val="000000000000" w:firstRow="0" w:lastRow="0" w:firstColumn="0" w:lastColumn="0" w:oddVBand="0" w:evenVBand="0" w:oddHBand="0" w:evenHBand="0" w:firstRowFirstColumn="0" w:firstRowLastColumn="0" w:lastRowFirstColumn="0" w:lastRowLastColumn="0"/>
            </w:pPr>
            <w:r>
              <w:t>(1 267)</w:t>
            </w:r>
          </w:p>
        </w:tc>
        <w:tc>
          <w:tcPr>
            <w:tcW w:w="1477" w:type="dxa"/>
          </w:tcPr>
          <w:p w14:paraId="26BF562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647CE3BC"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17B8D54C" w14:textId="77777777" w:rsidR="00D35F80" w:rsidRDefault="00D47D44">
            <w:r>
              <w:t xml:space="preserve">Receivables </w:t>
            </w:r>
            <w:r>
              <w:rPr>
                <w:vertAlign w:val="superscript"/>
              </w:rPr>
              <w:t>(b)(c)</w:t>
            </w:r>
          </w:p>
        </w:tc>
        <w:tc>
          <w:tcPr>
            <w:tcW w:w="851" w:type="dxa"/>
          </w:tcPr>
          <w:p w14:paraId="28DB771D" w14:textId="77777777" w:rsidR="00D35F80" w:rsidRDefault="00D47D44">
            <w:pPr>
              <w:cnfStyle w:val="000000000000" w:firstRow="0" w:lastRow="0" w:firstColumn="0" w:lastColumn="0" w:oddVBand="0" w:evenVBand="0" w:oddHBand="0" w:evenHBand="0" w:firstRowFirstColumn="0" w:firstRowLastColumn="0" w:lastRowFirstColumn="0" w:lastRowLastColumn="0"/>
            </w:pPr>
            <w:r>
              <w:t>4 094</w:t>
            </w:r>
          </w:p>
        </w:tc>
        <w:tc>
          <w:tcPr>
            <w:tcW w:w="989" w:type="dxa"/>
          </w:tcPr>
          <w:p w14:paraId="06755759" w14:textId="77777777" w:rsidR="00D35F80" w:rsidRDefault="00D47D44">
            <w:pPr>
              <w:cnfStyle w:val="000000000000" w:firstRow="0" w:lastRow="0" w:firstColumn="0" w:lastColumn="0" w:oddVBand="0" w:evenVBand="0" w:oddHBand="0" w:evenHBand="0" w:firstRowFirstColumn="0" w:firstRowLastColumn="0" w:lastRowFirstColumn="0" w:lastRowLastColumn="0"/>
            </w:pPr>
            <w:r>
              <w:t>722</w:t>
            </w:r>
          </w:p>
        </w:tc>
        <w:tc>
          <w:tcPr>
            <w:tcW w:w="1456" w:type="dxa"/>
          </w:tcPr>
          <w:p w14:paraId="5EA4B391"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Pr>
          <w:p w14:paraId="6F89B164" w14:textId="77777777" w:rsidR="00D35F80" w:rsidRDefault="00D47D44">
            <w:pPr>
              <w:cnfStyle w:val="000000000000" w:firstRow="0" w:lastRow="0" w:firstColumn="0" w:lastColumn="0" w:oddVBand="0" w:evenVBand="0" w:oddHBand="0" w:evenHBand="0" w:firstRowFirstColumn="0" w:firstRowLastColumn="0" w:lastRowFirstColumn="0" w:lastRowLastColumn="0"/>
            </w:pPr>
            <w:r>
              <w:t>(534)</w:t>
            </w:r>
          </w:p>
        </w:tc>
        <w:tc>
          <w:tcPr>
            <w:tcW w:w="1477" w:type="dxa"/>
          </w:tcPr>
          <w:p w14:paraId="106742DD"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0CDE0503"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tcPr>
          <w:p w14:paraId="2639A021" w14:textId="77777777" w:rsidR="00D35F80" w:rsidRDefault="00D47D44">
            <w:r>
              <w:t xml:space="preserve">Investments and other contractual financial assets </w:t>
            </w:r>
            <w:r>
              <w:rPr>
                <w:vertAlign w:val="superscript"/>
              </w:rPr>
              <w:t>(c)</w:t>
            </w:r>
          </w:p>
        </w:tc>
        <w:tc>
          <w:tcPr>
            <w:tcW w:w="851" w:type="dxa"/>
            <w:tcBorders>
              <w:bottom w:val="single" w:sz="12" w:space="0" w:color="auto"/>
            </w:tcBorders>
          </w:tcPr>
          <w:p w14:paraId="0BC0DCFF" w14:textId="77777777" w:rsidR="00D35F80" w:rsidRDefault="00D47D44">
            <w:pPr>
              <w:cnfStyle w:val="000000000000" w:firstRow="0" w:lastRow="0" w:firstColumn="0" w:lastColumn="0" w:oddVBand="0" w:evenVBand="0" w:oddHBand="0" w:evenHBand="0" w:firstRowFirstColumn="0" w:firstRowLastColumn="0" w:lastRowFirstColumn="0" w:lastRowLastColumn="0"/>
            </w:pPr>
            <w:r>
              <w:t>997</w:t>
            </w:r>
          </w:p>
        </w:tc>
        <w:tc>
          <w:tcPr>
            <w:tcW w:w="989" w:type="dxa"/>
            <w:tcBorders>
              <w:bottom w:val="single" w:sz="12" w:space="0" w:color="auto"/>
            </w:tcBorders>
          </w:tcPr>
          <w:p w14:paraId="00EACF4C" w14:textId="77777777" w:rsidR="00D35F80" w:rsidRDefault="00D47D44">
            <w:pPr>
              <w:cnfStyle w:val="000000000000" w:firstRow="0" w:lastRow="0" w:firstColumn="0" w:lastColumn="0" w:oddVBand="0" w:evenVBand="0" w:oddHBand="0" w:evenHBand="0" w:firstRowFirstColumn="0" w:firstRowLastColumn="0" w:lastRowFirstColumn="0" w:lastRowLastColumn="0"/>
            </w:pPr>
            <w:r>
              <w:t>176</w:t>
            </w:r>
          </w:p>
        </w:tc>
        <w:tc>
          <w:tcPr>
            <w:tcW w:w="1456" w:type="dxa"/>
            <w:tcBorders>
              <w:bottom w:val="single" w:sz="12" w:space="0" w:color="auto"/>
            </w:tcBorders>
          </w:tcPr>
          <w:p w14:paraId="4B1F53F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12" w:space="0" w:color="auto"/>
            </w:tcBorders>
          </w:tcPr>
          <w:p w14:paraId="0BE56E99" w14:textId="77777777" w:rsidR="00D35F80" w:rsidRDefault="00D47D44">
            <w:pPr>
              <w:cnfStyle w:val="000000000000" w:firstRow="0" w:lastRow="0" w:firstColumn="0" w:lastColumn="0" w:oddVBand="0" w:evenVBand="0" w:oddHBand="0" w:evenHBand="0" w:firstRowFirstColumn="0" w:firstRowLastColumn="0" w:lastRowFirstColumn="0" w:lastRowLastColumn="0"/>
            </w:pPr>
            <w:r>
              <w:t>(130)</w:t>
            </w:r>
          </w:p>
        </w:tc>
        <w:tc>
          <w:tcPr>
            <w:tcW w:w="1477" w:type="dxa"/>
            <w:tcBorders>
              <w:bottom w:val="single" w:sz="12" w:space="0" w:color="auto"/>
            </w:tcBorders>
          </w:tcPr>
          <w:p w14:paraId="7BD09B2D"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0B55C953"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3C72FAB7" w14:textId="77777777" w:rsidR="00D35F80" w:rsidRDefault="00D47D44">
            <w:r>
              <w:t>Total impact</w:t>
            </w:r>
          </w:p>
        </w:tc>
        <w:tc>
          <w:tcPr>
            <w:tcW w:w="851" w:type="dxa"/>
          </w:tcPr>
          <w:p w14:paraId="220901EB"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4E9B5A21" w14:textId="77777777" w:rsidR="00D35F80" w:rsidRDefault="00D47D44">
            <w:pPr>
              <w:cnfStyle w:val="000000000000" w:firstRow="0" w:lastRow="0" w:firstColumn="0" w:lastColumn="0" w:oddVBand="0" w:evenVBand="0" w:oddHBand="0" w:evenHBand="0" w:firstRowFirstColumn="0" w:firstRowLastColumn="0" w:lastRowFirstColumn="0" w:lastRowLastColumn="0"/>
            </w:pPr>
            <w:r>
              <w:t>2 612</w:t>
            </w:r>
          </w:p>
        </w:tc>
        <w:tc>
          <w:tcPr>
            <w:tcW w:w="1456" w:type="dxa"/>
          </w:tcPr>
          <w:p w14:paraId="38DD81F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Pr>
          <w:p w14:paraId="24CF1894" w14:textId="77777777" w:rsidR="00D35F80" w:rsidRDefault="00D47D44">
            <w:pPr>
              <w:cnfStyle w:val="000000000000" w:firstRow="0" w:lastRow="0" w:firstColumn="0" w:lastColumn="0" w:oddVBand="0" w:evenVBand="0" w:oddHBand="0" w:evenHBand="0" w:firstRowFirstColumn="0" w:firstRowLastColumn="0" w:lastRowFirstColumn="0" w:lastRowLastColumn="0"/>
            </w:pPr>
            <w:r>
              <w:t>(1 931)</w:t>
            </w:r>
          </w:p>
        </w:tc>
        <w:tc>
          <w:tcPr>
            <w:tcW w:w="1477" w:type="dxa"/>
          </w:tcPr>
          <w:p w14:paraId="37EE9C50"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671D55" w14:paraId="607502F4"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1BD69A13" w14:textId="77777777" w:rsidR="00D35F80" w:rsidRDefault="00D47D44">
            <w:r>
              <w:t>Contractual financial liabilities</w:t>
            </w:r>
          </w:p>
        </w:tc>
        <w:tc>
          <w:tcPr>
            <w:tcW w:w="851" w:type="dxa"/>
          </w:tcPr>
          <w:p w14:paraId="12E1822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7049DA7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6" w:type="dxa"/>
          </w:tcPr>
          <w:p w14:paraId="5C4E1291"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896" w:type="dxa"/>
          </w:tcPr>
          <w:p w14:paraId="3A2B25B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77" w:type="dxa"/>
          </w:tcPr>
          <w:p w14:paraId="2452733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386348D8" w14:textId="77777777" w:rsidTr="00507423">
        <w:tc>
          <w:tcPr>
            <w:cnfStyle w:val="001000000000" w:firstRow="0" w:lastRow="0" w:firstColumn="1" w:lastColumn="0" w:oddVBand="0" w:evenVBand="0" w:oddHBand="0" w:evenHBand="0" w:firstRowFirstColumn="0" w:firstRowLastColumn="0" w:lastRowFirstColumn="0" w:lastRowLastColumn="0"/>
            <w:tcW w:w="3969" w:type="dxa"/>
            <w:tcBorders>
              <w:bottom w:val="single" w:sz="12" w:space="0" w:color="auto"/>
            </w:tcBorders>
          </w:tcPr>
          <w:p w14:paraId="3C4607A5" w14:textId="77777777" w:rsidR="00D35F80" w:rsidRDefault="00D47D44">
            <w:r>
              <w:t xml:space="preserve">Payables </w:t>
            </w:r>
            <w:r>
              <w:rPr>
                <w:vertAlign w:val="superscript"/>
              </w:rPr>
              <w:t>(b)(c)</w:t>
            </w:r>
          </w:p>
        </w:tc>
        <w:tc>
          <w:tcPr>
            <w:tcW w:w="851" w:type="dxa"/>
            <w:tcBorders>
              <w:bottom w:val="single" w:sz="12" w:space="0" w:color="auto"/>
            </w:tcBorders>
          </w:tcPr>
          <w:p w14:paraId="65A017E3" w14:textId="77777777" w:rsidR="00D35F80" w:rsidRDefault="00D47D44">
            <w:pPr>
              <w:cnfStyle w:val="000000000000" w:firstRow="0" w:lastRow="0" w:firstColumn="0" w:lastColumn="0" w:oddVBand="0" w:evenVBand="0" w:oddHBand="0" w:evenHBand="0" w:firstRowFirstColumn="0" w:firstRowLastColumn="0" w:lastRowFirstColumn="0" w:lastRowLastColumn="0"/>
            </w:pPr>
            <w:r>
              <w:t>730</w:t>
            </w:r>
          </w:p>
        </w:tc>
        <w:tc>
          <w:tcPr>
            <w:tcW w:w="989" w:type="dxa"/>
            <w:tcBorders>
              <w:bottom w:val="single" w:sz="12" w:space="0" w:color="auto"/>
            </w:tcBorders>
          </w:tcPr>
          <w:p w14:paraId="49C13C3A" w14:textId="77777777" w:rsidR="00D35F80" w:rsidRDefault="00D47D44">
            <w:pPr>
              <w:cnfStyle w:val="000000000000" w:firstRow="0" w:lastRow="0" w:firstColumn="0" w:lastColumn="0" w:oddVBand="0" w:evenVBand="0" w:oddHBand="0" w:evenHBand="0" w:firstRowFirstColumn="0" w:firstRowLastColumn="0" w:lastRowFirstColumn="0" w:lastRowLastColumn="0"/>
            </w:pPr>
            <w:r>
              <w:t>129</w:t>
            </w:r>
          </w:p>
        </w:tc>
        <w:tc>
          <w:tcPr>
            <w:tcW w:w="1456" w:type="dxa"/>
            <w:tcBorders>
              <w:bottom w:val="single" w:sz="12" w:space="0" w:color="auto"/>
            </w:tcBorders>
          </w:tcPr>
          <w:p w14:paraId="153051F8"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896" w:type="dxa"/>
            <w:tcBorders>
              <w:bottom w:val="single" w:sz="12" w:space="0" w:color="auto"/>
            </w:tcBorders>
          </w:tcPr>
          <w:p w14:paraId="79C542D9" w14:textId="77777777" w:rsidR="00D35F80" w:rsidRDefault="00D47D44">
            <w:pPr>
              <w:cnfStyle w:val="000000000000" w:firstRow="0" w:lastRow="0" w:firstColumn="0" w:lastColumn="0" w:oddVBand="0" w:evenVBand="0" w:oddHBand="0" w:evenHBand="0" w:firstRowFirstColumn="0" w:firstRowLastColumn="0" w:lastRowFirstColumn="0" w:lastRowLastColumn="0"/>
            </w:pPr>
            <w:r>
              <w:t>(95)</w:t>
            </w:r>
          </w:p>
        </w:tc>
        <w:tc>
          <w:tcPr>
            <w:tcW w:w="1477" w:type="dxa"/>
            <w:tcBorders>
              <w:bottom w:val="single" w:sz="12" w:space="0" w:color="auto"/>
            </w:tcBorders>
          </w:tcPr>
          <w:p w14:paraId="1FA2820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6FDC40B2" w14:textId="77777777" w:rsidTr="00507423">
        <w:tc>
          <w:tcPr>
            <w:cnfStyle w:val="001000000000" w:firstRow="0" w:lastRow="0" w:firstColumn="1" w:lastColumn="0" w:oddVBand="0" w:evenVBand="0" w:oddHBand="0" w:evenHBand="0" w:firstRowFirstColumn="0" w:firstRowLastColumn="0" w:lastRowFirstColumn="0" w:lastRowLastColumn="0"/>
            <w:tcW w:w="3969" w:type="dxa"/>
          </w:tcPr>
          <w:p w14:paraId="53EE5B70" w14:textId="77777777" w:rsidR="00D35F80" w:rsidRDefault="00D47D44">
            <w:r>
              <w:rPr>
                <w:b/>
              </w:rPr>
              <w:t>Total impact</w:t>
            </w:r>
          </w:p>
        </w:tc>
        <w:tc>
          <w:tcPr>
            <w:tcW w:w="851" w:type="dxa"/>
          </w:tcPr>
          <w:p w14:paraId="7A36B0C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89" w:type="dxa"/>
          </w:tcPr>
          <w:p w14:paraId="1F289B03"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(129)</w:t>
            </w:r>
          </w:p>
        </w:tc>
        <w:tc>
          <w:tcPr>
            <w:tcW w:w="1456" w:type="dxa"/>
          </w:tcPr>
          <w:p w14:paraId="73CF77F6"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896" w:type="dxa"/>
          </w:tcPr>
          <w:p w14:paraId="793A0935"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95</w:t>
            </w:r>
          </w:p>
        </w:tc>
        <w:tc>
          <w:tcPr>
            <w:tcW w:w="1477" w:type="dxa"/>
          </w:tcPr>
          <w:p w14:paraId="4280255F"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r>
    </w:tbl>
    <w:p w14:paraId="513F7BD5" w14:textId="77777777" w:rsidR="00A121DA" w:rsidRDefault="00A121DA" w:rsidP="00A121DA"/>
    <w:tbl>
      <w:tblPr>
        <w:tblStyle w:val="DTFTable"/>
        <w:tblW w:w="9638" w:type="dxa"/>
        <w:tblLayout w:type="fixed"/>
        <w:tblLook w:val="06A0" w:firstRow="1" w:lastRow="0" w:firstColumn="1" w:lastColumn="0" w:noHBand="1" w:noVBand="1"/>
      </w:tblPr>
      <w:tblGrid>
        <w:gridCol w:w="3976"/>
        <w:gridCol w:w="854"/>
        <w:gridCol w:w="1007"/>
        <w:gridCol w:w="1414"/>
        <w:gridCol w:w="971"/>
        <w:gridCol w:w="1416"/>
      </w:tblGrid>
      <w:tr w:rsidR="00D35F80" w14:paraId="16D998BE" w14:textId="77777777" w:rsidTr="0050742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76" w:type="dxa"/>
          </w:tcPr>
          <w:p w14:paraId="2B702D36" w14:textId="02D9ADD8" w:rsidR="00D35F80" w:rsidRDefault="003A413D">
            <w:pPr>
              <w:keepNext/>
            </w:pPr>
            <w:fldSimple w:instr="DOCPROPERTY  YearPrevious  \* MERGEFORMAT">
              <w:r>
                <w:rPr>
                  <w:lang w:val="en-US"/>
                </w:rPr>
                <w:t>20X1</w:t>
              </w:r>
            </w:fldSimple>
          </w:p>
        </w:tc>
        <w:tc>
          <w:tcPr>
            <w:tcW w:w="854" w:type="dxa"/>
          </w:tcPr>
          <w:p w14:paraId="098336E7" w14:textId="217B1871"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007" w:type="dxa"/>
          </w:tcPr>
          <w:p w14:paraId="09DDFDEF" w14:textId="101F7293"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14" w:type="dxa"/>
          </w:tcPr>
          <w:p w14:paraId="24636E47" w14:textId="7E8003D1"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971" w:type="dxa"/>
          </w:tcPr>
          <w:p w14:paraId="158A52F7" w14:textId="7B441900"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16" w:type="dxa"/>
          </w:tcPr>
          <w:p w14:paraId="769D97E8" w14:textId="0329F261" w:rsidR="00D35F80" w:rsidRDefault="00D35F80">
            <w:pPr>
              <w:keepNext/>
              <w:cnfStyle w:val="100000000000" w:firstRow="1" w:lastRow="0" w:firstColumn="0" w:lastColumn="0" w:oddVBand="0" w:evenVBand="0" w:oddHBand="0" w:evenHBand="0" w:firstRowFirstColumn="0" w:firstRowLastColumn="0" w:lastRowFirstColumn="0" w:lastRowLastColumn="0"/>
            </w:pPr>
          </w:p>
        </w:tc>
      </w:tr>
      <w:tr w:rsidR="00D35F80" w14:paraId="13937BA8"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34C5756F" w14:textId="77777777" w:rsidR="00D35F80" w:rsidRDefault="00D47D44">
            <w:r>
              <w:t>Contractual financial assets</w:t>
            </w:r>
          </w:p>
        </w:tc>
        <w:tc>
          <w:tcPr>
            <w:tcW w:w="854" w:type="dxa"/>
          </w:tcPr>
          <w:p w14:paraId="1636F6F2"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55AC70A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4" w:type="dxa"/>
          </w:tcPr>
          <w:p w14:paraId="536AFFED"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4AE8FC97"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672F105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73C602F"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1BFB9488" w14:textId="77777777" w:rsidR="00D35F80" w:rsidRDefault="00D47D44">
            <w:r>
              <w:t xml:space="preserve">Cash and deposits </w:t>
            </w:r>
            <w:r>
              <w:rPr>
                <w:vertAlign w:val="superscript"/>
              </w:rPr>
              <w:t>(a)</w:t>
            </w:r>
          </w:p>
        </w:tc>
        <w:tc>
          <w:tcPr>
            <w:tcW w:w="854" w:type="dxa"/>
          </w:tcPr>
          <w:p w14:paraId="1D7DD73C" w14:textId="77777777" w:rsidR="00D35F80" w:rsidRDefault="00D47D44">
            <w:pPr>
              <w:cnfStyle w:val="000000000000" w:firstRow="0" w:lastRow="0" w:firstColumn="0" w:lastColumn="0" w:oddVBand="0" w:evenVBand="0" w:oddHBand="0" w:evenHBand="0" w:firstRowFirstColumn="0" w:firstRowLastColumn="0" w:lastRowFirstColumn="0" w:lastRowLastColumn="0"/>
            </w:pPr>
            <w:r>
              <w:t>7 936</w:t>
            </w:r>
          </w:p>
        </w:tc>
        <w:tc>
          <w:tcPr>
            <w:tcW w:w="1007" w:type="dxa"/>
          </w:tcPr>
          <w:p w14:paraId="7FB6EA9D" w14:textId="77777777" w:rsidR="00D35F80" w:rsidRDefault="00D47D44">
            <w:pPr>
              <w:cnfStyle w:val="000000000000" w:firstRow="0" w:lastRow="0" w:firstColumn="0" w:lastColumn="0" w:oddVBand="0" w:evenVBand="0" w:oddHBand="0" w:evenHBand="0" w:firstRowFirstColumn="0" w:firstRowLastColumn="0" w:lastRowFirstColumn="0" w:lastRowLastColumn="0"/>
            </w:pPr>
            <w:r>
              <w:t>1 400</w:t>
            </w:r>
          </w:p>
        </w:tc>
        <w:tc>
          <w:tcPr>
            <w:tcW w:w="1414" w:type="dxa"/>
          </w:tcPr>
          <w:p w14:paraId="275396B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4CCA23A1" w14:textId="77777777" w:rsidR="00D35F80" w:rsidRDefault="00D47D44">
            <w:pPr>
              <w:cnfStyle w:val="000000000000" w:firstRow="0" w:lastRow="0" w:firstColumn="0" w:lastColumn="0" w:oddVBand="0" w:evenVBand="0" w:oddHBand="0" w:evenHBand="0" w:firstRowFirstColumn="0" w:firstRowLastColumn="0" w:lastRowFirstColumn="0" w:lastRowLastColumn="0"/>
            </w:pPr>
            <w:r>
              <w:t>(1 035)</w:t>
            </w:r>
          </w:p>
        </w:tc>
        <w:tc>
          <w:tcPr>
            <w:tcW w:w="1416" w:type="dxa"/>
          </w:tcPr>
          <w:p w14:paraId="01C5AAF6"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5B8047F6"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0242A321" w14:textId="77777777" w:rsidR="00D35F80" w:rsidRDefault="00D47D44">
            <w:r>
              <w:t xml:space="preserve">Receivables </w:t>
            </w:r>
            <w:r>
              <w:rPr>
                <w:vertAlign w:val="superscript"/>
              </w:rPr>
              <w:t>(b)(c)</w:t>
            </w:r>
          </w:p>
        </w:tc>
        <w:tc>
          <w:tcPr>
            <w:tcW w:w="854" w:type="dxa"/>
          </w:tcPr>
          <w:p w14:paraId="5178C802" w14:textId="77777777" w:rsidR="00D35F80" w:rsidRDefault="00D47D44">
            <w:pPr>
              <w:cnfStyle w:val="000000000000" w:firstRow="0" w:lastRow="0" w:firstColumn="0" w:lastColumn="0" w:oddVBand="0" w:evenVBand="0" w:oddHBand="0" w:evenHBand="0" w:firstRowFirstColumn="0" w:firstRowLastColumn="0" w:lastRowFirstColumn="0" w:lastRowLastColumn="0"/>
            </w:pPr>
            <w:r>
              <w:t>3 850</w:t>
            </w:r>
          </w:p>
        </w:tc>
        <w:tc>
          <w:tcPr>
            <w:tcW w:w="1007" w:type="dxa"/>
          </w:tcPr>
          <w:p w14:paraId="219DD636" w14:textId="77777777" w:rsidR="00D35F80" w:rsidRDefault="00D47D44">
            <w:pPr>
              <w:cnfStyle w:val="000000000000" w:firstRow="0" w:lastRow="0" w:firstColumn="0" w:lastColumn="0" w:oddVBand="0" w:evenVBand="0" w:oddHBand="0" w:evenHBand="0" w:firstRowFirstColumn="0" w:firstRowLastColumn="0" w:lastRowFirstColumn="0" w:lastRowLastColumn="0"/>
            </w:pPr>
            <w:r>
              <w:t>679</w:t>
            </w:r>
          </w:p>
        </w:tc>
        <w:tc>
          <w:tcPr>
            <w:tcW w:w="1414" w:type="dxa"/>
          </w:tcPr>
          <w:p w14:paraId="3F2FAC29"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22EC72DE" w14:textId="77777777" w:rsidR="00D35F80" w:rsidRDefault="00D47D44">
            <w:pPr>
              <w:cnfStyle w:val="000000000000" w:firstRow="0" w:lastRow="0" w:firstColumn="0" w:lastColumn="0" w:oddVBand="0" w:evenVBand="0" w:oddHBand="0" w:evenHBand="0" w:firstRowFirstColumn="0" w:firstRowLastColumn="0" w:lastRowFirstColumn="0" w:lastRowLastColumn="0"/>
            </w:pPr>
            <w:r>
              <w:t>(502)</w:t>
            </w:r>
          </w:p>
        </w:tc>
        <w:tc>
          <w:tcPr>
            <w:tcW w:w="1416" w:type="dxa"/>
          </w:tcPr>
          <w:p w14:paraId="63FF7D8C"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D35F80" w14:paraId="1E63048F"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63559BFB" w14:textId="77777777" w:rsidR="00D35F80" w:rsidRDefault="00D47D44">
            <w:r>
              <w:t xml:space="preserve">Investments and other contractual financial assets </w:t>
            </w:r>
            <w:r>
              <w:rPr>
                <w:vertAlign w:val="superscript"/>
              </w:rPr>
              <w:t>(c)</w:t>
            </w:r>
          </w:p>
        </w:tc>
        <w:tc>
          <w:tcPr>
            <w:tcW w:w="854" w:type="dxa"/>
            <w:tcBorders>
              <w:bottom w:val="single" w:sz="12" w:space="0" w:color="auto"/>
            </w:tcBorders>
          </w:tcPr>
          <w:p w14:paraId="664DD070" w14:textId="77777777" w:rsidR="00D35F80" w:rsidRDefault="00D47D44">
            <w:pPr>
              <w:cnfStyle w:val="000000000000" w:firstRow="0" w:lastRow="0" w:firstColumn="0" w:lastColumn="0" w:oddVBand="0" w:evenVBand="0" w:oddHBand="0" w:evenHBand="0" w:firstRowFirstColumn="0" w:firstRowLastColumn="0" w:lastRowFirstColumn="0" w:lastRowLastColumn="0"/>
            </w:pPr>
            <w:r>
              <w:t>750</w:t>
            </w:r>
          </w:p>
        </w:tc>
        <w:tc>
          <w:tcPr>
            <w:tcW w:w="1007" w:type="dxa"/>
            <w:tcBorders>
              <w:bottom w:val="single" w:sz="12" w:space="0" w:color="auto"/>
            </w:tcBorders>
          </w:tcPr>
          <w:p w14:paraId="524233E0" w14:textId="77777777" w:rsidR="00D35F80" w:rsidRDefault="00D47D44">
            <w:pPr>
              <w:cnfStyle w:val="000000000000" w:firstRow="0" w:lastRow="0" w:firstColumn="0" w:lastColumn="0" w:oddVBand="0" w:evenVBand="0" w:oddHBand="0" w:evenHBand="0" w:firstRowFirstColumn="0" w:firstRowLastColumn="0" w:lastRowFirstColumn="0" w:lastRowLastColumn="0"/>
            </w:pPr>
            <w:r>
              <w:t>132</w:t>
            </w:r>
          </w:p>
        </w:tc>
        <w:tc>
          <w:tcPr>
            <w:tcW w:w="1414" w:type="dxa"/>
            <w:tcBorders>
              <w:bottom w:val="single" w:sz="12" w:space="0" w:color="auto"/>
            </w:tcBorders>
          </w:tcPr>
          <w:p w14:paraId="50CCF463"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Borders>
              <w:bottom w:val="single" w:sz="12" w:space="0" w:color="auto"/>
            </w:tcBorders>
          </w:tcPr>
          <w:p w14:paraId="61C855E6" w14:textId="77777777" w:rsidR="00D35F80" w:rsidRDefault="00D47D44">
            <w:pPr>
              <w:cnfStyle w:val="000000000000" w:firstRow="0" w:lastRow="0" w:firstColumn="0" w:lastColumn="0" w:oddVBand="0" w:evenVBand="0" w:oddHBand="0" w:evenHBand="0" w:firstRowFirstColumn="0" w:firstRowLastColumn="0" w:lastRowFirstColumn="0" w:lastRowLastColumn="0"/>
            </w:pPr>
            <w:r>
              <w:t>(98)</w:t>
            </w:r>
          </w:p>
        </w:tc>
        <w:tc>
          <w:tcPr>
            <w:tcW w:w="1416" w:type="dxa"/>
            <w:tcBorders>
              <w:bottom w:val="single" w:sz="12" w:space="0" w:color="auto"/>
            </w:tcBorders>
          </w:tcPr>
          <w:p w14:paraId="5D9453E3"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0959A8E7"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57B2944D" w14:textId="77777777" w:rsidR="00D35F80" w:rsidRDefault="00D47D44">
            <w:r>
              <w:t>Total impact</w:t>
            </w:r>
          </w:p>
        </w:tc>
        <w:tc>
          <w:tcPr>
            <w:tcW w:w="854" w:type="dxa"/>
          </w:tcPr>
          <w:p w14:paraId="78F02A3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30902419" w14:textId="77777777" w:rsidR="00D35F80" w:rsidRDefault="00D47D44">
            <w:pPr>
              <w:cnfStyle w:val="000000000000" w:firstRow="0" w:lastRow="0" w:firstColumn="0" w:lastColumn="0" w:oddVBand="0" w:evenVBand="0" w:oddHBand="0" w:evenHBand="0" w:firstRowFirstColumn="0" w:firstRowLastColumn="0" w:lastRowFirstColumn="0" w:lastRowLastColumn="0"/>
            </w:pPr>
            <w:r>
              <w:t>2 211</w:t>
            </w:r>
          </w:p>
        </w:tc>
        <w:tc>
          <w:tcPr>
            <w:tcW w:w="1414" w:type="dxa"/>
          </w:tcPr>
          <w:p w14:paraId="24C59BD7"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Pr>
          <w:p w14:paraId="4BF848E4" w14:textId="77777777" w:rsidR="00D35F80" w:rsidRDefault="00D47D44">
            <w:pPr>
              <w:cnfStyle w:val="000000000000" w:firstRow="0" w:lastRow="0" w:firstColumn="0" w:lastColumn="0" w:oddVBand="0" w:evenVBand="0" w:oddHBand="0" w:evenHBand="0" w:firstRowFirstColumn="0" w:firstRowLastColumn="0" w:lastRowFirstColumn="0" w:lastRowLastColumn="0"/>
            </w:pPr>
            <w:r>
              <w:t>(1 635)</w:t>
            </w:r>
          </w:p>
        </w:tc>
        <w:tc>
          <w:tcPr>
            <w:tcW w:w="1416" w:type="dxa"/>
          </w:tcPr>
          <w:p w14:paraId="0F113F1A"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60F6126A"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7A899F3C" w14:textId="77777777" w:rsidR="00D35F80" w:rsidRDefault="00D47D44">
            <w:r>
              <w:t>Contractual financial liabilities</w:t>
            </w:r>
          </w:p>
        </w:tc>
        <w:tc>
          <w:tcPr>
            <w:tcW w:w="854" w:type="dxa"/>
          </w:tcPr>
          <w:p w14:paraId="0CAEC4D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27C1883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4" w:type="dxa"/>
          </w:tcPr>
          <w:p w14:paraId="4693EE0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341FCEB9"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434A67EC"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14339502" w14:textId="77777777" w:rsidTr="00507423">
        <w:tc>
          <w:tcPr>
            <w:cnfStyle w:val="001000000000" w:firstRow="0" w:lastRow="0" w:firstColumn="1" w:lastColumn="0" w:oddVBand="0" w:evenVBand="0" w:oddHBand="0" w:evenHBand="0" w:firstRowFirstColumn="0" w:firstRowLastColumn="0" w:lastRowFirstColumn="0" w:lastRowLastColumn="0"/>
            <w:tcW w:w="3976" w:type="dxa"/>
            <w:tcBorders>
              <w:bottom w:val="single" w:sz="12" w:space="0" w:color="auto"/>
            </w:tcBorders>
          </w:tcPr>
          <w:p w14:paraId="40A2AEF0" w14:textId="77777777" w:rsidR="00D35F80" w:rsidRDefault="00D47D44">
            <w:r>
              <w:t xml:space="preserve">Payables </w:t>
            </w:r>
            <w:r>
              <w:rPr>
                <w:vertAlign w:val="superscript"/>
              </w:rPr>
              <w:t>(b)(c)</w:t>
            </w:r>
          </w:p>
        </w:tc>
        <w:tc>
          <w:tcPr>
            <w:tcW w:w="854" w:type="dxa"/>
            <w:tcBorders>
              <w:bottom w:val="single" w:sz="12" w:space="0" w:color="auto"/>
            </w:tcBorders>
          </w:tcPr>
          <w:p w14:paraId="3C1DF5CB" w14:textId="77777777" w:rsidR="00D35F80" w:rsidRDefault="00D47D44">
            <w:pPr>
              <w:cnfStyle w:val="000000000000" w:firstRow="0" w:lastRow="0" w:firstColumn="0" w:lastColumn="0" w:oddVBand="0" w:evenVBand="0" w:oddHBand="0" w:evenHBand="0" w:firstRowFirstColumn="0" w:firstRowLastColumn="0" w:lastRowFirstColumn="0" w:lastRowLastColumn="0"/>
            </w:pPr>
            <w:r>
              <w:t>866</w:t>
            </w:r>
          </w:p>
        </w:tc>
        <w:tc>
          <w:tcPr>
            <w:tcW w:w="1007" w:type="dxa"/>
            <w:tcBorders>
              <w:bottom w:val="single" w:sz="12" w:space="0" w:color="auto"/>
            </w:tcBorders>
          </w:tcPr>
          <w:p w14:paraId="646B46F5" w14:textId="77777777" w:rsidR="00D35F80" w:rsidRDefault="00D47D44">
            <w:pPr>
              <w:cnfStyle w:val="000000000000" w:firstRow="0" w:lastRow="0" w:firstColumn="0" w:lastColumn="0" w:oddVBand="0" w:evenVBand="0" w:oddHBand="0" w:evenHBand="0" w:firstRowFirstColumn="0" w:firstRowLastColumn="0" w:lastRowFirstColumn="0" w:lastRowLastColumn="0"/>
            </w:pPr>
            <w:r>
              <w:t>153</w:t>
            </w:r>
          </w:p>
        </w:tc>
        <w:tc>
          <w:tcPr>
            <w:tcW w:w="1414" w:type="dxa"/>
            <w:tcBorders>
              <w:bottom w:val="single" w:sz="12" w:space="0" w:color="auto"/>
            </w:tcBorders>
          </w:tcPr>
          <w:p w14:paraId="028E1985"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971" w:type="dxa"/>
            <w:tcBorders>
              <w:bottom w:val="single" w:sz="12" w:space="0" w:color="auto"/>
            </w:tcBorders>
          </w:tcPr>
          <w:p w14:paraId="2075C81A" w14:textId="77777777" w:rsidR="00D35F80" w:rsidRDefault="00D47D44">
            <w:pPr>
              <w:cnfStyle w:val="000000000000" w:firstRow="0" w:lastRow="0" w:firstColumn="0" w:lastColumn="0" w:oddVBand="0" w:evenVBand="0" w:oddHBand="0" w:evenHBand="0" w:firstRowFirstColumn="0" w:firstRowLastColumn="0" w:lastRowFirstColumn="0" w:lastRowLastColumn="0"/>
            </w:pPr>
            <w:r>
              <w:t>(113)</w:t>
            </w:r>
          </w:p>
        </w:tc>
        <w:tc>
          <w:tcPr>
            <w:tcW w:w="1416" w:type="dxa"/>
            <w:tcBorders>
              <w:bottom w:val="single" w:sz="12" w:space="0" w:color="auto"/>
            </w:tcBorders>
          </w:tcPr>
          <w:p w14:paraId="618A5D8B"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r>
      <w:tr w:rsidR="00671D55" w14:paraId="75DBF460" w14:textId="77777777" w:rsidTr="00507423">
        <w:tc>
          <w:tcPr>
            <w:cnfStyle w:val="001000000000" w:firstRow="0" w:lastRow="0" w:firstColumn="1" w:lastColumn="0" w:oddVBand="0" w:evenVBand="0" w:oddHBand="0" w:evenHBand="0" w:firstRowFirstColumn="0" w:firstRowLastColumn="0" w:lastRowFirstColumn="0" w:lastRowLastColumn="0"/>
            <w:tcW w:w="3976" w:type="dxa"/>
          </w:tcPr>
          <w:p w14:paraId="19E83CB4" w14:textId="77777777" w:rsidR="00D35F80" w:rsidRDefault="00D47D44">
            <w:r>
              <w:rPr>
                <w:b/>
              </w:rPr>
              <w:t>Total impact</w:t>
            </w:r>
          </w:p>
        </w:tc>
        <w:tc>
          <w:tcPr>
            <w:tcW w:w="854" w:type="dxa"/>
          </w:tcPr>
          <w:p w14:paraId="7D6D8A19"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07" w:type="dxa"/>
          </w:tcPr>
          <w:p w14:paraId="6E57D093"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(153)</w:t>
            </w:r>
          </w:p>
        </w:tc>
        <w:tc>
          <w:tcPr>
            <w:tcW w:w="1414" w:type="dxa"/>
          </w:tcPr>
          <w:p w14:paraId="39E97C08"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971" w:type="dxa"/>
          </w:tcPr>
          <w:p w14:paraId="4D4816A6"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113</w:t>
            </w:r>
          </w:p>
        </w:tc>
        <w:tc>
          <w:tcPr>
            <w:tcW w:w="1416" w:type="dxa"/>
          </w:tcPr>
          <w:p w14:paraId="6199ACAE"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r>
    </w:tbl>
    <w:p w14:paraId="029E5F57" w14:textId="77777777" w:rsidR="003719CD" w:rsidRDefault="003719CD" w:rsidP="007D536F">
      <w:pPr>
        <w:pStyle w:val="Note"/>
      </w:pPr>
      <w:r>
        <w:t>Notes:</w:t>
      </w:r>
    </w:p>
    <w:p w14:paraId="10BC2B67" w14:textId="4E9E441F" w:rsidR="003719CD" w:rsidRDefault="003719CD" w:rsidP="007D536F">
      <w:pPr>
        <w:pStyle w:val="Note"/>
      </w:pPr>
      <w:r>
        <w:t>(a)</w:t>
      </w:r>
      <w:r>
        <w:tab/>
        <w:t>Cash and deposits include a deposit of $9 712 thousand (</w:t>
      </w:r>
      <w:fldSimple w:instr="DOCPROPERTY  YearPrevious  \* MERGEFORMAT">
        <w:r w:rsidR="000911E0">
          <w:t>20X1</w:t>
        </w:r>
      </w:fldSimple>
      <w:r>
        <w:t>: $7 936 thousand) that is exposed to USD foreign currency movements. Sensitivities to these movements are calculated as follows:</w:t>
      </w:r>
    </w:p>
    <w:p w14:paraId="1DD9DB00" w14:textId="28A83101" w:rsidR="003719CD" w:rsidRDefault="003719CD" w:rsidP="007D536F">
      <w:pPr>
        <w:pStyle w:val="Note"/>
      </w:pPr>
      <w:r>
        <w:tab/>
        <w:t>–</w:t>
      </w:r>
      <w:r>
        <w:tab/>
      </w:r>
      <w:fldSimple w:instr="DOCPROPERTY  YearCurrent  \* MERGEFORMAT">
        <w:r w:rsidR="00802D33">
          <w:t>20X2</w:t>
        </w:r>
      </w:fldSimple>
      <w:r>
        <w:t xml:space="preserve">: [$9 712 thousand x 0.9/(0.9(1-0.15))] – $9 712 thousand = $1 714 thousand; </w:t>
      </w:r>
    </w:p>
    <w:p w14:paraId="49B34B8B" w14:textId="77777777" w:rsidR="003719CD" w:rsidRDefault="003719CD" w:rsidP="007D536F">
      <w:pPr>
        <w:pStyle w:val="Note"/>
      </w:pPr>
      <w:r>
        <w:tab/>
      </w:r>
      <w:r>
        <w:tab/>
        <w:t>and [$9 712 thousand x 0.9/(0.9(1+0.15))] – $9 712 thousand = $1 267 thousand; and</w:t>
      </w:r>
    </w:p>
    <w:p w14:paraId="7E65E457" w14:textId="576CC1BD" w:rsidR="003719CD" w:rsidRDefault="003719CD" w:rsidP="007D536F">
      <w:pPr>
        <w:pStyle w:val="Note"/>
      </w:pPr>
      <w:r>
        <w:tab/>
        <w:t>–</w:t>
      </w:r>
      <w:r>
        <w:tab/>
      </w:r>
      <w:fldSimple w:instr="DOCPROPERTY  YearPrevious  \* MERGEFORMAT">
        <w:r w:rsidR="00802D33">
          <w:t>20X1</w:t>
        </w:r>
      </w:fldSimple>
      <w:r>
        <w:t xml:space="preserve">: [$7 936 thousand x 0.9/(0.9(1-0.15))] – $7 936 thousand = $1 401 thousand; </w:t>
      </w:r>
    </w:p>
    <w:p w14:paraId="25F5DD6F" w14:textId="77777777" w:rsidR="003719CD" w:rsidRDefault="003719CD" w:rsidP="007D536F">
      <w:pPr>
        <w:pStyle w:val="Note"/>
      </w:pPr>
      <w:r>
        <w:tab/>
      </w:r>
      <w:r>
        <w:tab/>
        <w:t xml:space="preserve">and [$7 936 thousand x 0.9/(0.9(1+0.1))] – $7 936 thousand = – $1 035 thousand. </w:t>
      </w:r>
      <w:r w:rsidRPr="00430E85">
        <w:rPr>
          <w:rStyle w:val="Reference"/>
          <w:sz w:val="14"/>
          <w:szCs w:val="16"/>
        </w:rPr>
        <w:t>[AASB 7.40(b)]</w:t>
      </w:r>
    </w:p>
    <w:p w14:paraId="643CC0AA" w14:textId="77777777" w:rsidR="003719CD" w:rsidRDefault="003719CD" w:rsidP="007D536F">
      <w:pPr>
        <w:pStyle w:val="Note"/>
      </w:pPr>
      <w:r>
        <w:t>(b)</w:t>
      </w:r>
      <w:r>
        <w:tab/>
        <w:t xml:space="preserve">The carrying amounts disclosed here exclude statutory amounts (e.g. amounts owing from the Victorian Government, GST input tax credit recoverable, and GST payables). </w:t>
      </w:r>
      <w:r w:rsidRPr="00430E85">
        <w:rPr>
          <w:rStyle w:val="Reference"/>
          <w:sz w:val="14"/>
          <w:szCs w:val="16"/>
        </w:rPr>
        <w:t>[AASB 132.AG12]</w:t>
      </w:r>
    </w:p>
    <w:p w14:paraId="09B835B1" w14:textId="77777777" w:rsidR="003719CD" w:rsidRDefault="003719CD" w:rsidP="007D536F">
      <w:pPr>
        <w:pStyle w:val="Note"/>
      </w:pPr>
      <w:bookmarkStart w:id="121" w:name="_Hlk67925744"/>
      <w:r>
        <w:t>(c)</w:t>
      </w:r>
      <w:r>
        <w:tab/>
      </w:r>
      <w:r w:rsidRPr="00430E85">
        <w:rPr>
          <w:rStyle w:val="Guidance"/>
        </w:rPr>
        <w:t>[Disclosures on amounts exposed to movements in foreign currencies and the method of calculations as per note (b)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bookmarkEnd w:id="121"/>
    <w:p w14:paraId="578FE018" w14:textId="77777777" w:rsidR="00C73E9E" w:rsidRDefault="00C73E9E">
      <w:pPr>
        <w:keepLines w:val="0"/>
        <w:rPr>
          <w:rFonts w:asciiTheme="majorHAnsi" w:eastAsiaTheme="majorEastAsia" w:hAnsiTheme="majorHAnsi" w:cstheme="majorBidi"/>
          <w:b/>
          <w:sz w:val="22"/>
          <w:szCs w:val="24"/>
        </w:rPr>
      </w:pPr>
      <w:r>
        <w:br w:type="page"/>
      </w:r>
    </w:p>
    <w:p w14:paraId="79211940" w14:textId="289EDC21" w:rsidR="003719CD" w:rsidRDefault="003719CD" w:rsidP="007D536F">
      <w:pPr>
        <w:pStyle w:val="Heading3"/>
      </w:pPr>
      <w:r>
        <w:lastRenderedPageBreak/>
        <w:t xml:space="preserve">Equity price risk </w:t>
      </w:r>
      <w:r w:rsidRPr="00430E85">
        <w:rPr>
          <w:rStyle w:val="Reference"/>
        </w:rPr>
        <w:t>[AASB 7.33]</w:t>
      </w:r>
    </w:p>
    <w:p w14:paraId="05D2B1DA" w14:textId="77777777" w:rsidR="003719CD" w:rsidRDefault="003719CD" w:rsidP="00DC39DE">
      <w:r>
        <w:t>The Department is exposed to equity price risk through its investments in listed and unlisted shares and managed investment schemes. Such investments are allocated and traded to match the investment objectives appropriate for the Department’s liabilities.</w:t>
      </w:r>
    </w:p>
    <w:p w14:paraId="7EFDA693" w14:textId="77777777" w:rsidR="003719CD" w:rsidRDefault="003719CD" w:rsidP="00DC39DE">
      <w:r>
        <w:t>The Department appointed a State organisation to manage its investment portfolio in accordance with the Investment Risk Management Plan approved by the Treasurer. The fund manager on behalf of the Department closely monitors performance and manages the equity price risk through diversification of its investment portfolio.</w:t>
      </w:r>
    </w:p>
    <w:p w14:paraId="61DB1FFA" w14:textId="71A54609" w:rsidR="00507423" w:rsidRDefault="003719CD" w:rsidP="00DC39DE">
      <w:r>
        <w:t>The Department’s sensitivity to equity price risk is set out below.</w:t>
      </w:r>
    </w:p>
    <w:p w14:paraId="795E3281" w14:textId="3EA1648E" w:rsidR="003719CD" w:rsidRDefault="003719CD" w:rsidP="007D536F">
      <w:pPr>
        <w:pStyle w:val="Caption"/>
      </w:pPr>
      <w:r>
        <w:t xml:space="preserve">Other price risk sensitivity </w:t>
      </w:r>
      <w:r w:rsidRPr="00430E85">
        <w:rPr>
          <w:rStyle w:val="Reference"/>
        </w:rPr>
        <w:t>[AASB 7.31, 34, 40(a)]</w:t>
      </w:r>
      <w:r>
        <w:tab/>
        <w:t>($ thousand)</w:t>
      </w:r>
    </w:p>
    <w:tbl>
      <w:tblPr>
        <w:tblStyle w:val="DTFTable"/>
        <w:tblW w:w="9638" w:type="dxa"/>
        <w:tblLayout w:type="fixed"/>
        <w:tblLook w:val="06A0" w:firstRow="1" w:lastRow="0" w:firstColumn="1" w:lastColumn="0" w:noHBand="1" w:noVBand="1"/>
      </w:tblPr>
      <w:tblGrid>
        <w:gridCol w:w="3906"/>
        <w:gridCol w:w="854"/>
        <w:gridCol w:w="979"/>
        <w:gridCol w:w="1512"/>
        <w:gridCol w:w="971"/>
        <w:gridCol w:w="1416"/>
      </w:tblGrid>
      <w:tr w:rsidR="005F5F82" w14:paraId="736E74A0"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28FF29A8" w14:textId="77777777" w:rsidR="005F5F82" w:rsidRDefault="005F5F82">
            <w:pPr>
              <w:keepNext/>
            </w:pPr>
          </w:p>
        </w:tc>
        <w:tc>
          <w:tcPr>
            <w:tcW w:w="854" w:type="dxa"/>
          </w:tcPr>
          <w:p w14:paraId="5FEDCD4C" w14:textId="77777777" w:rsidR="005F5F82" w:rsidRDefault="005F5F82">
            <w:pPr>
              <w:keepNext/>
              <w:cnfStyle w:val="100000000000" w:firstRow="1" w:lastRow="0" w:firstColumn="0" w:lastColumn="0" w:oddVBand="0" w:evenVBand="0" w:oddHBand="0" w:evenHBand="0" w:firstRowFirstColumn="0" w:firstRowLastColumn="0" w:lastRowFirstColumn="0" w:lastRowLastColumn="0"/>
            </w:pPr>
          </w:p>
        </w:tc>
        <w:tc>
          <w:tcPr>
            <w:tcW w:w="2491" w:type="dxa"/>
            <w:gridSpan w:val="2"/>
          </w:tcPr>
          <w:p w14:paraId="64EE9E92" w14:textId="053A1526" w:rsidR="005F5F82" w:rsidRDefault="005F5F82" w:rsidP="005F5F82">
            <w:pPr>
              <w:keepNext/>
              <w:jc w:val="center"/>
              <w:cnfStyle w:val="100000000000" w:firstRow="1" w:lastRow="0" w:firstColumn="0" w:lastColumn="0" w:oddVBand="0" w:evenVBand="0" w:oddHBand="0" w:evenHBand="0" w:firstRowFirstColumn="0" w:firstRowLastColumn="0" w:lastRowFirstColumn="0" w:lastRowLastColumn="0"/>
            </w:pPr>
            <w:r>
              <w:t>‑15%</w:t>
            </w:r>
          </w:p>
        </w:tc>
        <w:tc>
          <w:tcPr>
            <w:tcW w:w="2387" w:type="dxa"/>
            <w:gridSpan w:val="2"/>
            <w:tcBorders>
              <w:bottom w:val="single" w:sz="6" w:space="0" w:color="FFFFFF" w:themeColor="background1"/>
            </w:tcBorders>
          </w:tcPr>
          <w:p w14:paraId="6E815A34" w14:textId="72B8F05F" w:rsidR="005F5F82" w:rsidRDefault="005F5F82" w:rsidP="005F5F82">
            <w:pPr>
              <w:keepNext/>
              <w:jc w:val="center"/>
              <w:cnfStyle w:val="100000000000" w:firstRow="1" w:lastRow="0" w:firstColumn="0" w:lastColumn="0" w:oddVBand="0" w:evenVBand="0" w:oddHBand="0" w:evenHBand="0" w:firstRowFirstColumn="0" w:firstRowLastColumn="0" w:lastRowFirstColumn="0" w:lastRowLastColumn="0"/>
            </w:pPr>
            <w:r>
              <w:t>15%</w:t>
            </w:r>
          </w:p>
        </w:tc>
      </w:tr>
      <w:tr w:rsidR="00D35F80" w14:paraId="71E01EA5" w14:textId="77777777" w:rsidTr="00C73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6F7D0227" w14:textId="18C980F1" w:rsidR="00D35F80" w:rsidRDefault="00381E05">
            <w:pPr>
              <w:keepNext/>
            </w:pPr>
            <w:fldSimple w:instr="DOCPROPERTY  YearCurrent \* MERGEFORMAT">
              <w:r>
                <w:t>20X2</w:t>
              </w:r>
            </w:fldSimple>
          </w:p>
        </w:tc>
        <w:tc>
          <w:tcPr>
            <w:tcW w:w="854" w:type="dxa"/>
          </w:tcPr>
          <w:p w14:paraId="29C87EE4"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Carrying amount</w:t>
            </w:r>
          </w:p>
        </w:tc>
        <w:tc>
          <w:tcPr>
            <w:tcW w:w="979" w:type="dxa"/>
          </w:tcPr>
          <w:p w14:paraId="0BB8B9E3"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512" w:type="dxa"/>
          </w:tcPr>
          <w:p w14:paraId="48BFF0C3"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c>
          <w:tcPr>
            <w:tcW w:w="971" w:type="dxa"/>
            <w:tcBorders>
              <w:top w:val="single" w:sz="6" w:space="0" w:color="FFFFFF" w:themeColor="background1"/>
            </w:tcBorders>
          </w:tcPr>
          <w:p w14:paraId="068444A1"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Net result</w:t>
            </w:r>
          </w:p>
        </w:tc>
        <w:tc>
          <w:tcPr>
            <w:tcW w:w="1416" w:type="dxa"/>
            <w:tcBorders>
              <w:top w:val="single" w:sz="6" w:space="0" w:color="FFFFFF" w:themeColor="background1"/>
            </w:tcBorders>
          </w:tcPr>
          <w:p w14:paraId="1B499B86" w14:textId="77777777" w:rsidR="00D35F80" w:rsidRDefault="00D47D44">
            <w:pPr>
              <w:keepNext/>
              <w:cnfStyle w:val="100000000000" w:firstRow="1" w:lastRow="0" w:firstColumn="0" w:lastColumn="0" w:oddVBand="0" w:evenVBand="0" w:oddHBand="0" w:evenHBand="0" w:firstRowFirstColumn="0" w:firstRowLastColumn="0" w:lastRowFirstColumn="0" w:lastRowLastColumn="0"/>
            </w:pPr>
            <w:r>
              <w:t>Fair value through OCI revaluation reserve</w:t>
            </w:r>
          </w:p>
        </w:tc>
      </w:tr>
      <w:tr w:rsidR="00D35F80" w14:paraId="37637DD0"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3E049E45" w14:textId="77777777" w:rsidR="00D35F80" w:rsidRDefault="00D47D44">
            <w:r>
              <w:t>Contractual financial assets</w:t>
            </w:r>
          </w:p>
        </w:tc>
        <w:tc>
          <w:tcPr>
            <w:tcW w:w="854" w:type="dxa"/>
          </w:tcPr>
          <w:p w14:paraId="5238A07F"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9" w:type="dxa"/>
          </w:tcPr>
          <w:p w14:paraId="6172036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512" w:type="dxa"/>
          </w:tcPr>
          <w:p w14:paraId="6DF94308"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1" w:type="dxa"/>
          </w:tcPr>
          <w:p w14:paraId="0E8D8817"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16" w:type="dxa"/>
          </w:tcPr>
          <w:p w14:paraId="66AA895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4B40D383"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bottom w:val="single" w:sz="12" w:space="0" w:color="auto"/>
            </w:tcBorders>
          </w:tcPr>
          <w:p w14:paraId="7EDE58AB" w14:textId="77777777" w:rsidR="00D35F80" w:rsidRDefault="00D47D44">
            <w:r>
              <w:t xml:space="preserve">Investments and other contractual financial assets </w:t>
            </w:r>
            <w:r>
              <w:rPr>
                <w:vertAlign w:val="superscript"/>
              </w:rPr>
              <w:t>(a)</w:t>
            </w:r>
          </w:p>
        </w:tc>
        <w:tc>
          <w:tcPr>
            <w:tcW w:w="854" w:type="dxa"/>
            <w:tcBorders>
              <w:bottom w:val="single" w:sz="12" w:space="0" w:color="auto"/>
            </w:tcBorders>
          </w:tcPr>
          <w:p w14:paraId="32FC9C98" w14:textId="77777777" w:rsidR="00D35F80" w:rsidRDefault="00D47D44">
            <w:pPr>
              <w:cnfStyle w:val="000000000000" w:firstRow="0" w:lastRow="0" w:firstColumn="0" w:lastColumn="0" w:oddVBand="0" w:evenVBand="0" w:oddHBand="0" w:evenHBand="0" w:firstRowFirstColumn="0" w:firstRowLastColumn="0" w:lastRowFirstColumn="0" w:lastRowLastColumn="0"/>
            </w:pPr>
            <w:r>
              <w:t>2 165</w:t>
            </w:r>
          </w:p>
        </w:tc>
        <w:tc>
          <w:tcPr>
            <w:tcW w:w="979" w:type="dxa"/>
            <w:tcBorders>
              <w:bottom w:val="single" w:sz="12" w:space="0" w:color="auto"/>
            </w:tcBorders>
          </w:tcPr>
          <w:p w14:paraId="20105274" w14:textId="77777777" w:rsidR="00D35F80" w:rsidRDefault="00D47D44">
            <w:pPr>
              <w:cnfStyle w:val="000000000000" w:firstRow="0" w:lastRow="0" w:firstColumn="0" w:lastColumn="0" w:oddVBand="0" w:evenVBand="0" w:oddHBand="0" w:evenHBand="0" w:firstRowFirstColumn="0" w:firstRowLastColumn="0" w:lastRowFirstColumn="0" w:lastRowLastColumn="0"/>
            </w:pPr>
            <w:r>
              <w:t>(276)</w:t>
            </w:r>
          </w:p>
        </w:tc>
        <w:tc>
          <w:tcPr>
            <w:tcW w:w="1512" w:type="dxa"/>
            <w:tcBorders>
              <w:bottom w:val="single" w:sz="12" w:space="0" w:color="auto"/>
            </w:tcBorders>
          </w:tcPr>
          <w:p w14:paraId="2D3800D0" w14:textId="77777777" w:rsidR="00D35F80" w:rsidRDefault="00D47D44">
            <w:pPr>
              <w:cnfStyle w:val="000000000000" w:firstRow="0" w:lastRow="0" w:firstColumn="0" w:lastColumn="0" w:oddVBand="0" w:evenVBand="0" w:oddHBand="0" w:evenHBand="0" w:firstRowFirstColumn="0" w:firstRowLastColumn="0" w:lastRowFirstColumn="0" w:lastRowLastColumn="0"/>
            </w:pPr>
            <w:r>
              <w:t>(48)</w:t>
            </w:r>
          </w:p>
        </w:tc>
        <w:tc>
          <w:tcPr>
            <w:tcW w:w="971" w:type="dxa"/>
            <w:tcBorders>
              <w:bottom w:val="single" w:sz="12" w:space="0" w:color="auto"/>
            </w:tcBorders>
          </w:tcPr>
          <w:p w14:paraId="5883E8C7" w14:textId="77777777" w:rsidR="00D35F80" w:rsidRDefault="00D47D44">
            <w:pPr>
              <w:cnfStyle w:val="000000000000" w:firstRow="0" w:lastRow="0" w:firstColumn="0" w:lastColumn="0" w:oddVBand="0" w:evenVBand="0" w:oddHBand="0" w:evenHBand="0" w:firstRowFirstColumn="0" w:firstRowLastColumn="0" w:lastRowFirstColumn="0" w:lastRowLastColumn="0"/>
            </w:pPr>
            <w:r>
              <w:t>276</w:t>
            </w:r>
          </w:p>
        </w:tc>
        <w:tc>
          <w:tcPr>
            <w:tcW w:w="1416" w:type="dxa"/>
            <w:tcBorders>
              <w:bottom w:val="single" w:sz="12" w:space="0" w:color="auto"/>
            </w:tcBorders>
          </w:tcPr>
          <w:p w14:paraId="5786037E" w14:textId="77777777" w:rsidR="00D35F80" w:rsidRDefault="00D47D44">
            <w:pPr>
              <w:cnfStyle w:val="000000000000" w:firstRow="0" w:lastRow="0" w:firstColumn="0" w:lastColumn="0" w:oddVBand="0" w:evenVBand="0" w:oddHBand="0" w:evenHBand="0" w:firstRowFirstColumn="0" w:firstRowLastColumn="0" w:lastRowFirstColumn="0" w:lastRowLastColumn="0"/>
            </w:pPr>
            <w:r>
              <w:t>48</w:t>
            </w:r>
          </w:p>
        </w:tc>
      </w:tr>
      <w:tr w:rsidR="00671D55" w14:paraId="7DE19821"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10FF2129" w14:textId="77777777" w:rsidR="00D35F80" w:rsidRDefault="00D47D44">
            <w:r>
              <w:rPr>
                <w:b/>
              </w:rPr>
              <w:t>Total impact</w:t>
            </w:r>
          </w:p>
        </w:tc>
        <w:tc>
          <w:tcPr>
            <w:tcW w:w="854" w:type="dxa"/>
          </w:tcPr>
          <w:p w14:paraId="26A7C9D5"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79" w:type="dxa"/>
          </w:tcPr>
          <w:p w14:paraId="0DF6C31A"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(276)</w:t>
            </w:r>
          </w:p>
        </w:tc>
        <w:tc>
          <w:tcPr>
            <w:tcW w:w="1512" w:type="dxa"/>
          </w:tcPr>
          <w:p w14:paraId="4EA7844D"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(48)</w:t>
            </w:r>
          </w:p>
        </w:tc>
        <w:tc>
          <w:tcPr>
            <w:tcW w:w="971" w:type="dxa"/>
          </w:tcPr>
          <w:p w14:paraId="0B8B5F3C"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276</w:t>
            </w:r>
          </w:p>
        </w:tc>
        <w:tc>
          <w:tcPr>
            <w:tcW w:w="1416" w:type="dxa"/>
          </w:tcPr>
          <w:p w14:paraId="7CD12B6D"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48</w:t>
            </w:r>
          </w:p>
        </w:tc>
      </w:tr>
    </w:tbl>
    <w:p w14:paraId="509B7FB0" w14:textId="2DF9BAD0" w:rsidR="00BA005C" w:rsidRDefault="00BA005C" w:rsidP="00BA005C"/>
    <w:tbl>
      <w:tblPr>
        <w:tblStyle w:val="DTFTable"/>
        <w:tblW w:w="9638" w:type="dxa"/>
        <w:tblLayout w:type="fixed"/>
        <w:tblLook w:val="06A0" w:firstRow="1" w:lastRow="0" w:firstColumn="1" w:lastColumn="0" w:noHBand="1" w:noVBand="1"/>
      </w:tblPr>
      <w:tblGrid>
        <w:gridCol w:w="3906"/>
        <w:gridCol w:w="854"/>
        <w:gridCol w:w="1052"/>
        <w:gridCol w:w="1453"/>
        <w:gridCol w:w="952"/>
        <w:gridCol w:w="1421"/>
      </w:tblGrid>
      <w:tr w:rsidR="00D35F80" w14:paraId="7FFCD8D3" w14:textId="77777777" w:rsidTr="005F5F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6" w:type="dxa"/>
          </w:tcPr>
          <w:p w14:paraId="5494EB0F" w14:textId="467D7F27" w:rsidR="00D35F80" w:rsidRDefault="00381E05">
            <w:pPr>
              <w:keepNext/>
            </w:pPr>
            <w:fldSimple w:instr="DOCPROPERTY  YearPrevious  \* MERGEFORMAT">
              <w:r>
                <w:rPr>
                  <w:lang w:val="en-US"/>
                </w:rPr>
                <w:t>20X1</w:t>
              </w:r>
            </w:fldSimple>
          </w:p>
        </w:tc>
        <w:tc>
          <w:tcPr>
            <w:tcW w:w="854" w:type="dxa"/>
          </w:tcPr>
          <w:p w14:paraId="700A937C"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052" w:type="dxa"/>
          </w:tcPr>
          <w:p w14:paraId="60C8F19C"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53" w:type="dxa"/>
          </w:tcPr>
          <w:p w14:paraId="17E9C75D"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952" w:type="dxa"/>
          </w:tcPr>
          <w:p w14:paraId="7E91FE84"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c>
          <w:tcPr>
            <w:tcW w:w="1421" w:type="dxa"/>
          </w:tcPr>
          <w:p w14:paraId="41DE15F3" w14:textId="77777777" w:rsidR="00D35F80" w:rsidRDefault="00D35F80">
            <w:pPr>
              <w:keepNext/>
              <w:cnfStyle w:val="100000000000" w:firstRow="1" w:lastRow="0" w:firstColumn="0" w:lastColumn="0" w:oddVBand="0" w:evenVBand="0" w:oddHBand="0" w:evenHBand="0" w:firstRowFirstColumn="0" w:firstRowLastColumn="0" w:lastRowFirstColumn="0" w:lastRowLastColumn="0"/>
            </w:pPr>
          </w:p>
        </w:tc>
      </w:tr>
      <w:tr w:rsidR="00D35F80" w14:paraId="42C35970"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221716C8" w14:textId="77777777" w:rsidR="00D35F80" w:rsidRDefault="00D47D44">
            <w:r>
              <w:t>Contractual financial assets</w:t>
            </w:r>
          </w:p>
        </w:tc>
        <w:tc>
          <w:tcPr>
            <w:tcW w:w="854" w:type="dxa"/>
          </w:tcPr>
          <w:p w14:paraId="6AD1C182"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52" w:type="dxa"/>
          </w:tcPr>
          <w:p w14:paraId="0BF983AD"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53" w:type="dxa"/>
          </w:tcPr>
          <w:p w14:paraId="7E3D499A"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952" w:type="dxa"/>
          </w:tcPr>
          <w:p w14:paraId="103D9D46"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421" w:type="dxa"/>
          </w:tcPr>
          <w:p w14:paraId="26C73184"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r>
      <w:tr w:rsidR="00D35F80" w14:paraId="57C239E7" w14:textId="77777777" w:rsidTr="005F5F82">
        <w:tc>
          <w:tcPr>
            <w:cnfStyle w:val="001000000000" w:firstRow="0" w:lastRow="0" w:firstColumn="1" w:lastColumn="0" w:oddVBand="0" w:evenVBand="0" w:oddHBand="0" w:evenHBand="0" w:firstRowFirstColumn="0" w:firstRowLastColumn="0" w:lastRowFirstColumn="0" w:lastRowLastColumn="0"/>
            <w:tcW w:w="3906" w:type="dxa"/>
            <w:tcBorders>
              <w:bottom w:val="single" w:sz="12" w:space="0" w:color="auto"/>
            </w:tcBorders>
          </w:tcPr>
          <w:p w14:paraId="5B4AF846" w14:textId="77777777" w:rsidR="00D35F80" w:rsidRDefault="00D47D44">
            <w:r>
              <w:t xml:space="preserve">Investments and other contractual financial assets </w:t>
            </w:r>
            <w:r>
              <w:rPr>
                <w:vertAlign w:val="superscript"/>
              </w:rPr>
              <w:t>(a)</w:t>
            </w:r>
          </w:p>
        </w:tc>
        <w:tc>
          <w:tcPr>
            <w:tcW w:w="854" w:type="dxa"/>
            <w:tcBorders>
              <w:bottom w:val="single" w:sz="12" w:space="0" w:color="auto"/>
            </w:tcBorders>
          </w:tcPr>
          <w:p w14:paraId="6623866B" w14:textId="77777777" w:rsidR="00D35F80" w:rsidRDefault="00D47D44">
            <w:pPr>
              <w:cnfStyle w:val="000000000000" w:firstRow="0" w:lastRow="0" w:firstColumn="0" w:lastColumn="0" w:oddVBand="0" w:evenVBand="0" w:oddHBand="0" w:evenHBand="0" w:firstRowFirstColumn="0" w:firstRowLastColumn="0" w:lastRowFirstColumn="0" w:lastRowLastColumn="0"/>
            </w:pPr>
            <w:r>
              <w:t>4 179</w:t>
            </w:r>
          </w:p>
        </w:tc>
        <w:tc>
          <w:tcPr>
            <w:tcW w:w="1052" w:type="dxa"/>
            <w:tcBorders>
              <w:bottom w:val="single" w:sz="12" w:space="0" w:color="auto"/>
            </w:tcBorders>
          </w:tcPr>
          <w:p w14:paraId="7BE8B3C6"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1453" w:type="dxa"/>
            <w:tcBorders>
              <w:bottom w:val="single" w:sz="12" w:space="0" w:color="auto"/>
            </w:tcBorders>
          </w:tcPr>
          <w:p w14:paraId="2945AB44" w14:textId="77777777" w:rsidR="00D35F80" w:rsidRDefault="00D47D44">
            <w:pPr>
              <w:cnfStyle w:val="000000000000" w:firstRow="0" w:lastRow="0" w:firstColumn="0" w:lastColumn="0" w:oddVBand="0" w:evenVBand="0" w:oddHBand="0" w:evenHBand="0" w:firstRowFirstColumn="0" w:firstRowLastColumn="0" w:lastRowFirstColumn="0" w:lastRowLastColumn="0"/>
            </w:pPr>
            <w:r>
              <w:t>(627)</w:t>
            </w:r>
          </w:p>
        </w:tc>
        <w:tc>
          <w:tcPr>
            <w:tcW w:w="952" w:type="dxa"/>
            <w:tcBorders>
              <w:bottom w:val="single" w:sz="12" w:space="0" w:color="auto"/>
            </w:tcBorders>
          </w:tcPr>
          <w:p w14:paraId="70C81EC0" w14:textId="77777777" w:rsidR="00D35F80" w:rsidRDefault="00D47D44">
            <w:pPr>
              <w:cnfStyle w:val="000000000000" w:firstRow="0" w:lastRow="0" w:firstColumn="0" w:lastColumn="0" w:oddVBand="0" w:evenVBand="0" w:oddHBand="0" w:evenHBand="0" w:firstRowFirstColumn="0" w:firstRowLastColumn="0" w:lastRowFirstColumn="0" w:lastRowLastColumn="0"/>
            </w:pPr>
            <w:r>
              <w:t>..</w:t>
            </w:r>
          </w:p>
        </w:tc>
        <w:tc>
          <w:tcPr>
            <w:tcW w:w="1421" w:type="dxa"/>
            <w:tcBorders>
              <w:bottom w:val="single" w:sz="12" w:space="0" w:color="auto"/>
            </w:tcBorders>
          </w:tcPr>
          <w:p w14:paraId="48509DCA" w14:textId="77777777" w:rsidR="00D35F80" w:rsidRDefault="00D47D44">
            <w:pPr>
              <w:cnfStyle w:val="000000000000" w:firstRow="0" w:lastRow="0" w:firstColumn="0" w:lastColumn="0" w:oddVBand="0" w:evenVBand="0" w:oddHBand="0" w:evenHBand="0" w:firstRowFirstColumn="0" w:firstRowLastColumn="0" w:lastRowFirstColumn="0" w:lastRowLastColumn="0"/>
            </w:pPr>
            <w:r>
              <w:t>627</w:t>
            </w:r>
          </w:p>
        </w:tc>
      </w:tr>
      <w:tr w:rsidR="00671D55" w14:paraId="658FCEF6" w14:textId="77777777" w:rsidTr="005F5F82">
        <w:tc>
          <w:tcPr>
            <w:cnfStyle w:val="001000000000" w:firstRow="0" w:lastRow="0" w:firstColumn="1" w:lastColumn="0" w:oddVBand="0" w:evenVBand="0" w:oddHBand="0" w:evenHBand="0" w:firstRowFirstColumn="0" w:firstRowLastColumn="0" w:lastRowFirstColumn="0" w:lastRowLastColumn="0"/>
            <w:tcW w:w="3906" w:type="dxa"/>
          </w:tcPr>
          <w:p w14:paraId="513445DB" w14:textId="77777777" w:rsidR="00D35F80" w:rsidRDefault="00D47D44">
            <w:r>
              <w:rPr>
                <w:b/>
              </w:rPr>
              <w:t>Total impact</w:t>
            </w:r>
          </w:p>
        </w:tc>
        <w:tc>
          <w:tcPr>
            <w:tcW w:w="854" w:type="dxa"/>
          </w:tcPr>
          <w:p w14:paraId="5D68D4D3" w14:textId="77777777" w:rsidR="00D35F80" w:rsidRDefault="00D35F80">
            <w:pPr>
              <w:cnfStyle w:val="000000000000" w:firstRow="0" w:lastRow="0" w:firstColumn="0" w:lastColumn="0" w:oddVBand="0" w:evenVBand="0" w:oddHBand="0" w:evenHBand="0" w:firstRowFirstColumn="0" w:firstRowLastColumn="0" w:lastRowFirstColumn="0" w:lastRowLastColumn="0"/>
            </w:pPr>
          </w:p>
        </w:tc>
        <w:tc>
          <w:tcPr>
            <w:tcW w:w="1052" w:type="dxa"/>
          </w:tcPr>
          <w:p w14:paraId="19B97C92"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1453" w:type="dxa"/>
          </w:tcPr>
          <w:p w14:paraId="7BEC9F50"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(627)</w:t>
            </w:r>
          </w:p>
        </w:tc>
        <w:tc>
          <w:tcPr>
            <w:tcW w:w="952" w:type="dxa"/>
          </w:tcPr>
          <w:p w14:paraId="3FA8BBB2"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w:t>
            </w:r>
          </w:p>
        </w:tc>
        <w:tc>
          <w:tcPr>
            <w:tcW w:w="1421" w:type="dxa"/>
          </w:tcPr>
          <w:p w14:paraId="47356A6A" w14:textId="77777777" w:rsidR="00D35F80" w:rsidRDefault="00D47D44">
            <w:pPr>
              <w:cnfStyle w:val="000000000000" w:firstRow="0" w:lastRow="0" w:firstColumn="0" w:lastColumn="0" w:oddVBand="0" w:evenVBand="0" w:oddHBand="0" w:evenHBand="0" w:firstRowFirstColumn="0" w:firstRowLastColumn="0" w:lastRowFirstColumn="0" w:lastRowLastColumn="0"/>
            </w:pPr>
            <w:r>
              <w:rPr>
                <w:b/>
              </w:rPr>
              <w:t>627</w:t>
            </w:r>
          </w:p>
        </w:tc>
      </w:tr>
    </w:tbl>
    <w:p w14:paraId="23E0E7A2" w14:textId="77777777" w:rsidR="003719CD" w:rsidRDefault="003719CD" w:rsidP="007D536F">
      <w:pPr>
        <w:pStyle w:val="Note"/>
      </w:pPr>
      <w:r>
        <w:t>Note:</w:t>
      </w:r>
    </w:p>
    <w:p w14:paraId="0622F0B8" w14:textId="77777777" w:rsidR="003719CD" w:rsidRDefault="003719CD" w:rsidP="007D536F">
      <w:pPr>
        <w:pStyle w:val="Note"/>
      </w:pPr>
      <w:r>
        <w:t>(a)</w:t>
      </w:r>
      <w:r>
        <w:tab/>
        <w:t xml:space="preserve">Investments and other contractual financial assets include equities and managed investment schemes to the value of $2 065 000 </w:t>
      </w:r>
    </w:p>
    <w:p w14:paraId="05798589" w14:textId="0251495A" w:rsidR="003719CD" w:rsidRDefault="003719CD" w:rsidP="007D536F">
      <w:pPr>
        <w:pStyle w:val="Note"/>
      </w:pPr>
      <w:r>
        <w:tab/>
        <w:t>(</w:t>
      </w:r>
      <w:fldSimple w:instr="DOCPROPERTY  YearPrevious  \* MERGEFORMAT">
        <w:r w:rsidR="00434AC2">
          <w:t>20X1</w:t>
        </w:r>
      </w:fldSimple>
      <w:r>
        <w:t>: $4 179 000) that are exposed to movements in equity prices. Sensitivities to these movements are calculated as follows:</w:t>
      </w:r>
    </w:p>
    <w:p w14:paraId="22047F36" w14:textId="7BD25967" w:rsidR="003719CD" w:rsidRDefault="003719CD" w:rsidP="007D536F">
      <w:pPr>
        <w:pStyle w:val="Note"/>
      </w:pPr>
      <w:r>
        <w:tab/>
        <w:t>–</w:t>
      </w:r>
      <w:r>
        <w:tab/>
      </w:r>
      <w:fldSimple w:instr="DOCPROPERTY  YearCurrent  \* MERGEFORMAT">
        <w:r w:rsidR="00434AC2">
          <w:t>20X2</w:t>
        </w:r>
      </w:fldSimple>
      <w:r w:rsidR="007F5E0B">
        <w:t>:</w:t>
      </w:r>
      <w:r w:rsidR="00434AC2">
        <w:t xml:space="preserve"> </w:t>
      </w:r>
      <w:r>
        <w:t xml:space="preserve">net result: $1 843 000 × </w:t>
      </w:r>
      <w:r>
        <w:rPr>
          <w:rFonts w:cstheme="minorHAnsi"/>
        </w:rPr>
        <w:t>±</w:t>
      </w:r>
      <w:r>
        <w:t>0.15 = $276 000; and</w:t>
      </w:r>
    </w:p>
    <w:p w14:paraId="2190F510" w14:textId="497305FC" w:rsidR="003719CD" w:rsidRDefault="003719CD" w:rsidP="007D536F">
      <w:pPr>
        <w:pStyle w:val="Note"/>
      </w:pPr>
      <w:r>
        <w:tab/>
        <w:t>–</w:t>
      </w:r>
      <w:r>
        <w:tab/>
      </w:r>
      <w:fldSimple w:instr="DOCPROPERTY  YearCurrent  \* MERGEFORMAT">
        <w:r w:rsidR="00434AC2">
          <w:t>20X2</w:t>
        </w:r>
      </w:fldSimple>
      <w:r w:rsidR="007F5E0B">
        <w:t>:</w:t>
      </w:r>
      <w:r>
        <w:t xml:space="preserve"> Fair Value OCI Revaluation surplus: $222 000 × </w:t>
      </w:r>
      <w:r>
        <w:rPr>
          <w:rFonts w:cstheme="minorHAnsi"/>
        </w:rPr>
        <w:t>±</w:t>
      </w:r>
      <w:r>
        <w:t xml:space="preserve">0.15 = </w:t>
      </w:r>
      <w:r>
        <w:rPr>
          <w:rFonts w:cstheme="minorHAnsi"/>
        </w:rPr>
        <w:t>±</w:t>
      </w:r>
      <w:r>
        <w:t xml:space="preserve">$33 000; and </w:t>
      </w:r>
    </w:p>
    <w:p w14:paraId="5116345D" w14:textId="25503978" w:rsidR="003719CD" w:rsidRDefault="003719CD" w:rsidP="007D536F">
      <w:pPr>
        <w:pStyle w:val="Note"/>
      </w:pPr>
      <w:r>
        <w:tab/>
        <w:t>–</w:t>
      </w:r>
      <w:r>
        <w:tab/>
      </w:r>
      <w:fldSimple w:instr="DOCPROPERTY  YearPrevious  \* MERGEFORMAT">
        <w:r w:rsidR="00434AC2">
          <w:t>20X1</w:t>
        </w:r>
      </w:fldSimple>
      <w:r>
        <w:t xml:space="preserve">: AFS Revaluation Surplus: $4 179 000 × </w:t>
      </w:r>
      <w:r>
        <w:rPr>
          <w:rFonts w:cstheme="minorHAnsi"/>
        </w:rPr>
        <w:t>±</w:t>
      </w:r>
      <w:r>
        <w:t xml:space="preserve">0.15 = </w:t>
      </w:r>
      <w:r>
        <w:rPr>
          <w:rFonts w:cstheme="minorHAnsi"/>
        </w:rPr>
        <w:t>±</w:t>
      </w:r>
      <w:r>
        <w:t>$627 000.</w:t>
      </w:r>
    </w:p>
    <w:p w14:paraId="5BE3AD8C" w14:textId="77777777" w:rsidR="003719CD" w:rsidRPr="00430E85" w:rsidRDefault="003719CD" w:rsidP="007D536F">
      <w:pPr>
        <w:pStyle w:val="Note"/>
        <w:rPr>
          <w:rStyle w:val="Reference"/>
          <w:sz w:val="14"/>
          <w:szCs w:val="16"/>
        </w:rPr>
      </w:pPr>
      <w:r>
        <w:tab/>
      </w:r>
      <w:r w:rsidRPr="00430E85">
        <w:rPr>
          <w:rStyle w:val="Reference"/>
          <w:sz w:val="14"/>
          <w:szCs w:val="16"/>
        </w:rPr>
        <w:t>[AASB 7.40(b)]</w:t>
      </w:r>
    </w:p>
    <w:p w14:paraId="4885C4ED" w14:textId="77777777" w:rsidR="003719CD" w:rsidRDefault="003719CD" w:rsidP="007D536F">
      <w:pPr>
        <w:pStyle w:val="Note"/>
      </w:pPr>
    </w:p>
    <w:p w14:paraId="4EE0959C" w14:textId="77777777" w:rsidR="003719CD" w:rsidRPr="00430E85" w:rsidRDefault="003719CD" w:rsidP="007D536F">
      <w:pPr>
        <w:pStyle w:val="Note"/>
        <w:rPr>
          <w:rStyle w:val="Guidance"/>
        </w:rPr>
      </w:pPr>
      <w:r w:rsidRPr="00430E85">
        <w:rPr>
          <w:rStyle w:val="Guidance"/>
        </w:rPr>
        <w:tab/>
        <w:t>[Disclosures on amounts exposed to movements in foreign currencies and the method of calculations as per note (a) above should be made for each class of contractual financial asset or liability presented in the interest rate sensitivity table. Refer also to the guidance on calculation of interest rate risk sensitivity available in the commentary – nature and extent of risk disclosures.]</w:t>
      </w:r>
    </w:p>
    <w:p w14:paraId="18D84F86" w14:textId="765A2E62" w:rsidR="003719CD" w:rsidRDefault="003719CD" w:rsidP="00DC39DE">
      <w:r>
        <w:t>The balances for these calculations are to be gross of any income tax equivalents.</w:t>
      </w:r>
    </w:p>
    <w:p w14:paraId="7CB256F7" w14:textId="77777777" w:rsidR="007E486C" w:rsidRDefault="007E486C" w:rsidP="00DC39DE"/>
    <w:p w14:paraId="062A1722" w14:textId="77777777" w:rsidR="00A77178" w:rsidRDefault="00A77178">
      <w:pPr>
        <w:keepLines w:val="0"/>
        <w:rPr>
          <w:rFonts w:asciiTheme="majorHAnsi" w:eastAsiaTheme="majorEastAsia" w:hAnsiTheme="majorHAnsi" w:cstheme="majorBidi"/>
          <w:b/>
          <w:bCs/>
          <w:iCs/>
          <w:color w:val="FFFFFF" w:themeColor="background1"/>
          <w:sz w:val="20"/>
          <w:szCs w:val="24"/>
        </w:rPr>
      </w:pPr>
      <w:r>
        <w:br w:type="page"/>
      </w:r>
    </w:p>
    <w:p w14:paraId="3D6F96F4" w14:textId="67997BAA" w:rsidR="003719CD" w:rsidRDefault="003719CD" w:rsidP="007D536F">
      <w:pPr>
        <w:pStyle w:val="GuidanceBlockHeading"/>
      </w:pPr>
      <w:r>
        <w:lastRenderedPageBreak/>
        <w:t>Guidance – Market risk disclosures</w:t>
      </w:r>
    </w:p>
    <w:p w14:paraId="7CFEEF38" w14:textId="77777777" w:rsidR="003719CD" w:rsidRPr="00C63BA4" w:rsidRDefault="003719CD" w:rsidP="007D536F">
      <w:pPr>
        <w:pStyle w:val="GuidanceHeading"/>
        <w:rPr>
          <w:rStyle w:val="Reference"/>
        </w:rPr>
      </w:pPr>
      <w:r>
        <w:t xml:space="preserve">Market risk </w:t>
      </w:r>
      <w:r w:rsidRPr="00C63BA4">
        <w:rPr>
          <w:rStyle w:val="Reference"/>
        </w:rPr>
        <w:t>[AASB 7.40]</w:t>
      </w:r>
    </w:p>
    <w:p w14:paraId="5B2C3CB7" w14:textId="77777777" w:rsidR="003719CD" w:rsidRPr="001B5929" w:rsidRDefault="003719CD" w:rsidP="007D536F">
      <w:pPr>
        <w:rPr>
          <w:rStyle w:val="Guidance"/>
        </w:rPr>
      </w:pPr>
      <w:r w:rsidRPr="001B5929">
        <w:rPr>
          <w:rStyle w:val="Guidance"/>
        </w:rPr>
        <w:t xml:space="preserve">Market risk comprises foreign currency risk, interest rate risk and other price risk. </w:t>
      </w:r>
    </w:p>
    <w:p w14:paraId="4B221E9B" w14:textId="77777777" w:rsidR="003719CD" w:rsidRPr="001B5929" w:rsidRDefault="003719CD" w:rsidP="007D536F">
      <w:pPr>
        <w:keepNext/>
        <w:rPr>
          <w:rStyle w:val="Guidance"/>
        </w:rPr>
      </w:pPr>
      <w:r w:rsidRPr="001B5929">
        <w:rPr>
          <w:rStyle w:val="Guidance"/>
        </w:rPr>
        <w:t>Unless an entity prepares a sensitivity analysis, such as value at risk, that reflects interdependencies between risk variables (e.g. interest rates and exchange rates) and uses it to manage financial risks, an entity shall disclose:</w:t>
      </w:r>
    </w:p>
    <w:p w14:paraId="76FD1040" w14:textId="11B9820B" w:rsidR="003719CD" w:rsidRPr="001B5929" w:rsidRDefault="003719CD" w:rsidP="00310F12">
      <w:pPr>
        <w:pStyle w:val="ListBullet"/>
        <w:rPr>
          <w:rStyle w:val="Guidance"/>
        </w:rPr>
      </w:pPr>
      <w:r w:rsidRPr="001B5929">
        <w:rPr>
          <w:rStyle w:val="Guidance"/>
        </w:rPr>
        <w:t>a sensitivity analysis for each type of market risk to which the entity is exposed at the end of the reporting period, showing how profit or loss and equity would have been affected by changes in the relevant risk variable that were reasonably possible at that date</w:t>
      </w:r>
    </w:p>
    <w:p w14:paraId="65654F53" w14:textId="70B8DD45" w:rsidR="003719CD" w:rsidRPr="001B5929" w:rsidRDefault="003719CD" w:rsidP="00310F12">
      <w:pPr>
        <w:pStyle w:val="ListBullet"/>
        <w:rPr>
          <w:rStyle w:val="Guidance"/>
        </w:rPr>
      </w:pPr>
      <w:r w:rsidRPr="001B5929">
        <w:rPr>
          <w:rStyle w:val="Guidance"/>
        </w:rPr>
        <w:t>the methods and assumptions used in preparing the sensitivity analysis</w:t>
      </w:r>
    </w:p>
    <w:p w14:paraId="7AA10887" w14:textId="77777777" w:rsidR="003719CD" w:rsidRPr="001B5929" w:rsidRDefault="003719CD" w:rsidP="00310F12">
      <w:pPr>
        <w:pStyle w:val="ListBullet"/>
        <w:rPr>
          <w:rStyle w:val="Guidance"/>
        </w:rPr>
      </w:pPr>
      <w:r w:rsidRPr="001B5929">
        <w:rPr>
          <w:rStyle w:val="Guidance"/>
        </w:rPr>
        <w:t>changes from the previous period in the methods and assumptions used, and the reasons for such changes.</w:t>
      </w:r>
    </w:p>
    <w:p w14:paraId="0ED11A08" w14:textId="77777777" w:rsidR="003719CD" w:rsidRPr="001B5929" w:rsidRDefault="003719CD" w:rsidP="007D536F">
      <w:pPr>
        <w:pStyle w:val="GuidanceHeading"/>
        <w:rPr>
          <w:rStyle w:val="Guidance"/>
        </w:rPr>
      </w:pPr>
      <w:r w:rsidRPr="001B5929">
        <w:rPr>
          <w:rStyle w:val="Guidance"/>
        </w:rPr>
        <w:t>Further guidance for preparation of sensitivity analysis</w:t>
      </w:r>
    </w:p>
    <w:p w14:paraId="06E06978" w14:textId="77777777" w:rsidR="003719CD" w:rsidRPr="001B5929" w:rsidRDefault="003719CD" w:rsidP="007D536F">
      <w:pPr>
        <w:pStyle w:val="GuidanceHeading"/>
        <w:rPr>
          <w:rStyle w:val="Guidance"/>
        </w:rPr>
      </w:pPr>
      <w:r w:rsidRPr="001B5929">
        <w:rPr>
          <w:rStyle w:val="Guidance"/>
        </w:rPr>
        <w:t>Interest rate risk sensitivity</w:t>
      </w:r>
    </w:p>
    <w:p w14:paraId="6A3ADBC9" w14:textId="7F0D910E" w:rsidR="003719CD" w:rsidRPr="001B5929" w:rsidRDefault="003719CD" w:rsidP="00CD06B1">
      <w:pPr>
        <w:rPr>
          <w:rStyle w:val="Guidance"/>
          <w:b/>
          <w:sz w:val="20"/>
        </w:rPr>
      </w:pPr>
      <w:r w:rsidRPr="001B5929">
        <w:rPr>
          <w:rStyle w:val="Guidance"/>
        </w:rPr>
        <w:t>The carrying value of a floating rate interest bearing instrument valued at fair value would not be impacted by a change in interest rates</w:t>
      </w:r>
      <w:r w:rsidR="002544B7">
        <w:rPr>
          <w:rStyle w:val="Guidance"/>
        </w:rPr>
        <w:t>. H</w:t>
      </w:r>
      <w:r w:rsidRPr="001B5929">
        <w:rPr>
          <w:rStyle w:val="Guidance"/>
        </w:rPr>
        <w:t>owever</w:t>
      </w:r>
      <w:r w:rsidR="002544B7">
        <w:rPr>
          <w:rStyle w:val="Guidance"/>
        </w:rPr>
        <w:t>,</w:t>
      </w:r>
      <w:r w:rsidRPr="001B5929">
        <w:rPr>
          <w:rStyle w:val="Guidance"/>
        </w:rPr>
        <w:t xml:space="preserve"> the change in interest rates would result in a change in the interest earned (if</w:t>
      </w:r>
      <w:r>
        <w:rPr>
          <w:rStyle w:val="Guidance"/>
        </w:rPr>
        <w:t> </w:t>
      </w:r>
      <w:r w:rsidRPr="001B5929">
        <w:rPr>
          <w:rStyle w:val="Guidance"/>
        </w:rPr>
        <w:t>interest rates increase, the interest earned on the instrument would also increase).</w:t>
      </w:r>
    </w:p>
    <w:p w14:paraId="6F0E9AE3" w14:textId="77777777" w:rsidR="003719CD" w:rsidRPr="001B5929" w:rsidRDefault="003719CD" w:rsidP="00CD06B1">
      <w:pPr>
        <w:rPr>
          <w:rStyle w:val="Guidance"/>
        </w:rPr>
      </w:pPr>
      <w:r w:rsidRPr="001B5929">
        <w:rPr>
          <w:rStyle w:val="Guidance"/>
        </w:rPr>
        <w:t xml:space="preserve">The carrying value of a fixed rate interest bearing instrument valued at fair value would be impacted by a change in interest rates (if interest rates increase, the carrying value of the instrument would decrease, but the interest earned would not be impacted). </w:t>
      </w:r>
    </w:p>
    <w:p w14:paraId="1E58F3BF" w14:textId="77777777" w:rsidR="003719CD" w:rsidRPr="001B5929" w:rsidRDefault="003719CD" w:rsidP="00CD06B1">
      <w:pPr>
        <w:rPr>
          <w:rStyle w:val="Guidance"/>
        </w:rPr>
      </w:pPr>
      <w:r w:rsidRPr="001B5929">
        <w:rPr>
          <w:rStyle w:val="Guidance"/>
        </w:rPr>
        <w:t xml:space="preserve">The carrying value of a fixed rate interest bearing instrument valued at amortised cost would not be impacted by a change in interest rates and neither would the interest earned. </w:t>
      </w:r>
    </w:p>
    <w:p w14:paraId="558BB4D6" w14:textId="77777777" w:rsidR="003719CD" w:rsidRPr="001B5929" w:rsidRDefault="003719CD" w:rsidP="00CD06B1">
      <w:pPr>
        <w:rPr>
          <w:rStyle w:val="Guidance"/>
        </w:rPr>
      </w:pPr>
      <w:r w:rsidRPr="001B5929">
        <w:rPr>
          <w:rStyle w:val="Guidance"/>
        </w:rPr>
        <w:t>The impacts resulting from the above will change to the extent that interest rate risk was hedged.</w:t>
      </w:r>
    </w:p>
    <w:p w14:paraId="6BA55666" w14:textId="621BDAAD" w:rsidR="003719CD" w:rsidRDefault="003719CD" w:rsidP="007D536F">
      <w:pPr>
        <w:rPr>
          <w:rStyle w:val="Reference"/>
        </w:rPr>
      </w:pPr>
      <w:r w:rsidRPr="001B5929">
        <w:rPr>
          <w:rStyle w:val="Guidance"/>
        </w:rPr>
        <w:t xml:space="preserve">The balances to be used for the interest rate sensitivity analysis should be the period-end balances. Where the year end balances are not reflective of the balance held through the year, narrative explaining this and the impact on the sensitivity analysis should be included as an additional disclosure. </w:t>
      </w:r>
      <w:r w:rsidRPr="001B5929">
        <w:rPr>
          <w:rStyle w:val="Reference"/>
        </w:rPr>
        <w:t>[AASB 7.42]</w:t>
      </w:r>
    </w:p>
    <w:p w14:paraId="61A0FB88" w14:textId="77777777" w:rsidR="00A77178" w:rsidRPr="001B5929" w:rsidRDefault="00A77178" w:rsidP="007D536F">
      <w:pPr>
        <w:rPr>
          <w:rStyle w:val="Guidance"/>
        </w:rPr>
      </w:pPr>
    </w:p>
    <w:p w14:paraId="568693D5" w14:textId="07BF3328" w:rsidR="003719CD" w:rsidRDefault="00A77178" w:rsidP="00DC39DE">
      <w:r>
        <w:object w:dxaOrig="9545" w:dyaOrig="5372" w14:anchorId="177D4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45pt;height:4in" o:ole="">
            <v:imagedata r:id="rId109" o:title=""/>
          </v:shape>
          <o:OLEObject Type="Embed" ProgID="PowerPoint.Slide.12" ShapeID="_x0000_i1025" DrawAspect="Content" ObjectID="_1809783966" r:id="rId110"/>
        </w:object>
      </w:r>
    </w:p>
    <w:p w14:paraId="41635DB8" w14:textId="77777777" w:rsidR="007E486C" w:rsidRDefault="007E486C">
      <w:pPr>
        <w:keepLines w:val="0"/>
        <w:rPr>
          <w:rStyle w:val="Guidance"/>
          <w:b/>
          <w:sz w:val="20"/>
        </w:rPr>
      </w:pPr>
      <w:r>
        <w:rPr>
          <w:rStyle w:val="Guidance"/>
        </w:rPr>
        <w:br w:type="page"/>
      </w:r>
    </w:p>
    <w:p w14:paraId="03E232D1" w14:textId="1E41122F" w:rsidR="003719CD" w:rsidRPr="00080881" w:rsidRDefault="003719CD" w:rsidP="007D536F">
      <w:pPr>
        <w:pStyle w:val="GuidanceHeading"/>
        <w:rPr>
          <w:rStyle w:val="Guidance"/>
        </w:rPr>
      </w:pPr>
      <w:r w:rsidRPr="00080881">
        <w:rPr>
          <w:rStyle w:val="Guidance"/>
        </w:rPr>
        <w:lastRenderedPageBreak/>
        <w:t>Foreign currency risk sensitivity</w:t>
      </w:r>
    </w:p>
    <w:p w14:paraId="17C426A3" w14:textId="4682C2FE" w:rsidR="003719CD" w:rsidRPr="00080881" w:rsidRDefault="003719CD" w:rsidP="007D536F">
      <w:pPr>
        <w:rPr>
          <w:rStyle w:val="Guidance"/>
        </w:rPr>
      </w:pPr>
      <w:r w:rsidRPr="00080881">
        <w:rPr>
          <w:rStyle w:val="Guidance"/>
        </w:rPr>
        <w:t xml:space="preserve">The sensitivity analysis on foreign currency risk should include foreign currency denominated investments items and adjust their translation at the period-end by the percentage of change in foreign currency rates determined to be reasonably possible. </w:t>
      </w:r>
    </w:p>
    <w:p w14:paraId="5B0B0338" w14:textId="77777777" w:rsidR="003719CD" w:rsidRPr="00080881" w:rsidRDefault="003719CD" w:rsidP="007D536F">
      <w:pPr>
        <w:rPr>
          <w:rStyle w:val="Guidance"/>
        </w:rPr>
      </w:pPr>
      <w:r w:rsidRPr="00080881">
        <w:rPr>
          <w:rStyle w:val="Guidance"/>
        </w:rPr>
        <w:t>A positive number indicates an increase in the net result where the Australian dollar strengthens against the respective currency.</w:t>
      </w:r>
    </w:p>
    <w:p w14:paraId="50876A89" w14:textId="217F5C52" w:rsidR="003719CD" w:rsidRPr="00080881" w:rsidRDefault="003719CD" w:rsidP="007D536F">
      <w:pPr>
        <w:rPr>
          <w:rStyle w:val="Guidance"/>
        </w:rPr>
      </w:pPr>
      <w:r w:rsidRPr="00080881">
        <w:rPr>
          <w:rStyle w:val="Guidance"/>
        </w:rPr>
        <w:t>The balances to be used for the foreign currency sensitivity analysis should be the period end balances. Where the year</w:t>
      </w:r>
      <w:r w:rsidR="002544B7">
        <w:rPr>
          <w:rStyle w:val="Guidance"/>
        </w:rPr>
        <w:noBreakHyphen/>
      </w:r>
      <w:r w:rsidRPr="00080881">
        <w:rPr>
          <w:rStyle w:val="Guidance"/>
        </w:rPr>
        <w:t>end balances are not reflective of the balance held through the year, narrative explaining this and the impact on the sensitivity analysis should be included as an additional disclosure.</w:t>
      </w:r>
      <w:r w:rsidRPr="00080881">
        <w:rPr>
          <w:rStyle w:val="Reference"/>
        </w:rPr>
        <w:t xml:space="preserve"> [AASB 7.42]</w:t>
      </w:r>
    </w:p>
    <w:p w14:paraId="760EF8E3" w14:textId="77777777" w:rsidR="003719CD" w:rsidRPr="00080881" w:rsidRDefault="003719CD" w:rsidP="007D536F">
      <w:pPr>
        <w:pStyle w:val="GuidanceHeading"/>
        <w:rPr>
          <w:rStyle w:val="Guidance"/>
        </w:rPr>
      </w:pPr>
      <w:r w:rsidRPr="00080881">
        <w:rPr>
          <w:rStyle w:val="Guidance"/>
        </w:rPr>
        <w:t>Other price risk sensitivity</w:t>
      </w:r>
    </w:p>
    <w:p w14:paraId="376F049E" w14:textId="77777777" w:rsidR="003719CD" w:rsidRPr="00080881" w:rsidRDefault="003719CD" w:rsidP="007D536F">
      <w:pPr>
        <w:rPr>
          <w:rStyle w:val="Guidance"/>
        </w:rPr>
      </w:pPr>
      <w:r w:rsidRPr="00080881">
        <w:rPr>
          <w:rStyle w:val="Guidance"/>
        </w:rPr>
        <w:t xml:space="preserve">Equity price risk arises from equity investments (comprising both shares and investments in managed investment schemes). This price risk arises from listed and/or unlisted Australian and/or overseas securities. </w:t>
      </w:r>
    </w:p>
    <w:p w14:paraId="3910E775" w14:textId="77777777" w:rsidR="003719CD" w:rsidRPr="00080881" w:rsidRDefault="003719CD" w:rsidP="007D536F">
      <w:pPr>
        <w:rPr>
          <w:rStyle w:val="Guidance"/>
        </w:rPr>
      </w:pPr>
      <w:r w:rsidRPr="00080881">
        <w:rPr>
          <w:rStyle w:val="Guidance"/>
        </w:rPr>
        <w:t>The sensitivity data collection for price risk is based on the:</w:t>
      </w:r>
    </w:p>
    <w:p w14:paraId="588C46F9" w14:textId="2E058BA9" w:rsidR="003719CD" w:rsidRPr="00080881" w:rsidRDefault="003719CD" w:rsidP="00310F12">
      <w:pPr>
        <w:pStyle w:val="ListBullet"/>
        <w:rPr>
          <w:rStyle w:val="Guidance"/>
        </w:rPr>
      </w:pPr>
      <w:r w:rsidRPr="00080881">
        <w:rPr>
          <w:rStyle w:val="Guidance"/>
        </w:rPr>
        <w:t>exposure to the prices of listed equities (including managed investment schemes), and also unlisted equities (including managed investment schemes) both in Australia and overseas markets, at the end of the reporting period</w:t>
      </w:r>
    </w:p>
    <w:p w14:paraId="188BA5A3" w14:textId="77777777" w:rsidR="003719CD" w:rsidRPr="00080881" w:rsidRDefault="003719CD" w:rsidP="00310F12">
      <w:pPr>
        <w:pStyle w:val="ListBullet"/>
        <w:rPr>
          <w:rStyle w:val="Guidance"/>
        </w:rPr>
      </w:pPr>
      <w:r w:rsidRPr="00080881">
        <w:rPr>
          <w:rStyle w:val="Guidance"/>
        </w:rPr>
        <w:t>stipulated change taking place at the beginning of the financial year and held constant throughout the reporting period.</w:t>
      </w:r>
    </w:p>
    <w:p w14:paraId="405E1643" w14:textId="77777777" w:rsidR="003719CD" w:rsidRPr="00080881" w:rsidRDefault="003719CD" w:rsidP="007D536F">
      <w:pPr>
        <w:rPr>
          <w:rStyle w:val="Guidance"/>
        </w:rPr>
      </w:pPr>
      <w:r w:rsidRPr="00080881">
        <w:rPr>
          <w:rStyle w:val="Guidance"/>
        </w:rPr>
        <w:t xml:space="preserve">The balances to be used for the other price risk sensitivity analysis should be the period end balances. Where the year end balances do not reflect the balance held through the year, narrative explaining this and the impact on the sensitivity analysis should be included as an additional disclosure. </w:t>
      </w:r>
      <w:r w:rsidRPr="00080881">
        <w:rPr>
          <w:rStyle w:val="Reference"/>
        </w:rPr>
        <w:t>[AASB 7.42]</w:t>
      </w:r>
    </w:p>
    <w:p w14:paraId="7488DD15" w14:textId="77777777" w:rsidR="003719CD" w:rsidRPr="00080881" w:rsidRDefault="003719CD" w:rsidP="007D536F">
      <w:pPr>
        <w:pStyle w:val="GuidanceHeading"/>
        <w:rPr>
          <w:rStyle w:val="Guidance"/>
        </w:rPr>
      </w:pPr>
      <w:r w:rsidRPr="00080881">
        <w:rPr>
          <w:rStyle w:val="Guidance"/>
        </w:rPr>
        <w:t xml:space="preserve">Value-at-risk </w:t>
      </w:r>
      <w:r w:rsidRPr="00080881">
        <w:rPr>
          <w:rStyle w:val="Reference"/>
        </w:rPr>
        <w:t>[AASB 7.41]</w:t>
      </w:r>
    </w:p>
    <w:p w14:paraId="4196592D" w14:textId="77777777" w:rsidR="003719CD" w:rsidRPr="00080881" w:rsidRDefault="003719CD" w:rsidP="007D536F">
      <w:pPr>
        <w:rPr>
          <w:rStyle w:val="Guidance"/>
        </w:rPr>
      </w:pPr>
      <w:r w:rsidRPr="00080881">
        <w:rPr>
          <w:rStyle w:val="Guidance"/>
        </w:rPr>
        <w:t>If an entity uses value-at-risk for its sensitivity analysis, which reflects interdependencies between risk variables, and uses it to manage financial risks, it may use that sensitivity analysis in place of the analysis specified above. The entity shall also disclose:</w:t>
      </w:r>
    </w:p>
    <w:p w14:paraId="3FE7F893" w14:textId="25CB8C04" w:rsidR="003719CD" w:rsidRPr="00080881" w:rsidRDefault="003719CD" w:rsidP="00310F12">
      <w:pPr>
        <w:pStyle w:val="ListBullet"/>
        <w:rPr>
          <w:rStyle w:val="Guidance"/>
        </w:rPr>
      </w:pPr>
      <w:r w:rsidRPr="00080881">
        <w:rPr>
          <w:rStyle w:val="Guidance"/>
        </w:rPr>
        <w:t>an explanation of the method used in preparing such a sensitivity analysis, and of the main parameters and assumptions underlying the data provided</w:t>
      </w:r>
    </w:p>
    <w:p w14:paraId="41380874" w14:textId="77777777" w:rsidR="003719CD" w:rsidRPr="00080881" w:rsidRDefault="003719CD" w:rsidP="00310F12">
      <w:pPr>
        <w:pStyle w:val="ListBullet"/>
        <w:rPr>
          <w:rStyle w:val="Guidance"/>
        </w:rPr>
      </w:pPr>
      <w:r w:rsidRPr="00080881">
        <w:rPr>
          <w:rStyle w:val="Guidance"/>
        </w:rPr>
        <w:t>an explanation of the objective of the method used and of limitations that may result in the information not fully reflecting the fair value of the assets and liabilities involved.</w:t>
      </w:r>
    </w:p>
    <w:p w14:paraId="1DA916F2" w14:textId="77777777" w:rsidR="003719CD" w:rsidRPr="00080881" w:rsidRDefault="003719CD" w:rsidP="007D536F">
      <w:pPr>
        <w:pStyle w:val="GuidanceHeading"/>
        <w:rPr>
          <w:rStyle w:val="Guidance"/>
        </w:rPr>
      </w:pPr>
      <w:r w:rsidRPr="00080881">
        <w:rPr>
          <w:rStyle w:val="Guidance"/>
        </w:rPr>
        <w:t>Investments held through trusts or managed investments</w:t>
      </w:r>
    </w:p>
    <w:p w14:paraId="7AE1FC5B" w14:textId="77777777" w:rsidR="003719CD" w:rsidRPr="00080881" w:rsidRDefault="003719CD" w:rsidP="007D536F">
      <w:pPr>
        <w:rPr>
          <w:rStyle w:val="Guidance"/>
        </w:rPr>
      </w:pPr>
      <w:r w:rsidRPr="00080881">
        <w:rPr>
          <w:rStyle w:val="Guidance"/>
        </w:rPr>
        <w:t>Entities are not required to prepare sensitivity analyses for such investments on a look-through basis. Sensitivity for these investments may be prepared on the price per unit level only, not on the individual investments in the trust or portfolio and disclosed as other price risk sensitivity.</w:t>
      </w:r>
    </w:p>
    <w:p w14:paraId="4A9B22F9" w14:textId="77777777" w:rsidR="003719CD" w:rsidRPr="00080881" w:rsidRDefault="003719CD" w:rsidP="007D536F">
      <w:pPr>
        <w:rPr>
          <w:rStyle w:val="Guidance"/>
        </w:rPr>
      </w:pPr>
      <w:r w:rsidRPr="00080881">
        <w:rPr>
          <w:rStyle w:val="Guidance"/>
        </w:rPr>
        <w:t>However, an entity that holds investments in unlisted bond trusts shall disclose the fact that the market values of such investments are impacted by market expectations of future interest rate changes and changes to official interest rates. The entity’s other price risk sensitivity analysis shall account for potential interest rate changes and the related impact on unit market price.</w:t>
      </w:r>
    </w:p>
    <w:p w14:paraId="3C99844C" w14:textId="77777777" w:rsidR="003719CD" w:rsidRDefault="003719CD" w:rsidP="007D536F">
      <w:pPr>
        <w:pStyle w:val="GuidanceEnd"/>
      </w:pPr>
    </w:p>
    <w:p w14:paraId="768DAA05" w14:textId="77777777" w:rsidR="007E486C" w:rsidRDefault="007E486C">
      <w:pPr>
        <w:keepLines w:val="0"/>
        <w:rPr>
          <w:rFonts w:asciiTheme="majorHAnsi" w:eastAsiaTheme="majorEastAsia" w:hAnsiTheme="majorHAnsi" w:cstheme="majorBidi"/>
          <w:b/>
          <w:sz w:val="26"/>
          <w:szCs w:val="26"/>
        </w:rPr>
      </w:pPr>
      <w:bookmarkStart w:id="122" w:name="_Toc59210203"/>
      <w:bookmarkStart w:id="123" w:name="_Toc64983174"/>
      <w:r>
        <w:br w:type="page"/>
      </w:r>
    </w:p>
    <w:p w14:paraId="68752947" w14:textId="5A51288E" w:rsidR="003719CD" w:rsidRDefault="003719CD" w:rsidP="007762BE">
      <w:pPr>
        <w:pStyle w:val="Heading2numbered"/>
      </w:pPr>
      <w:bookmarkStart w:id="124" w:name="_Toc130225997"/>
      <w:r>
        <w:lastRenderedPageBreak/>
        <w:t>Contingent assets and contingent liabilities</w:t>
      </w:r>
      <w:bookmarkEnd w:id="122"/>
      <w:bookmarkEnd w:id="123"/>
      <w:bookmarkEnd w:id="124"/>
    </w:p>
    <w:p w14:paraId="71BD888B" w14:textId="77777777" w:rsidR="003719CD" w:rsidRDefault="003719CD" w:rsidP="00DC39DE">
      <w:r>
        <w:t>Contingent assets and contingent liabilities are not recognised in the balance sheet but are disclosed and, if quantifiable, are measured at nominal value.</w:t>
      </w:r>
    </w:p>
    <w:p w14:paraId="0F2C3116" w14:textId="77777777" w:rsidR="003719CD" w:rsidRDefault="003719CD" w:rsidP="00DC39DE">
      <w:r>
        <w:t>Contingent assets and liabilities are presented inclusive of GST receivable or payable respectively.</w:t>
      </w:r>
    </w:p>
    <w:p w14:paraId="2D63E4BF" w14:textId="77777777" w:rsidR="003719CD" w:rsidRDefault="003719CD" w:rsidP="007D536F">
      <w:pPr>
        <w:pStyle w:val="Heading3"/>
      </w:pPr>
      <w:r>
        <w:t>Contingent assets</w:t>
      </w:r>
    </w:p>
    <w:p w14:paraId="6C4B3F5D" w14:textId="77777777" w:rsidR="003719CD" w:rsidRDefault="003719CD" w:rsidP="00DC39DE">
      <w:r>
        <w:t>Contingent assets are possible assets that arise from past events, whose existence will be confirmed only by the occurrence or non-occurrence of one or more uncertain future events not wholly within the control of the entity.</w:t>
      </w:r>
    </w:p>
    <w:p w14:paraId="1DCAB3AB" w14:textId="77777777" w:rsidR="003719CD" w:rsidRDefault="003719CD" w:rsidP="00DC39DE">
      <w:r>
        <w:t>These are classified as either quantifiable, where the potential economic benefit is known, or non-quantifiable.</w:t>
      </w:r>
    </w:p>
    <w:p w14:paraId="045B7BB8" w14:textId="77777777" w:rsidR="003719CD" w:rsidRDefault="003719CD" w:rsidP="007D536F">
      <w:pPr>
        <w:pStyle w:val="Caption"/>
      </w:pPr>
      <w:r>
        <w:t>Quantifiable contingent assets (arising from outside of government)</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381E05" w14:paraId="16263EB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6CDD2F6" w14:textId="77777777" w:rsidR="00381E05" w:rsidRDefault="00381E05" w:rsidP="00381E05">
            <w:pPr>
              <w:keepNext/>
            </w:pPr>
          </w:p>
        </w:tc>
        <w:tc>
          <w:tcPr>
            <w:tcW w:w="907" w:type="dxa"/>
          </w:tcPr>
          <w:p w14:paraId="31230268" w14:textId="560D8B9F" w:rsidR="00381E05" w:rsidRP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381E05">
                <w:t>20X2</w:t>
              </w:r>
            </w:fldSimple>
          </w:p>
        </w:tc>
        <w:tc>
          <w:tcPr>
            <w:tcW w:w="907" w:type="dxa"/>
          </w:tcPr>
          <w:p w14:paraId="27201DDC" w14:textId="30A4C7C1" w:rsidR="00381E05" w:rsidRP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381E05">
                <w:t>20X1</w:t>
              </w:r>
            </w:fldSimple>
          </w:p>
        </w:tc>
      </w:tr>
      <w:tr w:rsidR="008E5233" w14:paraId="770E390A" w14:textId="77777777">
        <w:tc>
          <w:tcPr>
            <w:cnfStyle w:val="001000000000" w:firstRow="0" w:lastRow="0" w:firstColumn="1" w:lastColumn="0" w:oddVBand="0" w:evenVBand="0" w:oddHBand="0" w:evenHBand="0" w:firstRowFirstColumn="0" w:firstRowLastColumn="0" w:lastRowFirstColumn="0" w:lastRowLastColumn="0"/>
            <w:tcW w:w="7825" w:type="dxa"/>
          </w:tcPr>
          <w:p w14:paraId="5441ACE1" w14:textId="77777777" w:rsidR="008E5233" w:rsidRDefault="005648A9">
            <w:r>
              <w:t>Contingent assets</w:t>
            </w:r>
          </w:p>
        </w:tc>
        <w:tc>
          <w:tcPr>
            <w:tcW w:w="907" w:type="dxa"/>
          </w:tcPr>
          <w:p w14:paraId="769213DE"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5D112D93"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r w:rsidR="008E5233" w14:paraId="35A30B10" w14:textId="77777777">
        <w:tc>
          <w:tcPr>
            <w:cnfStyle w:val="001000000000" w:firstRow="0" w:lastRow="0" w:firstColumn="1" w:lastColumn="0" w:oddVBand="0" w:evenVBand="0" w:oddHBand="0" w:evenHBand="0" w:firstRowFirstColumn="0" w:firstRowLastColumn="0" w:lastRowFirstColumn="0" w:lastRowLastColumn="0"/>
            <w:tcW w:w="7825" w:type="dxa"/>
          </w:tcPr>
          <w:p w14:paraId="77AF3043" w14:textId="77777777" w:rsidR="008E5233" w:rsidRDefault="005648A9">
            <w:r>
              <w:t xml:space="preserve">Guarantees </w:t>
            </w:r>
            <w:r>
              <w:rPr>
                <w:vertAlign w:val="superscript"/>
              </w:rPr>
              <w:t>(a)</w:t>
            </w:r>
          </w:p>
        </w:tc>
        <w:tc>
          <w:tcPr>
            <w:tcW w:w="907" w:type="dxa"/>
          </w:tcPr>
          <w:p w14:paraId="16DB6F75" w14:textId="77777777" w:rsidR="008E5233" w:rsidRDefault="005648A9">
            <w:pPr>
              <w:cnfStyle w:val="000000000000" w:firstRow="0" w:lastRow="0" w:firstColumn="0" w:lastColumn="0" w:oddVBand="0" w:evenVBand="0" w:oddHBand="0" w:evenHBand="0" w:firstRowFirstColumn="0" w:firstRowLastColumn="0" w:lastRowFirstColumn="0" w:lastRowLastColumn="0"/>
            </w:pPr>
            <w:r>
              <w:t>140</w:t>
            </w:r>
          </w:p>
        </w:tc>
        <w:tc>
          <w:tcPr>
            <w:tcW w:w="907" w:type="dxa"/>
          </w:tcPr>
          <w:p w14:paraId="7B4F8B6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5009BC4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AEC4459" w14:textId="77777777" w:rsidR="008E5233" w:rsidRDefault="005648A9">
            <w:r>
              <w:t>Early termination of contractual arrangement</w:t>
            </w:r>
          </w:p>
        </w:tc>
        <w:tc>
          <w:tcPr>
            <w:tcW w:w="907" w:type="dxa"/>
            <w:tcBorders>
              <w:bottom w:val="single" w:sz="12" w:space="0" w:color="auto"/>
            </w:tcBorders>
          </w:tcPr>
          <w:p w14:paraId="6506D48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521378AF"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671D55" w14:paraId="7D68E114"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20889615" w14:textId="77777777" w:rsidR="008E5233" w:rsidRDefault="008E5233"/>
        </w:tc>
        <w:tc>
          <w:tcPr>
            <w:tcW w:w="907" w:type="dxa"/>
          </w:tcPr>
          <w:p w14:paraId="32F27680"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140</w:t>
            </w:r>
          </w:p>
        </w:tc>
        <w:tc>
          <w:tcPr>
            <w:tcW w:w="907" w:type="dxa"/>
          </w:tcPr>
          <w:p w14:paraId="1AB8E24C"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w:t>
            </w:r>
          </w:p>
        </w:tc>
      </w:tr>
    </w:tbl>
    <w:p w14:paraId="19BF1262" w14:textId="77777777" w:rsidR="003719CD" w:rsidRDefault="003719CD" w:rsidP="007D536F">
      <w:pPr>
        <w:pStyle w:val="Note"/>
      </w:pPr>
      <w:r>
        <w:t xml:space="preserve">Note: </w:t>
      </w:r>
    </w:p>
    <w:p w14:paraId="5230F851" w14:textId="77777777" w:rsidR="003719CD" w:rsidRDefault="003719CD" w:rsidP="007D536F">
      <w:pPr>
        <w:pStyle w:val="Note"/>
      </w:pPr>
      <w:r>
        <w:t>(a)</w:t>
      </w:r>
      <w:r>
        <w:tab/>
        <w:t>The Department has a claim outstanding against a supplier for the supply of faulty products. Based on negotiations to date, management believes that it may be possible to recover this amount.</w:t>
      </w:r>
    </w:p>
    <w:p w14:paraId="3BB3168A" w14:textId="77777777" w:rsidR="003719CD" w:rsidRDefault="003719CD" w:rsidP="007D536F">
      <w:pPr>
        <w:pStyle w:val="Heading3"/>
      </w:pPr>
      <w:r>
        <w:t>Contingent liabilities</w:t>
      </w:r>
    </w:p>
    <w:p w14:paraId="6074812D" w14:textId="77777777" w:rsidR="003719CD" w:rsidRDefault="003719CD" w:rsidP="007D536F">
      <w:pPr>
        <w:keepNext/>
      </w:pPr>
      <w:r>
        <w:t>Contingent liabilities are:</w:t>
      </w:r>
    </w:p>
    <w:p w14:paraId="708C7B67" w14:textId="2BACC69C" w:rsidR="003719CD" w:rsidRDefault="003719CD" w:rsidP="00310F12">
      <w:pPr>
        <w:pStyle w:val="ListBullet"/>
      </w:pPr>
      <w:r>
        <w:t>possible obligations that arise from past events, whose existence will be confirmed only by the occurrence or non</w:t>
      </w:r>
      <w:r w:rsidR="00426BA3">
        <w:noBreakHyphen/>
      </w:r>
      <w:r>
        <w:t>occurrence of one or more uncertain future events not wholly within the control of the entity</w:t>
      </w:r>
    </w:p>
    <w:p w14:paraId="58671960" w14:textId="77777777" w:rsidR="003719CD" w:rsidRDefault="003719CD" w:rsidP="00310F12">
      <w:pPr>
        <w:pStyle w:val="ListBullet"/>
      </w:pPr>
      <w:r>
        <w:t>present obligations that arise from past events but are not recognised because:</w:t>
      </w:r>
    </w:p>
    <w:p w14:paraId="06455491" w14:textId="536536FF" w:rsidR="003719CD" w:rsidRDefault="003719CD" w:rsidP="00534D34">
      <w:pPr>
        <w:pStyle w:val="ListBullet2"/>
      </w:pPr>
      <w:r>
        <w:t>it is not probable that an outflow of resources embodying economic benefits will be required to settle the obligations</w:t>
      </w:r>
    </w:p>
    <w:p w14:paraId="2CC9E63D" w14:textId="77777777" w:rsidR="003719CD" w:rsidRDefault="003719CD" w:rsidP="00534D34">
      <w:pPr>
        <w:pStyle w:val="ListBullet2"/>
      </w:pPr>
      <w:r>
        <w:t>the amount of the obligations cannot be measured with sufficient reliability.</w:t>
      </w:r>
    </w:p>
    <w:p w14:paraId="58928867" w14:textId="77777777" w:rsidR="003719CD" w:rsidRDefault="003719CD" w:rsidP="00DC39DE">
      <w:r>
        <w:t>Contingent liabilities are also classified as either quantifiable or non-quantifiable.</w:t>
      </w:r>
    </w:p>
    <w:p w14:paraId="0887B3E2" w14:textId="77777777" w:rsidR="003719CD" w:rsidRDefault="003719CD" w:rsidP="007D536F">
      <w:pPr>
        <w:pStyle w:val="Heading4"/>
      </w:pPr>
      <w:r>
        <w:t>Non-quantifiable contingent liabilities</w:t>
      </w:r>
    </w:p>
    <w:p w14:paraId="590C9E1F" w14:textId="77777777" w:rsidR="003719CD" w:rsidRDefault="003719CD" w:rsidP="00DC39DE">
      <w:r>
        <w:t>A number of potential obligations are non-quantifiable at this time arising from:</w:t>
      </w:r>
    </w:p>
    <w:p w14:paraId="541AEDDE" w14:textId="6CFBC194" w:rsidR="003719CD" w:rsidRDefault="003719CD" w:rsidP="00310F12">
      <w:pPr>
        <w:pStyle w:val="ListBullet"/>
      </w:pPr>
      <w:r>
        <w:t>indemnities provided in relation to transactions, including financial arrangements and consultancy services, as well as for directors and administrators</w:t>
      </w:r>
    </w:p>
    <w:p w14:paraId="282438FD" w14:textId="113E4F04" w:rsidR="003719CD" w:rsidRDefault="003719CD" w:rsidP="00310F12">
      <w:pPr>
        <w:pStyle w:val="ListBullet"/>
      </w:pPr>
      <w:r>
        <w:t>performance guarantees, warranties, letters of comfort and the like</w:t>
      </w:r>
    </w:p>
    <w:p w14:paraId="10AB0580" w14:textId="1E6A16DC" w:rsidR="003719CD" w:rsidRDefault="003719CD" w:rsidP="00310F12">
      <w:pPr>
        <w:pStyle w:val="ListBullet"/>
      </w:pPr>
      <w:r>
        <w:t>deeds in respect of certain obligations</w:t>
      </w:r>
    </w:p>
    <w:p w14:paraId="0BFEACD6" w14:textId="77777777" w:rsidR="003719CD" w:rsidRDefault="003719CD" w:rsidP="00310F12">
      <w:pPr>
        <w:pStyle w:val="ListBullet"/>
      </w:pPr>
      <w:r>
        <w:t>unclaimed monies, which may be subject to future claims by the general public against the State.</w:t>
      </w:r>
    </w:p>
    <w:p w14:paraId="44393D19" w14:textId="77777777" w:rsidR="003719CD" w:rsidRDefault="003719CD" w:rsidP="007D536F">
      <w:pPr>
        <w:pStyle w:val="Caption"/>
      </w:pPr>
      <w:r>
        <w:t>Quantifiable contingent liabilities</w:t>
      </w:r>
      <w:r>
        <w:tab/>
        <w:t>($ thousand)</w:t>
      </w:r>
    </w:p>
    <w:tbl>
      <w:tblPr>
        <w:tblStyle w:val="DTFTable"/>
        <w:tblW w:w="9639" w:type="dxa"/>
        <w:tblLayout w:type="fixed"/>
        <w:tblLook w:val="06A0" w:firstRow="1" w:lastRow="0" w:firstColumn="1" w:lastColumn="0" w:noHBand="1" w:noVBand="1"/>
      </w:tblPr>
      <w:tblGrid>
        <w:gridCol w:w="7825"/>
        <w:gridCol w:w="907"/>
        <w:gridCol w:w="907"/>
      </w:tblGrid>
      <w:tr w:rsidR="00381E05" w14:paraId="4440FA9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1E1E4C17" w14:textId="77777777" w:rsidR="00381E05" w:rsidRDefault="00381E05" w:rsidP="00381E05">
            <w:pPr>
              <w:keepNext/>
            </w:pPr>
          </w:p>
        </w:tc>
        <w:tc>
          <w:tcPr>
            <w:tcW w:w="907" w:type="dxa"/>
          </w:tcPr>
          <w:p w14:paraId="0B59C85A" w14:textId="3E9BF81F" w:rsid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381E05">
                <w:t>20X2</w:t>
              </w:r>
            </w:fldSimple>
          </w:p>
        </w:tc>
        <w:tc>
          <w:tcPr>
            <w:tcW w:w="907" w:type="dxa"/>
          </w:tcPr>
          <w:p w14:paraId="0E67EECE" w14:textId="5DF94774" w:rsid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381E05">
                <w:t>20X1</w:t>
              </w:r>
            </w:fldSimple>
          </w:p>
        </w:tc>
      </w:tr>
      <w:tr w:rsidR="008E5233" w14:paraId="78CA537B" w14:textId="77777777">
        <w:tc>
          <w:tcPr>
            <w:cnfStyle w:val="001000000000" w:firstRow="0" w:lastRow="0" w:firstColumn="1" w:lastColumn="0" w:oddVBand="0" w:evenVBand="0" w:oddHBand="0" w:evenHBand="0" w:firstRowFirstColumn="0" w:firstRowLastColumn="0" w:lastRowFirstColumn="0" w:lastRowLastColumn="0"/>
            <w:tcW w:w="7825" w:type="dxa"/>
          </w:tcPr>
          <w:p w14:paraId="0BDAAE68" w14:textId="77777777" w:rsidR="008E5233" w:rsidRDefault="005648A9">
            <w:r>
              <w:t>Legal proceedings and disputes</w:t>
            </w:r>
            <w:r>
              <w:rPr>
                <w:vertAlign w:val="superscript"/>
              </w:rPr>
              <w:t xml:space="preserve"> (a)</w:t>
            </w:r>
          </w:p>
        </w:tc>
        <w:tc>
          <w:tcPr>
            <w:tcW w:w="907" w:type="dxa"/>
          </w:tcPr>
          <w:p w14:paraId="5F6171B2" w14:textId="77777777" w:rsidR="008E5233" w:rsidRDefault="005648A9">
            <w:pPr>
              <w:cnfStyle w:val="000000000000" w:firstRow="0" w:lastRow="0" w:firstColumn="0" w:lastColumn="0" w:oddVBand="0" w:evenVBand="0" w:oddHBand="0" w:evenHBand="0" w:firstRowFirstColumn="0" w:firstRowLastColumn="0" w:lastRowFirstColumn="0" w:lastRowLastColumn="0"/>
            </w:pPr>
            <w:r>
              <w:t>250</w:t>
            </w:r>
          </w:p>
        </w:tc>
        <w:tc>
          <w:tcPr>
            <w:tcW w:w="907" w:type="dxa"/>
          </w:tcPr>
          <w:p w14:paraId="3853900F" w14:textId="77777777" w:rsidR="008E5233" w:rsidRDefault="005648A9">
            <w:pPr>
              <w:cnfStyle w:val="000000000000" w:firstRow="0" w:lastRow="0" w:firstColumn="0" w:lastColumn="0" w:oddVBand="0" w:evenVBand="0" w:oddHBand="0" w:evenHBand="0" w:firstRowFirstColumn="0" w:firstRowLastColumn="0" w:lastRowFirstColumn="0" w:lastRowLastColumn="0"/>
            </w:pPr>
            <w:r>
              <w:t>210</w:t>
            </w:r>
          </w:p>
        </w:tc>
      </w:tr>
      <w:tr w:rsidR="008E5233" w14:paraId="51A2A3A0" w14:textId="77777777">
        <w:tc>
          <w:tcPr>
            <w:cnfStyle w:val="001000000000" w:firstRow="0" w:lastRow="0" w:firstColumn="1" w:lastColumn="0" w:oddVBand="0" w:evenVBand="0" w:oddHBand="0" w:evenHBand="0" w:firstRowFirstColumn="0" w:firstRowLastColumn="0" w:lastRowFirstColumn="0" w:lastRowLastColumn="0"/>
            <w:tcW w:w="7825" w:type="dxa"/>
          </w:tcPr>
          <w:p w14:paraId="04F19331" w14:textId="77777777" w:rsidR="008E5233" w:rsidRDefault="005648A9">
            <w:r>
              <w:t xml:space="preserve">Share of an associate’s contingent liabilities </w:t>
            </w:r>
            <w:r>
              <w:rPr>
                <w:vertAlign w:val="superscript"/>
              </w:rPr>
              <w:t>(b)</w:t>
            </w:r>
          </w:p>
        </w:tc>
        <w:tc>
          <w:tcPr>
            <w:tcW w:w="907" w:type="dxa"/>
          </w:tcPr>
          <w:p w14:paraId="42A87BD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4A4CEE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0862F4F4" w14:textId="77777777">
        <w:tc>
          <w:tcPr>
            <w:cnfStyle w:val="001000000000" w:firstRow="0" w:lastRow="0" w:firstColumn="1" w:lastColumn="0" w:oddVBand="0" w:evenVBand="0" w:oddHBand="0" w:evenHBand="0" w:firstRowFirstColumn="0" w:firstRowLastColumn="0" w:lastRowFirstColumn="0" w:lastRowLastColumn="0"/>
            <w:tcW w:w="7825" w:type="dxa"/>
          </w:tcPr>
          <w:p w14:paraId="676C08F0" w14:textId="77777777" w:rsidR="008E5233" w:rsidRDefault="005648A9">
            <w:r>
              <w:t>Share of a joint ventures’ contingent liabilities</w:t>
            </w:r>
          </w:p>
        </w:tc>
        <w:tc>
          <w:tcPr>
            <w:tcW w:w="907" w:type="dxa"/>
          </w:tcPr>
          <w:p w14:paraId="369FDAE5"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D9D58C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r>
      <w:tr w:rsidR="008E5233" w14:paraId="4D080FE5"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75BEC63" w14:textId="77777777" w:rsidR="008E5233" w:rsidRDefault="005648A9">
            <w:r>
              <w:t xml:space="preserve">Guarantees for loans to other entities </w:t>
            </w:r>
            <w:r>
              <w:rPr>
                <w:vertAlign w:val="superscript"/>
              </w:rPr>
              <w:t>(c)</w:t>
            </w:r>
          </w:p>
        </w:tc>
        <w:tc>
          <w:tcPr>
            <w:tcW w:w="907" w:type="dxa"/>
            <w:tcBorders>
              <w:bottom w:val="single" w:sz="12" w:space="0" w:color="auto"/>
            </w:tcBorders>
          </w:tcPr>
          <w:p w14:paraId="7C887132"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c>
          <w:tcPr>
            <w:tcW w:w="907" w:type="dxa"/>
            <w:tcBorders>
              <w:bottom w:val="single" w:sz="12" w:space="0" w:color="auto"/>
            </w:tcBorders>
          </w:tcPr>
          <w:p w14:paraId="196B8633" w14:textId="77777777" w:rsidR="008E5233" w:rsidRDefault="005648A9">
            <w:pPr>
              <w:cnfStyle w:val="000000000000" w:firstRow="0" w:lastRow="0" w:firstColumn="0" w:lastColumn="0" w:oddVBand="0" w:evenVBand="0" w:oddHBand="0" w:evenHBand="0" w:firstRowFirstColumn="0" w:firstRowLastColumn="0" w:lastRowFirstColumn="0" w:lastRowLastColumn="0"/>
            </w:pPr>
            <w:r>
              <w:t>200</w:t>
            </w:r>
          </w:p>
        </w:tc>
      </w:tr>
      <w:tr w:rsidR="00671D55" w14:paraId="14E1F1E6"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495694F7" w14:textId="77777777" w:rsidR="008E5233" w:rsidRDefault="005648A9">
            <w:r>
              <w:rPr>
                <w:b/>
              </w:rPr>
              <w:t>Total</w:t>
            </w:r>
          </w:p>
        </w:tc>
        <w:tc>
          <w:tcPr>
            <w:tcW w:w="907" w:type="dxa"/>
          </w:tcPr>
          <w:p w14:paraId="199D9A3B"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450</w:t>
            </w:r>
          </w:p>
        </w:tc>
        <w:tc>
          <w:tcPr>
            <w:tcW w:w="907" w:type="dxa"/>
          </w:tcPr>
          <w:p w14:paraId="4E327C6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410</w:t>
            </w:r>
          </w:p>
        </w:tc>
      </w:tr>
      <w:tr w:rsidR="00671D55" w14:paraId="7E1F8580"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3C9ABF95" w14:textId="77777777" w:rsidR="008E5233" w:rsidRDefault="005648A9">
            <w:r>
              <w:rPr>
                <w:b/>
              </w:rPr>
              <w:t>The Department is severally liable for all/part of the liabilities of an associate, [name]</w:t>
            </w:r>
            <w:r>
              <w:rPr>
                <w:b/>
                <w:vertAlign w:val="superscript"/>
              </w:rPr>
              <w:t xml:space="preserve"> (d)</w:t>
            </w:r>
          </w:p>
        </w:tc>
        <w:tc>
          <w:tcPr>
            <w:tcW w:w="907" w:type="dxa"/>
          </w:tcPr>
          <w:p w14:paraId="17B482BD"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c>
          <w:tcPr>
            <w:tcW w:w="907" w:type="dxa"/>
          </w:tcPr>
          <w:p w14:paraId="03083B58" w14:textId="77777777" w:rsidR="008E5233" w:rsidRDefault="008E5233">
            <w:pPr>
              <w:cnfStyle w:val="000000000000" w:firstRow="0" w:lastRow="0" w:firstColumn="0" w:lastColumn="0" w:oddVBand="0" w:evenVBand="0" w:oddHBand="0" w:evenHBand="0" w:firstRowFirstColumn="0" w:firstRowLastColumn="0" w:lastRowFirstColumn="0" w:lastRowLastColumn="0"/>
            </w:pPr>
          </w:p>
        </w:tc>
      </w:tr>
    </w:tbl>
    <w:p w14:paraId="71DEE420" w14:textId="77777777" w:rsidR="003719CD" w:rsidRDefault="003719CD" w:rsidP="007D536F">
      <w:pPr>
        <w:pStyle w:val="Note"/>
      </w:pPr>
      <w:r>
        <w:t>Notes:</w:t>
      </w:r>
    </w:p>
    <w:p w14:paraId="0EE28202" w14:textId="77777777" w:rsidR="003719CD" w:rsidRDefault="003719CD" w:rsidP="007D536F">
      <w:pPr>
        <w:pStyle w:val="Note"/>
      </w:pPr>
      <w:r>
        <w:t>(a)</w:t>
      </w:r>
      <w:r>
        <w:tab/>
        <w:t>Claims for damages were lodged during the year against the Department and certain staff in relation to alleged non-performance under a technology contract. The Department has disclaimed liability and is defending the action.</w:t>
      </w:r>
    </w:p>
    <w:p w14:paraId="22A24D3C" w14:textId="77777777" w:rsidR="003719CD" w:rsidRDefault="003719CD" w:rsidP="007D536F">
      <w:pPr>
        <w:pStyle w:val="Note"/>
      </w:pPr>
      <w:r>
        <w:t>(b)</w:t>
      </w:r>
      <w:r>
        <w:tab/>
        <w:t>The extent to which an outflow of funds will be required is dependent on the future operations of the associate being more or less favourable than currently expected.</w:t>
      </w:r>
    </w:p>
    <w:p w14:paraId="4779CDB7" w14:textId="0F9508AF" w:rsidR="003719CD" w:rsidRDefault="003719CD" w:rsidP="007D536F">
      <w:pPr>
        <w:pStyle w:val="Note"/>
      </w:pPr>
      <w:r>
        <w:t>(c)</w:t>
      </w:r>
      <w:r>
        <w:tab/>
        <w:t xml:space="preserve">The amount disclosed for financial guarantee in this note is the nominal amount of the underlying loan that is guaranteed by the Department, not the fair value of the financial guarantee. The Department has reviewed its financial guarantees and determined there is no material liability to be recognised for financial guarantee contracts at 30 June </w:t>
      </w:r>
      <w:fldSimple w:instr="DOCPROPERTY  YearCurrent  \* MERGEFORMAT">
        <w:r w:rsidR="00A545BA">
          <w:t>20X2</w:t>
        </w:r>
      </w:fldSimple>
      <w:r>
        <w:t>.</w:t>
      </w:r>
    </w:p>
    <w:p w14:paraId="26D5B3EF" w14:textId="7CE42784" w:rsidR="003719CD" w:rsidRDefault="003719CD" w:rsidP="007D536F">
      <w:pPr>
        <w:pStyle w:val="Note"/>
      </w:pPr>
      <w:r>
        <w:t>(d)</w:t>
      </w:r>
      <w:r>
        <w:tab/>
        <w:t xml:space="preserve">The Department’s joint and several liabilities for the liabilities of [name] will only be called upon in the event of default by [name]. The term of this arrangement is indefinite. The amount disclosed as a contingent liability is the aggregate liabilities of [name] as at 30 June </w:t>
      </w:r>
      <w:fldSimple w:instr="DOCPROPERTY  YearCurrent  \* MERGEFORMAT">
        <w:r w:rsidR="00A545BA">
          <w:t>20X2</w:t>
        </w:r>
      </w:fldSimple>
      <w:r>
        <w:t>. The extent to which an outflow of funds will be required is dependent on the future operations of [name] being more or less favourable than currently expected.</w:t>
      </w:r>
    </w:p>
    <w:p w14:paraId="6F64921E" w14:textId="77777777" w:rsidR="003719CD" w:rsidRDefault="003719CD" w:rsidP="007D536F"/>
    <w:p w14:paraId="00466EE1" w14:textId="77777777" w:rsidR="003719CD" w:rsidRDefault="003719CD" w:rsidP="007D536F">
      <w:pPr>
        <w:pStyle w:val="GuidanceBlockHeading"/>
      </w:pPr>
      <w:r>
        <w:lastRenderedPageBreak/>
        <w:t>Guidance – Contingent assets and contingent liabilities</w:t>
      </w:r>
    </w:p>
    <w:p w14:paraId="29186975" w14:textId="77777777" w:rsidR="003719CD" w:rsidRDefault="003719CD" w:rsidP="007D536F">
      <w:pPr>
        <w:pStyle w:val="GuidanceHeading"/>
      </w:pPr>
      <w:r>
        <w:t xml:space="preserve">Contingent assets </w:t>
      </w:r>
      <w:r w:rsidRPr="003100D9">
        <w:rPr>
          <w:rStyle w:val="Reference"/>
        </w:rPr>
        <w:t>[AASB 137.89-91]</w:t>
      </w:r>
    </w:p>
    <w:p w14:paraId="28927E6E" w14:textId="77777777" w:rsidR="003719CD" w:rsidRPr="003100D9" w:rsidRDefault="003719CD" w:rsidP="007D536F">
      <w:pPr>
        <w:rPr>
          <w:rStyle w:val="Guidance"/>
        </w:rPr>
      </w:pPr>
      <w:r w:rsidRPr="003100D9">
        <w:rPr>
          <w:rStyle w:val="Guidance"/>
        </w:rPr>
        <w:t>Where an inflow of economic benefits is probable, an entity shall disclose a brief description of the nature of the contingent assets at the end of the reporting period, and where practicable, an estimate of their financial effect. Where any of this information is not disclosed because it is not practicable to do so, that fact shall be stated.</w:t>
      </w:r>
    </w:p>
    <w:p w14:paraId="17090A6B" w14:textId="77777777" w:rsidR="003719CD" w:rsidRPr="003100D9" w:rsidRDefault="003719CD" w:rsidP="007D536F">
      <w:pPr>
        <w:rPr>
          <w:rStyle w:val="Guidance"/>
        </w:rPr>
      </w:pPr>
      <w:r w:rsidRPr="003100D9">
        <w:rPr>
          <w:rStyle w:val="Guidance"/>
        </w:rPr>
        <w:t xml:space="preserve">It is important disclosures for contingent assets avoid giving misleading indications of the likelihood of income arising. </w:t>
      </w:r>
    </w:p>
    <w:p w14:paraId="50E17726" w14:textId="77777777" w:rsidR="003719CD" w:rsidRPr="003100D9" w:rsidRDefault="003719CD" w:rsidP="007D536F">
      <w:pPr>
        <w:rPr>
          <w:rStyle w:val="Guidance"/>
        </w:rPr>
      </w:pPr>
      <w:r w:rsidRPr="003100D9">
        <w:rPr>
          <w:rStyle w:val="Guidance"/>
        </w:rPr>
        <w:t>For the purposes of providing illustrative disclosures that will assist users in preparing financial statements, the disclosures of contingent assets have been illustrated irrespective of whether a situation might give rise to future economic benefits, which are considered to be not probable.</w:t>
      </w:r>
    </w:p>
    <w:p w14:paraId="74A4C332" w14:textId="77777777" w:rsidR="003719CD" w:rsidRPr="003100D9" w:rsidRDefault="003719CD" w:rsidP="007D536F">
      <w:pPr>
        <w:pStyle w:val="GuidanceHeading"/>
        <w:rPr>
          <w:rStyle w:val="Guidance"/>
        </w:rPr>
      </w:pPr>
      <w:r w:rsidRPr="003100D9">
        <w:rPr>
          <w:rStyle w:val="Guidance"/>
        </w:rPr>
        <w:t xml:space="preserve">Exemptions </w:t>
      </w:r>
      <w:r w:rsidRPr="003100D9">
        <w:rPr>
          <w:rStyle w:val="Reference"/>
        </w:rPr>
        <w:t>[AASB 137.92]</w:t>
      </w:r>
    </w:p>
    <w:p w14:paraId="6FE13F8F" w14:textId="77777777" w:rsidR="003719CD" w:rsidRPr="003100D9" w:rsidRDefault="003719CD" w:rsidP="007D536F">
      <w:pPr>
        <w:rPr>
          <w:rStyle w:val="Guidance"/>
        </w:rPr>
      </w:pPr>
      <w:r w:rsidRPr="003100D9">
        <w:rPr>
          <w:rStyle w:val="Guidance"/>
        </w:rPr>
        <w:t xml:space="preserve">In extremely rare cases, disclosure of some or all of the information illustrated above may seriously prejudice the position of the entity in a dispute with other parties. In such cases, an entity need not disclose the information, but shall disclose the general nature of the dispute, together with the fact that, and reason why, the information has not been disclosed. </w:t>
      </w:r>
    </w:p>
    <w:p w14:paraId="2F504E75" w14:textId="77777777" w:rsidR="003719CD" w:rsidRPr="003100D9" w:rsidRDefault="003719CD" w:rsidP="007D536F">
      <w:pPr>
        <w:pStyle w:val="GuidanceHeading"/>
        <w:rPr>
          <w:rStyle w:val="Guidance"/>
        </w:rPr>
      </w:pPr>
      <w:r w:rsidRPr="003100D9">
        <w:rPr>
          <w:rStyle w:val="Guidance"/>
        </w:rPr>
        <w:t>Provisions</w:t>
      </w:r>
      <w:r w:rsidRPr="003100D9">
        <w:rPr>
          <w:rStyle w:val="Reference"/>
        </w:rPr>
        <w:t xml:space="preserve"> [AASB 137.88]</w:t>
      </w:r>
    </w:p>
    <w:p w14:paraId="36DE9B92" w14:textId="77777777" w:rsidR="003719CD" w:rsidRPr="003100D9" w:rsidRDefault="003719CD" w:rsidP="007D536F">
      <w:pPr>
        <w:rPr>
          <w:rStyle w:val="Guidance"/>
        </w:rPr>
      </w:pPr>
      <w:r w:rsidRPr="003100D9">
        <w:rPr>
          <w:rStyle w:val="Guidance"/>
        </w:rPr>
        <w:t xml:space="preserve">Where a provision and a contingent liability arise from the same set of circumstances, an entity makes the required disclosures in a way that shows the link between the provision and the contingent liability. </w:t>
      </w:r>
    </w:p>
    <w:p w14:paraId="15030B4E" w14:textId="77777777" w:rsidR="003719CD" w:rsidRPr="003100D9" w:rsidRDefault="003719CD" w:rsidP="007D536F">
      <w:pPr>
        <w:pStyle w:val="GuidanceHeading"/>
        <w:rPr>
          <w:rStyle w:val="Guidance"/>
        </w:rPr>
      </w:pPr>
      <w:r w:rsidRPr="003100D9">
        <w:rPr>
          <w:rStyle w:val="Guidance"/>
        </w:rPr>
        <w:t xml:space="preserve">Contingent liabilities </w:t>
      </w:r>
      <w:r w:rsidRPr="003100D9">
        <w:rPr>
          <w:rStyle w:val="Reference"/>
        </w:rPr>
        <w:t>[AASB 137.86-87, 137.91]</w:t>
      </w:r>
    </w:p>
    <w:p w14:paraId="30D56BF4" w14:textId="77777777" w:rsidR="003719CD" w:rsidRPr="003100D9" w:rsidRDefault="003719CD" w:rsidP="007D536F">
      <w:pPr>
        <w:keepNext/>
        <w:rPr>
          <w:rStyle w:val="Guidance"/>
        </w:rPr>
      </w:pPr>
      <w:r w:rsidRPr="003100D9">
        <w:rPr>
          <w:rStyle w:val="Guidance"/>
        </w:rPr>
        <w:t xml:space="preserve">Unless the possibility of any outflow in settlement is remote, an entity shall disclose for each class of contingent liability at the end of the reporting period a brief description of the nature of the contingent liability and, where practicable: </w:t>
      </w:r>
    </w:p>
    <w:p w14:paraId="069B4776" w14:textId="66FBB78F" w:rsidR="003719CD" w:rsidRPr="003100D9" w:rsidRDefault="003719CD" w:rsidP="00310F12">
      <w:pPr>
        <w:pStyle w:val="ListBullet"/>
        <w:rPr>
          <w:rStyle w:val="Guidance"/>
        </w:rPr>
      </w:pPr>
      <w:r w:rsidRPr="003100D9">
        <w:rPr>
          <w:rStyle w:val="Guidance"/>
        </w:rPr>
        <w:t>an estimate of its financial effect</w:t>
      </w:r>
    </w:p>
    <w:p w14:paraId="0E1128DA" w14:textId="61BDC748" w:rsidR="003719CD" w:rsidRPr="003100D9" w:rsidRDefault="003719CD" w:rsidP="00310F12">
      <w:pPr>
        <w:pStyle w:val="ListBullet"/>
        <w:rPr>
          <w:rStyle w:val="Guidance"/>
        </w:rPr>
      </w:pPr>
      <w:r w:rsidRPr="003100D9">
        <w:rPr>
          <w:rStyle w:val="Guidance"/>
        </w:rPr>
        <w:t>an indication of the uncertainties relating to the amount or timing of any outflow</w:t>
      </w:r>
    </w:p>
    <w:p w14:paraId="4358E266" w14:textId="77777777" w:rsidR="003719CD" w:rsidRPr="003100D9" w:rsidRDefault="003719CD" w:rsidP="00310F12">
      <w:pPr>
        <w:pStyle w:val="ListBullet"/>
        <w:rPr>
          <w:rStyle w:val="Guidance"/>
        </w:rPr>
      </w:pPr>
      <w:r w:rsidRPr="003100D9">
        <w:rPr>
          <w:rStyle w:val="Guidance"/>
        </w:rPr>
        <w:t>the possibility of any reimbursement.</w:t>
      </w:r>
    </w:p>
    <w:p w14:paraId="43F24D87" w14:textId="77777777" w:rsidR="003719CD" w:rsidRPr="003100D9" w:rsidRDefault="003719CD" w:rsidP="007D536F">
      <w:pPr>
        <w:rPr>
          <w:rStyle w:val="Guidance"/>
        </w:rPr>
      </w:pPr>
      <w:r w:rsidRPr="003100D9">
        <w:rPr>
          <w:rStyle w:val="Guidance"/>
        </w:rPr>
        <w:t xml:space="preserve">Where any of the information is not disclosed because it is not practicable to do so, that fact shall be stated. </w:t>
      </w:r>
    </w:p>
    <w:p w14:paraId="41951227" w14:textId="5FAFC126" w:rsidR="003719CD" w:rsidRPr="003100D9" w:rsidRDefault="003719CD" w:rsidP="007D536F">
      <w:pPr>
        <w:rPr>
          <w:rStyle w:val="Guidance"/>
        </w:rPr>
      </w:pPr>
      <w:r w:rsidRPr="003100D9">
        <w:rPr>
          <w:rStyle w:val="Guidance"/>
        </w:rPr>
        <w:t xml:space="preserve">In determining which contingent liabilities may be aggregated to form a class, it is necessary to consider whether the nature of the items is sufficiently similar for a single statement about them to fulfil the requirements of AASB 137.86 (a) and (b) above. </w:t>
      </w:r>
    </w:p>
    <w:p w14:paraId="0EE64168" w14:textId="77777777" w:rsidR="003719CD" w:rsidRPr="003100D9" w:rsidRDefault="003719CD" w:rsidP="007D536F">
      <w:pPr>
        <w:rPr>
          <w:rStyle w:val="Guidance"/>
        </w:rPr>
      </w:pPr>
      <w:r w:rsidRPr="003100D9">
        <w:rPr>
          <w:rStyle w:val="Guidance"/>
        </w:rPr>
        <w:t>For the purposes of providing illustrative disclosures that will assist users in preparing financial statements, the disclosures of contingent liabilities have been illustrated irrespective of whether a situation might give rise to future economic sacrifices, which are considered to be remote.</w:t>
      </w:r>
    </w:p>
    <w:p w14:paraId="3267E117" w14:textId="77777777" w:rsidR="003719CD" w:rsidRPr="003100D9" w:rsidRDefault="003719CD" w:rsidP="007D536F">
      <w:pPr>
        <w:pStyle w:val="GuidanceHeading"/>
        <w:rPr>
          <w:rStyle w:val="Guidance"/>
        </w:rPr>
      </w:pPr>
      <w:r w:rsidRPr="003100D9">
        <w:rPr>
          <w:rStyle w:val="Guidance"/>
        </w:rPr>
        <w:t>Financial guarantee</w:t>
      </w:r>
    </w:p>
    <w:p w14:paraId="5632EC92" w14:textId="77777777" w:rsidR="003719CD" w:rsidRPr="003100D9" w:rsidRDefault="003719CD" w:rsidP="007D536F">
      <w:pPr>
        <w:rPr>
          <w:rStyle w:val="Guidance"/>
        </w:rPr>
      </w:pPr>
      <w:r w:rsidRPr="003100D9">
        <w:rPr>
          <w:rStyle w:val="Guidance"/>
        </w:rPr>
        <w:t>Entities are encouraged to disclose the underlying nominal amounts of any loan, for which it provided financial guarantees, in this note under contingent liabilities.</w:t>
      </w:r>
    </w:p>
    <w:p w14:paraId="7AAA863C" w14:textId="77777777" w:rsidR="003719CD" w:rsidRDefault="003719CD" w:rsidP="007D536F">
      <w:pPr>
        <w:pStyle w:val="GuidanceEnd"/>
      </w:pPr>
    </w:p>
    <w:p w14:paraId="0EA4D536" w14:textId="77777777" w:rsidR="007E486C" w:rsidRPr="007E486C" w:rsidRDefault="007E486C" w:rsidP="007E486C">
      <w:bookmarkStart w:id="125" w:name="_Toc59210204"/>
      <w:bookmarkStart w:id="126" w:name="_Toc64983175"/>
      <w:r w:rsidRPr="007E486C">
        <w:br w:type="page"/>
      </w:r>
    </w:p>
    <w:p w14:paraId="7AECACE5" w14:textId="26A47838" w:rsidR="003719CD" w:rsidRDefault="003719CD" w:rsidP="007762BE">
      <w:pPr>
        <w:pStyle w:val="Heading2numbered"/>
      </w:pPr>
      <w:bookmarkStart w:id="127" w:name="_Toc130225998"/>
      <w:r>
        <w:lastRenderedPageBreak/>
        <w:t>Fair value determination</w:t>
      </w:r>
      <w:bookmarkEnd w:id="125"/>
      <w:bookmarkEnd w:id="126"/>
      <w:bookmarkEnd w:id="127"/>
    </w:p>
    <w:p w14:paraId="64B1CC31" w14:textId="77777777" w:rsidR="003719CD" w:rsidRPr="003100D9" w:rsidRDefault="003719CD" w:rsidP="007D536F">
      <w:pPr>
        <w:pStyle w:val="GuidanceBox"/>
        <w:rPr>
          <w:b/>
          <w:bCs/>
        </w:rPr>
      </w:pPr>
      <w:r w:rsidRPr="003100D9">
        <w:rPr>
          <w:b/>
          <w:bCs/>
        </w:rPr>
        <w:t>Significant judgement: Fair value measurements of assets and liabilities</w:t>
      </w:r>
    </w:p>
    <w:p w14:paraId="13F36F83" w14:textId="77777777" w:rsidR="003719CD" w:rsidRPr="003100D9" w:rsidRDefault="003719CD" w:rsidP="007D536F">
      <w:pPr>
        <w:pStyle w:val="GuidanceBox"/>
      </w:pPr>
      <w:r>
        <w:t xml:space="preserve">Fair value determination requires judgement and the use of assumptions. This section discloses the most significant assumptions used in determining fair values. Changes to assumptions could have a material impact on the results and </w:t>
      </w:r>
      <w:r w:rsidRPr="003100D9">
        <w:t>financial position of the Department.</w:t>
      </w:r>
    </w:p>
    <w:p w14:paraId="75DD8D37" w14:textId="77777777" w:rsidR="003719CD" w:rsidRDefault="003719CD" w:rsidP="00DC39DE">
      <w:r>
        <w:t xml:space="preserve">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 </w:t>
      </w:r>
    </w:p>
    <w:p w14:paraId="4F7F7B87" w14:textId="77777777" w:rsidR="003719CD" w:rsidRDefault="003719CD" w:rsidP="00DC39DE">
      <w:r>
        <w:t xml:space="preserve">The following assets and liabilities are carried at fair value: </w:t>
      </w:r>
    </w:p>
    <w:p w14:paraId="68B2D051" w14:textId="6959ACD0" w:rsidR="003719CD" w:rsidRDefault="003719CD" w:rsidP="00310F12">
      <w:pPr>
        <w:pStyle w:val="ListBullet"/>
      </w:pPr>
      <w:r>
        <w:t xml:space="preserve">financial assets and liabilities at fair value through </w:t>
      </w:r>
      <w:r w:rsidR="00904997">
        <w:t>profit or loss</w:t>
      </w:r>
    </w:p>
    <w:p w14:paraId="1614DD2C" w14:textId="18FED25C" w:rsidR="003719CD" w:rsidRDefault="00232E20" w:rsidP="009E082F">
      <w:pPr>
        <w:pStyle w:val="ListBullet"/>
      </w:pPr>
      <w:r w:rsidRPr="00232E20">
        <w:t>f</w:t>
      </w:r>
      <w:r w:rsidR="003719CD">
        <w:t>inancial assets</w:t>
      </w:r>
      <w:r w:rsidR="00344F28">
        <w:t xml:space="preserve"> at fair value</w:t>
      </w:r>
      <w:r w:rsidR="009E082F">
        <w:t xml:space="preserve"> </w:t>
      </w:r>
      <w:r w:rsidRPr="00232E20">
        <w:t xml:space="preserve">through other comprehensive income </w:t>
      </w:r>
      <w:r w:rsidR="003719CD">
        <w:t>land, buildings, infrastructure, plant and equipment</w:t>
      </w:r>
    </w:p>
    <w:p w14:paraId="3975A0AD" w14:textId="019215C1" w:rsidR="003719CD" w:rsidRDefault="003719CD" w:rsidP="00310F12">
      <w:pPr>
        <w:pStyle w:val="ListBullet"/>
      </w:pPr>
      <w:r>
        <w:t>investment properties</w:t>
      </w:r>
    </w:p>
    <w:p w14:paraId="70A1CF75" w14:textId="77777777" w:rsidR="003719CD" w:rsidRDefault="003719CD" w:rsidP="00310F12">
      <w:pPr>
        <w:pStyle w:val="ListBullet"/>
      </w:pPr>
      <w:r>
        <w:t>biological assets.</w:t>
      </w:r>
    </w:p>
    <w:p w14:paraId="0AA0A7B4" w14:textId="77777777" w:rsidR="003719CD" w:rsidRDefault="003719CD" w:rsidP="00DC39DE">
      <w:r>
        <w:t xml:space="preserve">In addition, the fair values of other assets and liabilities that are carried at amortised cost, also need to be determined for disclosure purposes. </w:t>
      </w:r>
    </w:p>
    <w:p w14:paraId="504E62F5" w14:textId="77777777" w:rsidR="003719CD" w:rsidRDefault="003719CD" w:rsidP="00DC39DE">
      <w:r>
        <w:t>The Department determines the policies and procedures for determining fair values for both financial and non-financial assets and liabilities as required.</w:t>
      </w:r>
    </w:p>
    <w:p w14:paraId="6A371E2E" w14:textId="77777777" w:rsidR="003719CD" w:rsidRDefault="003719CD" w:rsidP="007D536F">
      <w:pPr>
        <w:pStyle w:val="Heading3"/>
      </w:pPr>
      <w:r>
        <w:t>Fair value hierarchy</w:t>
      </w:r>
    </w:p>
    <w:p w14:paraId="5F8DA7FF" w14:textId="77777777" w:rsidR="003719CD" w:rsidRDefault="003719CD" w:rsidP="00DC39DE">
      <w:r>
        <w:t>In determining fair values, a number of inputs are used. To increase consistency and comparability in the financial statements, these inputs are categorised into three levels, also known as the fair value hierarchy. The levels are as follows:</w:t>
      </w:r>
    </w:p>
    <w:p w14:paraId="5872C0F2" w14:textId="5C595066" w:rsidR="003719CD" w:rsidRDefault="003719CD" w:rsidP="00310F12">
      <w:pPr>
        <w:pStyle w:val="ListBullet"/>
      </w:pPr>
      <w:r>
        <w:t>Level 1 – quoted (unadjusted) market prices in active markets for identical assets or liabilities</w:t>
      </w:r>
    </w:p>
    <w:p w14:paraId="4560DF8D" w14:textId="696E373D" w:rsidR="003719CD" w:rsidRDefault="003719CD" w:rsidP="00310F12">
      <w:pPr>
        <w:pStyle w:val="ListBullet"/>
      </w:pPr>
      <w:r>
        <w:t>Level 2 – valuation techniques for which the lowest level input that is significant to the fair value measurement is directly or indirectly observable</w:t>
      </w:r>
    </w:p>
    <w:p w14:paraId="306D03AF" w14:textId="77777777" w:rsidR="003719CD" w:rsidRDefault="003719CD" w:rsidP="00310F12">
      <w:pPr>
        <w:pStyle w:val="ListBullet"/>
      </w:pPr>
      <w:r>
        <w:t>Level 3 – valuation techniques for which the lowest level input that is significant to the fair value measurement is unobservable.</w:t>
      </w:r>
    </w:p>
    <w:p w14:paraId="613313C8" w14:textId="77777777" w:rsidR="003719CD" w:rsidRDefault="003719CD" w:rsidP="00DC39DE">
      <w:r>
        <w:t xml:space="preserve">The Department determines whether transfers have occurred between levels in the hierarchy by reassessing categorisation (based on the lowest level input that is significant to the fair value measurement as a whole) at the end of each reporting period. </w:t>
      </w:r>
    </w:p>
    <w:p w14:paraId="7F8ADD3C" w14:textId="77777777" w:rsidR="003719CD" w:rsidRDefault="003719CD" w:rsidP="00DC39DE">
      <w:r>
        <w:t xml:space="preserve">The Valuer General Victoria (VGV) is the Department’s independent valuation agency (or) the Department, in conjunction with VGV </w:t>
      </w:r>
      <w:r w:rsidRPr="003100D9">
        <w:rPr>
          <w:i/>
          <w:iCs/>
        </w:rPr>
        <w:t>[and other external valuers, if applicable]</w:t>
      </w:r>
      <w:r>
        <w:t>, monitors changes in the fair value of each asset and liability through relevant data sources to determine whether revaluation is required.</w:t>
      </w:r>
    </w:p>
    <w:p w14:paraId="0D563120" w14:textId="77777777" w:rsidR="003719CD" w:rsidRDefault="003719CD" w:rsidP="007D536F">
      <w:pPr>
        <w:pStyle w:val="Heading3"/>
      </w:pPr>
      <w:r>
        <w:t>How this section is structured</w:t>
      </w:r>
    </w:p>
    <w:p w14:paraId="3EA74283" w14:textId="77777777" w:rsidR="003719CD" w:rsidRDefault="003719CD" w:rsidP="00DC39DE">
      <w:r>
        <w:t>For those assets and liabilities for which fair values are determined, the following disclosures are provided:</w:t>
      </w:r>
    </w:p>
    <w:p w14:paraId="31AF63AC" w14:textId="444A10D4" w:rsidR="003719CD" w:rsidRDefault="003719CD" w:rsidP="00310F12">
      <w:pPr>
        <w:pStyle w:val="ListBullet"/>
      </w:pPr>
      <w:r>
        <w:t>carrying amount and the fair value (which would be the same for those assets measured at fair value)</w:t>
      </w:r>
    </w:p>
    <w:p w14:paraId="308F8D49" w14:textId="58EB8397" w:rsidR="003719CD" w:rsidRDefault="003719CD" w:rsidP="00310F12">
      <w:pPr>
        <w:pStyle w:val="ListBullet"/>
      </w:pPr>
      <w:r>
        <w:t>which level of the fair value hierarchy was used to determine the fair value</w:t>
      </w:r>
      <w:r w:rsidR="006F5939">
        <w:t>:</w:t>
      </w:r>
    </w:p>
    <w:p w14:paraId="0E2BEE28" w14:textId="77777777" w:rsidR="003719CD" w:rsidRDefault="003719CD" w:rsidP="00D834E9">
      <w:pPr>
        <w:pStyle w:val="ListBullet2"/>
      </w:pPr>
      <w:r>
        <w:t>in respect of those assets and liabilities subject to fair value determination using Level 3 inputs:</w:t>
      </w:r>
    </w:p>
    <w:p w14:paraId="465C36B1" w14:textId="5335971B" w:rsidR="003719CD" w:rsidRDefault="003719CD" w:rsidP="00D834E9">
      <w:pPr>
        <w:pStyle w:val="ListBullet2"/>
      </w:pPr>
      <w:r>
        <w:t>a reconciliation of the movements in fair values from the beginning of the year to the end</w:t>
      </w:r>
    </w:p>
    <w:p w14:paraId="5AAB0D0D" w14:textId="77777777" w:rsidR="003719CD" w:rsidRDefault="003719CD" w:rsidP="00D834E9">
      <w:pPr>
        <w:pStyle w:val="ListBullet2"/>
      </w:pPr>
      <w:r>
        <w:t>details of significant unobservable inputs used in the fair value determination.</w:t>
      </w:r>
    </w:p>
    <w:p w14:paraId="6F208303" w14:textId="77777777" w:rsidR="003719CD" w:rsidRDefault="003719CD" w:rsidP="00DC39DE">
      <w:r>
        <w:t>This section is divided between disclosures in connection with fair value determination for financial instruments (refer to Note 8.3.1) and non-financial physical assets (refer to Note 8.3.2).</w:t>
      </w:r>
    </w:p>
    <w:p w14:paraId="4D4EFB62" w14:textId="77777777" w:rsidR="003719CD" w:rsidRDefault="003719CD" w:rsidP="007762BE">
      <w:pPr>
        <w:pStyle w:val="Heading3numbered"/>
      </w:pPr>
      <w:r>
        <w:lastRenderedPageBreak/>
        <w:t>Fair value determination of financial assets and liabilities</w:t>
      </w:r>
    </w:p>
    <w:p w14:paraId="6A0EAAA7" w14:textId="77777777" w:rsidR="003719CD" w:rsidRDefault="003719CD" w:rsidP="007D536F">
      <w:pPr>
        <w:keepNext/>
      </w:pPr>
      <w:r>
        <w:t xml:space="preserve">The fair values and net fair values of financial assets and liabilities are determined as follows: </w:t>
      </w:r>
      <w:r w:rsidRPr="007C7EBD">
        <w:rPr>
          <w:rStyle w:val="Reference"/>
        </w:rPr>
        <w:t xml:space="preserve">[AASB 13.93(a)(b)] </w:t>
      </w:r>
    </w:p>
    <w:p w14:paraId="4FB5B085" w14:textId="49F2B914" w:rsidR="003719CD" w:rsidRDefault="003719CD" w:rsidP="00310F12">
      <w:pPr>
        <w:pStyle w:val="ListBullet"/>
        <w:keepNext/>
      </w:pPr>
      <w:r>
        <w:t>Level 1 – the fair value of financial instruments with standard terms and conditions and traded in active liquid markets are determined with reference to quoted market prices</w:t>
      </w:r>
    </w:p>
    <w:p w14:paraId="0841AEB8" w14:textId="7FB31F09" w:rsidR="003719CD" w:rsidRDefault="003719CD" w:rsidP="00310F12">
      <w:pPr>
        <w:pStyle w:val="ListBullet"/>
      </w:pPr>
      <w:r>
        <w:t>Level 2 – the fair value is determined using inputs other than quoted prices that are observable for the financial asset or liability, either directly or indirectly</w:t>
      </w:r>
    </w:p>
    <w:p w14:paraId="5AD8787F" w14:textId="77777777" w:rsidR="003719CD" w:rsidRDefault="003719CD" w:rsidP="00310F12">
      <w:pPr>
        <w:pStyle w:val="ListBullet"/>
      </w:pPr>
      <w:r>
        <w:t>Level 3 – the fair value is determined in accordance with generally accepted pricing models based on discounted cash flow analysis using unobservable market inputs.</w:t>
      </w:r>
    </w:p>
    <w:p w14:paraId="3D938E0F" w14:textId="0DB37AA8" w:rsidR="003719CD" w:rsidRDefault="003719CD" w:rsidP="00DC39DE">
      <w:r>
        <w:t xml:space="preserve">The Department currently holds a range of financial instruments that are recorded in the financial statements where the carrying amounts approximate to fair value, due to their short-term nature or with the expectation that they will be paid in full by the end of the </w:t>
      </w:r>
      <w:fldSimple w:instr="DOCPROPERTY  FinYearCurrent  \* MERGEFORMAT">
        <w:r w:rsidR="00D530EA">
          <w:t>20X1</w:t>
        </w:r>
        <w:r w:rsidR="00D530EA" w:rsidRPr="00D530EA">
          <w:rPr>
            <w:rFonts w:ascii="Cambria Math" w:hAnsi="Cambria Math" w:cs="Cambria Math"/>
          </w:rPr>
          <w:t>‑</w:t>
        </w:r>
        <w:r w:rsidR="00D530EA">
          <w:t>X2</w:t>
        </w:r>
      </w:fldSimple>
      <w:r>
        <w:t xml:space="preserve"> reporting period. </w:t>
      </w:r>
      <w:r w:rsidRPr="007C7EBD">
        <w:rPr>
          <w:rStyle w:val="Reference"/>
        </w:rPr>
        <w:t>[AASB 7.29(a)]</w:t>
      </w:r>
    </w:p>
    <w:p w14:paraId="60BD9AD5" w14:textId="77777777" w:rsidR="003719CD" w:rsidRDefault="003719CD" w:rsidP="00DC39DE">
      <w:r>
        <w:t>These financial instruments include:</w:t>
      </w:r>
    </w:p>
    <w:tbl>
      <w:tblPr>
        <w:tblStyle w:val="DTFTextTable"/>
        <w:tblW w:w="9611" w:type="dxa"/>
        <w:tblLayout w:type="fixed"/>
        <w:tblLook w:val="0620" w:firstRow="1" w:lastRow="0" w:firstColumn="0" w:lastColumn="0" w:noHBand="1" w:noVBand="1"/>
      </w:tblPr>
      <w:tblGrid>
        <w:gridCol w:w="4743"/>
        <w:gridCol w:w="4868"/>
      </w:tblGrid>
      <w:tr w:rsidR="003719CD" w:rsidRPr="00B65FB5" w14:paraId="586FF0B0" w14:textId="77777777" w:rsidTr="007D536F">
        <w:trPr>
          <w:cnfStyle w:val="100000000000" w:firstRow="1" w:lastRow="0" w:firstColumn="0" w:lastColumn="0" w:oddVBand="0" w:evenVBand="0" w:oddHBand="0" w:evenHBand="0" w:firstRowFirstColumn="0" w:firstRowLastColumn="0" w:lastRowFirstColumn="0" w:lastRowLastColumn="0"/>
        </w:trPr>
        <w:tc>
          <w:tcPr>
            <w:tcW w:w="4743" w:type="dxa"/>
          </w:tcPr>
          <w:p w14:paraId="64E9BEDC" w14:textId="77777777" w:rsidR="003719CD" w:rsidRPr="00B65FB5" w:rsidRDefault="003719CD" w:rsidP="007D536F">
            <w:r w:rsidRPr="00B65FB5">
              <w:t>Financial assets</w:t>
            </w:r>
          </w:p>
        </w:tc>
        <w:tc>
          <w:tcPr>
            <w:tcW w:w="4868" w:type="dxa"/>
          </w:tcPr>
          <w:p w14:paraId="764BE3D2" w14:textId="77777777" w:rsidR="003719CD" w:rsidRPr="00B65FB5" w:rsidRDefault="003719CD" w:rsidP="007D536F">
            <w:r w:rsidRPr="00B65FB5">
              <w:t>Financial liabilities</w:t>
            </w:r>
          </w:p>
        </w:tc>
      </w:tr>
      <w:tr w:rsidR="003719CD" w:rsidRPr="00B65FB5" w14:paraId="06678587" w14:textId="77777777" w:rsidTr="007D536F">
        <w:tc>
          <w:tcPr>
            <w:tcW w:w="4743" w:type="dxa"/>
          </w:tcPr>
          <w:p w14:paraId="59718473" w14:textId="77777777" w:rsidR="003719CD" w:rsidRPr="00B65FB5" w:rsidRDefault="003719CD" w:rsidP="007D536F">
            <w:r w:rsidRPr="00B65FB5">
              <w:t>Cash and deposits</w:t>
            </w:r>
          </w:p>
          <w:p w14:paraId="72F31AEC" w14:textId="77777777" w:rsidR="003719CD" w:rsidRPr="00B65FB5" w:rsidRDefault="003719CD" w:rsidP="007D536F">
            <w:r w:rsidRPr="00B65FB5">
              <w:t xml:space="preserve">Receivables: </w:t>
            </w:r>
          </w:p>
          <w:p w14:paraId="735CC631" w14:textId="77777777" w:rsidR="003719CD" w:rsidRPr="00B65FB5" w:rsidRDefault="003719CD" w:rsidP="00310F12">
            <w:pPr>
              <w:pStyle w:val="ListBullet"/>
            </w:pPr>
            <w:r w:rsidRPr="00B65FB5">
              <w:t xml:space="preserve">Sale of goods and services </w:t>
            </w:r>
          </w:p>
          <w:p w14:paraId="492C4CBF" w14:textId="77777777" w:rsidR="003719CD" w:rsidRPr="00B65FB5" w:rsidRDefault="003719CD" w:rsidP="00310F12">
            <w:pPr>
              <w:pStyle w:val="ListBullet"/>
            </w:pPr>
            <w:r w:rsidRPr="00B65FB5">
              <w:t xml:space="preserve">Accrued investment income </w:t>
            </w:r>
          </w:p>
          <w:p w14:paraId="43891A79" w14:textId="77777777" w:rsidR="003719CD" w:rsidRPr="00B65FB5" w:rsidRDefault="003719CD" w:rsidP="00310F12">
            <w:pPr>
              <w:pStyle w:val="ListBullet"/>
            </w:pPr>
            <w:r w:rsidRPr="00B65FB5">
              <w:t xml:space="preserve">Other receivables </w:t>
            </w:r>
          </w:p>
          <w:p w14:paraId="7DC95AB0" w14:textId="77777777" w:rsidR="003719CD" w:rsidRPr="00B65FB5" w:rsidRDefault="003719CD" w:rsidP="007D536F">
            <w:r w:rsidRPr="00B65FB5">
              <w:t>Investments and other contractual financial assets:</w:t>
            </w:r>
          </w:p>
          <w:p w14:paraId="30A8FDC3" w14:textId="77777777" w:rsidR="003719CD" w:rsidRPr="00B65FB5" w:rsidRDefault="003719CD" w:rsidP="00310F12">
            <w:pPr>
              <w:pStyle w:val="ListBullet"/>
            </w:pPr>
            <w:r w:rsidRPr="00B65FB5">
              <w:t>Term deposits</w:t>
            </w:r>
          </w:p>
        </w:tc>
        <w:tc>
          <w:tcPr>
            <w:tcW w:w="4868" w:type="dxa"/>
          </w:tcPr>
          <w:p w14:paraId="5E1BE400" w14:textId="77777777" w:rsidR="003719CD" w:rsidRPr="00B65FB5" w:rsidRDefault="003719CD" w:rsidP="007D536F">
            <w:r w:rsidRPr="00B65FB5">
              <w:t>Payables:</w:t>
            </w:r>
          </w:p>
          <w:p w14:paraId="6F06BCBF" w14:textId="77777777" w:rsidR="003719CD" w:rsidRPr="00B65FB5" w:rsidRDefault="003719CD" w:rsidP="00310F12">
            <w:pPr>
              <w:pStyle w:val="ListBullet"/>
            </w:pPr>
            <w:r w:rsidRPr="00B65FB5">
              <w:t xml:space="preserve">For supplies and services </w:t>
            </w:r>
          </w:p>
          <w:p w14:paraId="7083E90A" w14:textId="77777777" w:rsidR="003719CD" w:rsidRPr="00B65FB5" w:rsidRDefault="003719CD" w:rsidP="00310F12">
            <w:pPr>
              <w:pStyle w:val="ListBullet"/>
            </w:pPr>
            <w:r w:rsidRPr="00B65FB5">
              <w:t xml:space="preserve">Amounts payable to government and agencies </w:t>
            </w:r>
          </w:p>
          <w:p w14:paraId="0F901601" w14:textId="77777777" w:rsidR="003719CD" w:rsidRPr="00B65FB5" w:rsidRDefault="003719CD" w:rsidP="00310F12">
            <w:pPr>
              <w:pStyle w:val="ListBullet"/>
            </w:pPr>
            <w:r w:rsidRPr="00B65FB5">
              <w:t xml:space="preserve">Other payables </w:t>
            </w:r>
          </w:p>
          <w:p w14:paraId="25A8D119" w14:textId="77777777" w:rsidR="003719CD" w:rsidRPr="00B65FB5" w:rsidRDefault="003719CD" w:rsidP="007D536F">
            <w:r w:rsidRPr="00B65FB5">
              <w:t xml:space="preserve">Borrowings: </w:t>
            </w:r>
          </w:p>
          <w:p w14:paraId="586A706A" w14:textId="77777777" w:rsidR="003719CD" w:rsidRPr="00B65FB5" w:rsidRDefault="003719CD" w:rsidP="00310F12">
            <w:pPr>
              <w:pStyle w:val="ListBullet"/>
            </w:pPr>
            <w:r w:rsidRPr="00B65FB5">
              <w:t>Bank overdraft</w:t>
            </w:r>
          </w:p>
        </w:tc>
      </w:tr>
    </w:tbl>
    <w:p w14:paraId="4C7A388D" w14:textId="77777777" w:rsidR="003719CD" w:rsidRDefault="003719CD" w:rsidP="00DC39DE">
      <w:r>
        <w:t xml:space="preserve">Where the fair value of the financial instruments is different from the carrying amounts, the following information has been included to disclose the difference. </w:t>
      </w:r>
      <w:r w:rsidRPr="007C7EBD">
        <w:rPr>
          <w:rStyle w:val="Reference"/>
        </w:rPr>
        <w:t>[AASB 7.25]</w:t>
      </w:r>
    </w:p>
    <w:p w14:paraId="07D84F05" w14:textId="77777777" w:rsidR="003719CD" w:rsidRDefault="003719CD" w:rsidP="007D536F">
      <w:pPr>
        <w:pStyle w:val="Caption"/>
      </w:pPr>
      <w:r>
        <w:t xml:space="preserve">Fair value of financial instruments measured at amortised cost </w:t>
      </w:r>
      <w:r>
        <w:tab/>
        <w:t>($ thousand)</w:t>
      </w:r>
    </w:p>
    <w:tbl>
      <w:tblPr>
        <w:tblStyle w:val="DTFTable"/>
        <w:tblW w:w="9639" w:type="dxa"/>
        <w:tblLayout w:type="fixed"/>
        <w:tblLook w:val="06A0" w:firstRow="1" w:lastRow="0" w:firstColumn="1" w:lastColumn="0" w:noHBand="1" w:noVBand="1"/>
      </w:tblPr>
      <w:tblGrid>
        <w:gridCol w:w="1347"/>
        <w:gridCol w:w="4832"/>
        <w:gridCol w:w="865"/>
        <w:gridCol w:w="865"/>
        <w:gridCol w:w="865"/>
        <w:gridCol w:w="865"/>
      </w:tblGrid>
      <w:tr w:rsidR="00182709" w14:paraId="10EC6BA8" w14:textId="77777777" w:rsidTr="00381E0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7" w:type="dxa"/>
            <w:tcBorders>
              <w:top w:val="nil"/>
              <w:bottom w:val="nil"/>
            </w:tcBorders>
            <w:shd w:val="clear" w:color="auto" w:fill="FFFFFF" w:themeFill="background1"/>
          </w:tcPr>
          <w:p w14:paraId="462B465B" w14:textId="77777777" w:rsidR="00182709" w:rsidRDefault="0044097C">
            <w:pPr>
              <w:keepNext/>
            </w:pPr>
            <w:r>
              <w:rPr>
                <w:color w:val="4472C4"/>
                <w:sz w:val="13"/>
              </w:rPr>
              <w:t>Source reference</w:t>
            </w:r>
          </w:p>
        </w:tc>
        <w:tc>
          <w:tcPr>
            <w:tcW w:w="4832" w:type="dxa"/>
          </w:tcPr>
          <w:p w14:paraId="0536DE50" w14:textId="77777777" w:rsidR="00182709" w:rsidRDefault="00182709">
            <w:pPr>
              <w:keepNext/>
              <w:jc w:val="left"/>
              <w:cnfStyle w:val="100000000000" w:firstRow="1" w:lastRow="0" w:firstColumn="0" w:lastColumn="0" w:oddVBand="0" w:evenVBand="0" w:oddHBand="0" w:evenHBand="0" w:firstRowFirstColumn="0" w:firstRowLastColumn="0" w:lastRowFirstColumn="0" w:lastRowLastColumn="0"/>
            </w:pPr>
          </w:p>
        </w:tc>
        <w:tc>
          <w:tcPr>
            <w:tcW w:w="865" w:type="dxa"/>
          </w:tcPr>
          <w:p w14:paraId="24FB60F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865" w:type="dxa"/>
          </w:tcPr>
          <w:p w14:paraId="5AC34BD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w:t>
            </w:r>
          </w:p>
        </w:tc>
        <w:tc>
          <w:tcPr>
            <w:tcW w:w="865" w:type="dxa"/>
          </w:tcPr>
          <w:p w14:paraId="1140E008"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865" w:type="dxa"/>
          </w:tcPr>
          <w:p w14:paraId="00DF487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Fair value</w:t>
            </w:r>
          </w:p>
        </w:tc>
      </w:tr>
      <w:tr w:rsidR="00381E05" w14:paraId="44148CDA" w14:textId="77777777" w:rsidTr="00381E0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47" w:type="dxa"/>
            <w:tcBorders>
              <w:top w:val="nil"/>
              <w:bottom w:val="nil"/>
            </w:tcBorders>
            <w:shd w:val="clear" w:color="auto" w:fill="FFFFFF" w:themeFill="background1"/>
          </w:tcPr>
          <w:p w14:paraId="58EABEC2" w14:textId="1D34E8BC" w:rsidR="00381E05" w:rsidRPr="00883D73" w:rsidRDefault="00381E05" w:rsidP="00381E05">
            <w:pPr>
              <w:keepNext/>
              <w:rPr>
                <w:i w:val="0"/>
                <w:iCs/>
              </w:rPr>
            </w:pPr>
            <w:r w:rsidRPr="00883D73">
              <w:rPr>
                <w:i w:val="0"/>
                <w:iCs/>
                <w:color w:val="4472C4"/>
                <w:sz w:val="13"/>
              </w:rPr>
              <w:t>AASB 13.93(b)(d)</w:t>
            </w:r>
          </w:p>
        </w:tc>
        <w:tc>
          <w:tcPr>
            <w:tcW w:w="4832" w:type="dxa"/>
          </w:tcPr>
          <w:p w14:paraId="40A4FCB2" w14:textId="77777777" w:rsidR="00381E05" w:rsidRDefault="00381E05" w:rsidP="00381E05">
            <w:pPr>
              <w:keepNext/>
              <w:jc w:val="left"/>
              <w:cnfStyle w:val="100000000000" w:firstRow="1" w:lastRow="0" w:firstColumn="0" w:lastColumn="0" w:oddVBand="0" w:evenVBand="0" w:oddHBand="0" w:evenHBand="0" w:firstRowFirstColumn="0" w:firstRowLastColumn="0" w:lastRowFirstColumn="0" w:lastRowLastColumn="0"/>
            </w:pPr>
          </w:p>
        </w:tc>
        <w:tc>
          <w:tcPr>
            <w:tcW w:w="865" w:type="dxa"/>
          </w:tcPr>
          <w:p w14:paraId="147EFD27" w14:textId="799B3524" w:rsid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EB2D58">
                <w:t>20X2</w:t>
              </w:r>
            </w:fldSimple>
          </w:p>
        </w:tc>
        <w:tc>
          <w:tcPr>
            <w:tcW w:w="865" w:type="dxa"/>
          </w:tcPr>
          <w:p w14:paraId="66C27564" w14:textId="461E3CC9" w:rsid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EB2D58">
                <w:t>20X2</w:t>
              </w:r>
            </w:fldSimple>
          </w:p>
        </w:tc>
        <w:tc>
          <w:tcPr>
            <w:tcW w:w="865" w:type="dxa"/>
          </w:tcPr>
          <w:p w14:paraId="4D1E6E52" w14:textId="7999B40F" w:rsid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6B64F2">
                <w:rPr>
                  <w:lang w:val="en-US"/>
                </w:rPr>
                <w:t>20X1</w:t>
              </w:r>
            </w:fldSimple>
          </w:p>
        </w:tc>
        <w:tc>
          <w:tcPr>
            <w:tcW w:w="865" w:type="dxa"/>
          </w:tcPr>
          <w:p w14:paraId="237B1655" w14:textId="6F631474" w:rsidR="00381E05" w:rsidRDefault="00381E05" w:rsidP="00381E05">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6B64F2">
                <w:rPr>
                  <w:lang w:val="en-US"/>
                </w:rPr>
                <w:t>20X1</w:t>
              </w:r>
            </w:fldSimple>
          </w:p>
        </w:tc>
      </w:tr>
      <w:tr w:rsidR="00182709" w14:paraId="541A1B72"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636C5618" w14:textId="77777777" w:rsidR="00182709" w:rsidRDefault="00182709"/>
        </w:tc>
        <w:tc>
          <w:tcPr>
            <w:tcW w:w="4832" w:type="dxa"/>
          </w:tcPr>
          <w:p w14:paraId="4E2FBAD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Financial assets</w:t>
            </w:r>
          </w:p>
        </w:tc>
        <w:tc>
          <w:tcPr>
            <w:tcW w:w="865" w:type="dxa"/>
          </w:tcPr>
          <w:p w14:paraId="181EFDE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77FF6B2B"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1CBF522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72C03E12"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AB39ED"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089BB544" w14:textId="77777777" w:rsidR="00182709" w:rsidRDefault="00182709"/>
        </w:tc>
        <w:tc>
          <w:tcPr>
            <w:tcW w:w="4832" w:type="dxa"/>
          </w:tcPr>
          <w:p w14:paraId="5885A4CE"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 xml:space="preserve">Receivables </w:t>
            </w:r>
            <w:r>
              <w:rPr>
                <w:b/>
                <w:vertAlign w:val="superscript"/>
              </w:rPr>
              <w:t>(a)</w:t>
            </w:r>
          </w:p>
        </w:tc>
        <w:tc>
          <w:tcPr>
            <w:tcW w:w="865" w:type="dxa"/>
          </w:tcPr>
          <w:p w14:paraId="1A10480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7DA8228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641D4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1681767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1625A622"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66DA32DB" w14:textId="77777777" w:rsidR="00182709" w:rsidRDefault="00182709"/>
        </w:tc>
        <w:tc>
          <w:tcPr>
            <w:tcW w:w="4832" w:type="dxa"/>
          </w:tcPr>
          <w:p w14:paraId="5BDDDBD7"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Finance lease receivables</w:t>
            </w:r>
          </w:p>
        </w:tc>
        <w:tc>
          <w:tcPr>
            <w:tcW w:w="865" w:type="dxa"/>
          </w:tcPr>
          <w:p w14:paraId="6947B09A" w14:textId="77777777" w:rsidR="00182709" w:rsidRDefault="0044097C">
            <w:pPr>
              <w:cnfStyle w:val="000000000000" w:firstRow="0" w:lastRow="0" w:firstColumn="0" w:lastColumn="0" w:oddVBand="0" w:evenVBand="0" w:oddHBand="0" w:evenHBand="0" w:firstRowFirstColumn="0" w:firstRowLastColumn="0" w:lastRowFirstColumn="0" w:lastRowLastColumn="0"/>
            </w:pPr>
            <w:r>
              <w:t>581</w:t>
            </w:r>
          </w:p>
        </w:tc>
        <w:tc>
          <w:tcPr>
            <w:tcW w:w="865" w:type="dxa"/>
          </w:tcPr>
          <w:p w14:paraId="7E4EFA8E" w14:textId="77777777" w:rsidR="00182709" w:rsidRDefault="0044097C">
            <w:pPr>
              <w:cnfStyle w:val="000000000000" w:firstRow="0" w:lastRow="0" w:firstColumn="0" w:lastColumn="0" w:oddVBand="0" w:evenVBand="0" w:oddHBand="0" w:evenHBand="0" w:firstRowFirstColumn="0" w:firstRowLastColumn="0" w:lastRowFirstColumn="0" w:lastRowLastColumn="0"/>
            </w:pPr>
            <w:r>
              <w:t>590</w:t>
            </w:r>
          </w:p>
        </w:tc>
        <w:tc>
          <w:tcPr>
            <w:tcW w:w="865" w:type="dxa"/>
          </w:tcPr>
          <w:p w14:paraId="36EF0808" w14:textId="77777777" w:rsidR="00182709" w:rsidRDefault="0044097C">
            <w:pPr>
              <w:cnfStyle w:val="000000000000" w:firstRow="0" w:lastRow="0" w:firstColumn="0" w:lastColumn="0" w:oddVBand="0" w:evenVBand="0" w:oddHBand="0" w:evenHBand="0" w:firstRowFirstColumn="0" w:firstRowLastColumn="0" w:lastRowFirstColumn="0" w:lastRowLastColumn="0"/>
            </w:pPr>
            <w:r>
              <w:t>1 231</w:t>
            </w:r>
          </w:p>
        </w:tc>
        <w:tc>
          <w:tcPr>
            <w:tcW w:w="865" w:type="dxa"/>
          </w:tcPr>
          <w:p w14:paraId="0B13EADC" w14:textId="77777777" w:rsidR="00182709" w:rsidRDefault="0044097C">
            <w:pPr>
              <w:cnfStyle w:val="000000000000" w:firstRow="0" w:lastRow="0" w:firstColumn="0" w:lastColumn="0" w:oddVBand="0" w:evenVBand="0" w:oddHBand="0" w:evenHBand="0" w:firstRowFirstColumn="0" w:firstRowLastColumn="0" w:lastRowFirstColumn="0" w:lastRowLastColumn="0"/>
            </w:pPr>
            <w:r>
              <w:t>1 450</w:t>
            </w:r>
          </w:p>
        </w:tc>
      </w:tr>
      <w:tr w:rsidR="00182709" w14:paraId="63995B3B"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3D632046" w14:textId="77777777" w:rsidR="00182709" w:rsidRDefault="00182709"/>
        </w:tc>
        <w:tc>
          <w:tcPr>
            <w:tcW w:w="4832" w:type="dxa"/>
          </w:tcPr>
          <w:p w14:paraId="1ED9E091"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Loans to third parties</w:t>
            </w:r>
          </w:p>
        </w:tc>
        <w:tc>
          <w:tcPr>
            <w:tcW w:w="865" w:type="dxa"/>
          </w:tcPr>
          <w:p w14:paraId="2788EAED" w14:textId="77777777" w:rsidR="00182709" w:rsidRDefault="0044097C">
            <w:pPr>
              <w:cnfStyle w:val="000000000000" w:firstRow="0" w:lastRow="0" w:firstColumn="0" w:lastColumn="0" w:oddVBand="0" w:evenVBand="0" w:oddHBand="0" w:evenHBand="0" w:firstRowFirstColumn="0" w:firstRowLastColumn="0" w:lastRowFirstColumn="0" w:lastRowLastColumn="0"/>
            </w:pPr>
            <w:r>
              <w:t>544</w:t>
            </w:r>
          </w:p>
        </w:tc>
        <w:tc>
          <w:tcPr>
            <w:tcW w:w="865" w:type="dxa"/>
          </w:tcPr>
          <w:p w14:paraId="4AA94E2E" w14:textId="77777777" w:rsidR="00182709" w:rsidRDefault="0044097C">
            <w:pPr>
              <w:cnfStyle w:val="000000000000" w:firstRow="0" w:lastRow="0" w:firstColumn="0" w:lastColumn="0" w:oddVBand="0" w:evenVBand="0" w:oddHBand="0" w:evenHBand="0" w:firstRowFirstColumn="0" w:firstRowLastColumn="0" w:lastRowFirstColumn="0" w:lastRowLastColumn="0"/>
            </w:pPr>
            <w:r>
              <w:t>159</w:t>
            </w:r>
          </w:p>
        </w:tc>
        <w:tc>
          <w:tcPr>
            <w:tcW w:w="865" w:type="dxa"/>
          </w:tcPr>
          <w:p w14:paraId="5C290A82" w14:textId="77777777" w:rsidR="00182709" w:rsidRDefault="0044097C">
            <w:pPr>
              <w:cnfStyle w:val="000000000000" w:firstRow="0" w:lastRow="0" w:firstColumn="0" w:lastColumn="0" w:oddVBand="0" w:evenVBand="0" w:oddHBand="0" w:evenHBand="0" w:firstRowFirstColumn="0" w:firstRowLastColumn="0" w:lastRowFirstColumn="0" w:lastRowLastColumn="0"/>
            </w:pPr>
            <w:r>
              <w:t>241</w:t>
            </w:r>
          </w:p>
        </w:tc>
        <w:tc>
          <w:tcPr>
            <w:tcW w:w="865" w:type="dxa"/>
          </w:tcPr>
          <w:p w14:paraId="2D85083A" w14:textId="77777777" w:rsidR="00182709" w:rsidRDefault="0044097C">
            <w:pPr>
              <w:cnfStyle w:val="000000000000" w:firstRow="0" w:lastRow="0" w:firstColumn="0" w:lastColumn="0" w:oddVBand="0" w:evenVBand="0" w:oddHBand="0" w:evenHBand="0" w:firstRowFirstColumn="0" w:firstRowLastColumn="0" w:lastRowFirstColumn="0" w:lastRowLastColumn="0"/>
            </w:pPr>
            <w:r>
              <w:t>250</w:t>
            </w:r>
          </w:p>
        </w:tc>
      </w:tr>
      <w:tr w:rsidR="00182709" w14:paraId="7E230DD1"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0D4DCF30" w14:textId="77777777" w:rsidR="00182709" w:rsidRDefault="00182709"/>
        </w:tc>
        <w:tc>
          <w:tcPr>
            <w:tcW w:w="4832" w:type="dxa"/>
          </w:tcPr>
          <w:p w14:paraId="7D12155D"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Debt securities</w:t>
            </w:r>
            <w:r>
              <w:rPr>
                <w:vertAlign w:val="superscript"/>
              </w:rPr>
              <w:t xml:space="preserve"> (a)</w:t>
            </w:r>
          </w:p>
        </w:tc>
        <w:tc>
          <w:tcPr>
            <w:tcW w:w="865" w:type="dxa"/>
          </w:tcPr>
          <w:p w14:paraId="39CA8214" w14:textId="77777777" w:rsidR="00182709" w:rsidRDefault="0044097C">
            <w:pPr>
              <w:cnfStyle w:val="000000000000" w:firstRow="0" w:lastRow="0" w:firstColumn="0" w:lastColumn="0" w:oddVBand="0" w:evenVBand="0" w:oddHBand="0" w:evenHBand="0" w:firstRowFirstColumn="0" w:firstRowLastColumn="0" w:lastRowFirstColumn="0" w:lastRowLastColumn="0"/>
            </w:pPr>
            <w:r>
              <w:t>5 198</w:t>
            </w:r>
          </w:p>
        </w:tc>
        <w:tc>
          <w:tcPr>
            <w:tcW w:w="865" w:type="dxa"/>
          </w:tcPr>
          <w:p w14:paraId="28ED0552" w14:textId="77777777" w:rsidR="00182709" w:rsidRDefault="0044097C">
            <w:pPr>
              <w:cnfStyle w:val="000000000000" w:firstRow="0" w:lastRow="0" w:firstColumn="0" w:lastColumn="0" w:oddVBand="0" w:evenVBand="0" w:oddHBand="0" w:evenHBand="0" w:firstRowFirstColumn="0" w:firstRowLastColumn="0" w:lastRowFirstColumn="0" w:lastRowLastColumn="0"/>
            </w:pPr>
            <w:r>
              <w:t>5 222</w:t>
            </w:r>
          </w:p>
        </w:tc>
        <w:tc>
          <w:tcPr>
            <w:tcW w:w="865" w:type="dxa"/>
          </w:tcPr>
          <w:p w14:paraId="27F1DC47" w14:textId="77777777" w:rsidR="00182709" w:rsidRDefault="0044097C">
            <w:pPr>
              <w:cnfStyle w:val="000000000000" w:firstRow="0" w:lastRow="0" w:firstColumn="0" w:lastColumn="0" w:oddVBand="0" w:evenVBand="0" w:oddHBand="0" w:evenHBand="0" w:firstRowFirstColumn="0" w:firstRowLastColumn="0" w:lastRowFirstColumn="0" w:lastRowLastColumn="0"/>
            </w:pPr>
            <w:r>
              <w:t>5 013</w:t>
            </w:r>
          </w:p>
        </w:tc>
        <w:tc>
          <w:tcPr>
            <w:tcW w:w="865" w:type="dxa"/>
          </w:tcPr>
          <w:p w14:paraId="049C6032" w14:textId="77777777" w:rsidR="00182709" w:rsidRDefault="0044097C">
            <w:pPr>
              <w:cnfStyle w:val="000000000000" w:firstRow="0" w:lastRow="0" w:firstColumn="0" w:lastColumn="0" w:oddVBand="0" w:evenVBand="0" w:oddHBand="0" w:evenHBand="0" w:firstRowFirstColumn="0" w:firstRowLastColumn="0" w:lastRowFirstColumn="0" w:lastRowLastColumn="0"/>
            </w:pPr>
            <w:r>
              <w:t>5 155</w:t>
            </w:r>
          </w:p>
        </w:tc>
      </w:tr>
      <w:tr w:rsidR="00182709" w14:paraId="6F890BAF"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21D5F8D9" w14:textId="77777777" w:rsidR="00182709" w:rsidRDefault="00182709"/>
        </w:tc>
        <w:tc>
          <w:tcPr>
            <w:tcW w:w="4832" w:type="dxa"/>
          </w:tcPr>
          <w:p w14:paraId="28B8624B"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Financial liabilities</w:t>
            </w:r>
          </w:p>
        </w:tc>
        <w:tc>
          <w:tcPr>
            <w:tcW w:w="865" w:type="dxa"/>
          </w:tcPr>
          <w:p w14:paraId="449F995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39CA33A9"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1D2CB5C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865" w:type="dxa"/>
          </w:tcPr>
          <w:p w14:paraId="574790C0"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7F98D63A"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77923507" w14:textId="77777777" w:rsidR="00182709" w:rsidRDefault="00182709"/>
        </w:tc>
        <w:tc>
          <w:tcPr>
            <w:tcW w:w="4832" w:type="dxa"/>
          </w:tcPr>
          <w:p w14:paraId="3F094282"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Finance lease liabilities</w:t>
            </w:r>
          </w:p>
        </w:tc>
        <w:tc>
          <w:tcPr>
            <w:tcW w:w="865" w:type="dxa"/>
          </w:tcPr>
          <w:p w14:paraId="61493D88" w14:textId="77777777" w:rsidR="00182709" w:rsidRDefault="0044097C">
            <w:pPr>
              <w:cnfStyle w:val="000000000000" w:firstRow="0" w:lastRow="0" w:firstColumn="0" w:lastColumn="0" w:oddVBand="0" w:evenVBand="0" w:oddHBand="0" w:evenHBand="0" w:firstRowFirstColumn="0" w:firstRowLastColumn="0" w:lastRowFirstColumn="0" w:lastRowLastColumn="0"/>
            </w:pPr>
            <w:r>
              <w:t>8 064</w:t>
            </w:r>
          </w:p>
        </w:tc>
        <w:tc>
          <w:tcPr>
            <w:tcW w:w="865" w:type="dxa"/>
          </w:tcPr>
          <w:p w14:paraId="51CA6F1C" w14:textId="77777777" w:rsidR="00182709" w:rsidRDefault="0044097C">
            <w:pPr>
              <w:cnfStyle w:val="000000000000" w:firstRow="0" w:lastRow="0" w:firstColumn="0" w:lastColumn="0" w:oddVBand="0" w:evenVBand="0" w:oddHBand="0" w:evenHBand="0" w:firstRowFirstColumn="0" w:firstRowLastColumn="0" w:lastRowFirstColumn="0" w:lastRowLastColumn="0"/>
            </w:pPr>
            <w:r>
              <w:t>8 110</w:t>
            </w:r>
          </w:p>
        </w:tc>
        <w:tc>
          <w:tcPr>
            <w:tcW w:w="865" w:type="dxa"/>
          </w:tcPr>
          <w:p w14:paraId="5E1563CE" w14:textId="77777777" w:rsidR="00182709" w:rsidRDefault="0044097C">
            <w:pPr>
              <w:cnfStyle w:val="000000000000" w:firstRow="0" w:lastRow="0" w:firstColumn="0" w:lastColumn="0" w:oddVBand="0" w:evenVBand="0" w:oddHBand="0" w:evenHBand="0" w:firstRowFirstColumn="0" w:firstRowLastColumn="0" w:lastRowFirstColumn="0" w:lastRowLastColumn="0"/>
            </w:pPr>
            <w:r>
              <w:t>20 062</w:t>
            </w:r>
          </w:p>
        </w:tc>
        <w:tc>
          <w:tcPr>
            <w:tcW w:w="865" w:type="dxa"/>
          </w:tcPr>
          <w:p w14:paraId="75A2BF7B" w14:textId="77777777" w:rsidR="00182709" w:rsidRDefault="0044097C">
            <w:pPr>
              <w:cnfStyle w:val="000000000000" w:firstRow="0" w:lastRow="0" w:firstColumn="0" w:lastColumn="0" w:oddVBand="0" w:evenVBand="0" w:oddHBand="0" w:evenHBand="0" w:firstRowFirstColumn="0" w:firstRowLastColumn="0" w:lastRowFirstColumn="0" w:lastRowLastColumn="0"/>
            </w:pPr>
            <w:r>
              <w:t>21 500</w:t>
            </w:r>
          </w:p>
        </w:tc>
      </w:tr>
      <w:tr w:rsidR="00182709" w14:paraId="0BC6A2B5"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255F7BB6" w14:textId="77777777" w:rsidR="00182709" w:rsidRDefault="00182709"/>
        </w:tc>
        <w:tc>
          <w:tcPr>
            <w:tcW w:w="4832" w:type="dxa"/>
          </w:tcPr>
          <w:p w14:paraId="5B19CCB5"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Advances from government</w:t>
            </w:r>
            <w:r>
              <w:rPr>
                <w:vertAlign w:val="superscript"/>
              </w:rPr>
              <w:t xml:space="preserve"> (b)</w:t>
            </w:r>
          </w:p>
        </w:tc>
        <w:tc>
          <w:tcPr>
            <w:tcW w:w="865" w:type="dxa"/>
          </w:tcPr>
          <w:p w14:paraId="07CF228F" w14:textId="77777777" w:rsidR="00182709" w:rsidRDefault="0044097C">
            <w:pPr>
              <w:cnfStyle w:val="000000000000" w:firstRow="0" w:lastRow="0" w:firstColumn="0" w:lastColumn="0" w:oddVBand="0" w:evenVBand="0" w:oddHBand="0" w:evenHBand="0" w:firstRowFirstColumn="0" w:firstRowLastColumn="0" w:lastRowFirstColumn="0" w:lastRowLastColumn="0"/>
            </w:pPr>
            <w:r>
              <w:t>5 313</w:t>
            </w:r>
          </w:p>
        </w:tc>
        <w:tc>
          <w:tcPr>
            <w:tcW w:w="865" w:type="dxa"/>
          </w:tcPr>
          <w:p w14:paraId="306D8385" w14:textId="77777777" w:rsidR="00182709" w:rsidRDefault="0044097C">
            <w:pPr>
              <w:cnfStyle w:val="000000000000" w:firstRow="0" w:lastRow="0" w:firstColumn="0" w:lastColumn="0" w:oddVBand="0" w:evenVBand="0" w:oddHBand="0" w:evenHBand="0" w:firstRowFirstColumn="0" w:firstRowLastColumn="0" w:lastRowFirstColumn="0" w:lastRowLastColumn="0"/>
            </w:pPr>
            <w:r>
              <w:t>5 579</w:t>
            </w:r>
          </w:p>
        </w:tc>
        <w:tc>
          <w:tcPr>
            <w:tcW w:w="865" w:type="dxa"/>
          </w:tcPr>
          <w:p w14:paraId="745B484D" w14:textId="77777777" w:rsidR="00182709" w:rsidRDefault="0044097C">
            <w:pPr>
              <w:cnfStyle w:val="000000000000" w:firstRow="0" w:lastRow="0" w:firstColumn="0" w:lastColumn="0" w:oddVBand="0" w:evenVBand="0" w:oddHBand="0" w:evenHBand="0" w:firstRowFirstColumn="0" w:firstRowLastColumn="0" w:lastRowFirstColumn="0" w:lastRowLastColumn="0"/>
            </w:pPr>
            <w:r>
              <w:t>12 344</w:t>
            </w:r>
          </w:p>
        </w:tc>
        <w:tc>
          <w:tcPr>
            <w:tcW w:w="865" w:type="dxa"/>
          </w:tcPr>
          <w:p w14:paraId="6CF19AA5" w14:textId="77777777" w:rsidR="00182709" w:rsidRDefault="0044097C">
            <w:pPr>
              <w:cnfStyle w:val="000000000000" w:firstRow="0" w:lastRow="0" w:firstColumn="0" w:lastColumn="0" w:oddVBand="0" w:evenVBand="0" w:oddHBand="0" w:evenHBand="0" w:firstRowFirstColumn="0" w:firstRowLastColumn="0" w:lastRowFirstColumn="0" w:lastRowLastColumn="0"/>
            </w:pPr>
            <w:r>
              <w:t>12 961</w:t>
            </w:r>
          </w:p>
        </w:tc>
      </w:tr>
      <w:tr w:rsidR="00182709" w14:paraId="293C3B3B" w14:textId="77777777" w:rsidTr="00381E05">
        <w:tc>
          <w:tcPr>
            <w:cnfStyle w:val="001000000000" w:firstRow="0" w:lastRow="0" w:firstColumn="1" w:lastColumn="0" w:oddVBand="0" w:evenVBand="0" w:oddHBand="0" w:evenHBand="0" w:firstRowFirstColumn="0" w:firstRowLastColumn="0" w:lastRowFirstColumn="0" w:lastRowLastColumn="0"/>
            <w:tcW w:w="1347" w:type="dxa"/>
          </w:tcPr>
          <w:p w14:paraId="5E5CA97B" w14:textId="77777777" w:rsidR="00182709" w:rsidRDefault="00182709"/>
        </w:tc>
        <w:tc>
          <w:tcPr>
            <w:tcW w:w="4832" w:type="dxa"/>
          </w:tcPr>
          <w:p w14:paraId="23DEC893"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t>Service concession financial liability</w:t>
            </w:r>
          </w:p>
        </w:tc>
        <w:tc>
          <w:tcPr>
            <w:tcW w:w="865" w:type="dxa"/>
          </w:tcPr>
          <w:p w14:paraId="34C170AA" w14:textId="77777777" w:rsidR="00182709" w:rsidRDefault="0044097C">
            <w:pPr>
              <w:cnfStyle w:val="000000000000" w:firstRow="0" w:lastRow="0" w:firstColumn="0" w:lastColumn="0" w:oddVBand="0" w:evenVBand="0" w:oddHBand="0" w:evenHBand="0" w:firstRowFirstColumn="0" w:firstRowLastColumn="0" w:lastRowFirstColumn="0" w:lastRowLastColumn="0"/>
            </w:pPr>
            <w:r>
              <w:t>58 500</w:t>
            </w:r>
          </w:p>
        </w:tc>
        <w:tc>
          <w:tcPr>
            <w:tcW w:w="865" w:type="dxa"/>
          </w:tcPr>
          <w:p w14:paraId="7C0C0B9C" w14:textId="77777777" w:rsidR="00182709" w:rsidRDefault="0044097C">
            <w:pPr>
              <w:cnfStyle w:val="000000000000" w:firstRow="0" w:lastRow="0" w:firstColumn="0" w:lastColumn="0" w:oddVBand="0" w:evenVBand="0" w:oddHBand="0" w:evenHBand="0" w:firstRowFirstColumn="0" w:firstRowLastColumn="0" w:lastRowFirstColumn="0" w:lastRowLastColumn="0"/>
            </w:pPr>
            <w:r>
              <w:t>58 645</w:t>
            </w:r>
          </w:p>
        </w:tc>
        <w:tc>
          <w:tcPr>
            <w:tcW w:w="865" w:type="dxa"/>
          </w:tcPr>
          <w:p w14:paraId="7526686A" w14:textId="77777777" w:rsidR="00182709" w:rsidRDefault="0044097C">
            <w:pPr>
              <w:cnfStyle w:val="000000000000" w:firstRow="0" w:lastRow="0" w:firstColumn="0" w:lastColumn="0" w:oddVBand="0" w:evenVBand="0" w:oddHBand="0" w:evenHBand="0" w:firstRowFirstColumn="0" w:firstRowLastColumn="0" w:lastRowFirstColumn="0" w:lastRowLastColumn="0"/>
            </w:pPr>
            <w:r>
              <w:t>59 500</w:t>
            </w:r>
          </w:p>
        </w:tc>
        <w:tc>
          <w:tcPr>
            <w:tcW w:w="865" w:type="dxa"/>
          </w:tcPr>
          <w:p w14:paraId="5D809761" w14:textId="77777777" w:rsidR="00182709" w:rsidRDefault="0044097C">
            <w:pPr>
              <w:cnfStyle w:val="000000000000" w:firstRow="0" w:lastRow="0" w:firstColumn="0" w:lastColumn="0" w:oddVBand="0" w:evenVBand="0" w:oddHBand="0" w:evenHBand="0" w:firstRowFirstColumn="0" w:firstRowLastColumn="0" w:lastRowFirstColumn="0" w:lastRowLastColumn="0"/>
            </w:pPr>
            <w:r>
              <w:t>59 620</w:t>
            </w:r>
          </w:p>
        </w:tc>
      </w:tr>
      <w:tr w:rsidR="00182709" w14:paraId="6CB5C5F7" w14:textId="77777777" w:rsidTr="00381E05">
        <w:tc>
          <w:tcPr>
            <w:cnfStyle w:val="001000000000" w:firstRow="0" w:lastRow="0" w:firstColumn="1" w:lastColumn="0" w:oddVBand="0" w:evenVBand="0" w:oddHBand="0" w:evenHBand="0" w:firstRowFirstColumn="0" w:firstRowLastColumn="0" w:lastRowFirstColumn="0" w:lastRowLastColumn="0"/>
            <w:tcW w:w="1347" w:type="dxa"/>
            <w:tcBorders>
              <w:bottom w:val="nil"/>
            </w:tcBorders>
          </w:tcPr>
          <w:p w14:paraId="06B91BDB" w14:textId="77777777" w:rsidR="00182709" w:rsidRDefault="00182709"/>
        </w:tc>
        <w:tc>
          <w:tcPr>
            <w:tcW w:w="4832" w:type="dxa"/>
          </w:tcPr>
          <w:p w14:paraId="066E56BC" w14:textId="77777777" w:rsidR="00182709" w:rsidRDefault="0044097C">
            <w:pPr>
              <w:jc w:val="left"/>
              <w:cnfStyle w:val="000000000000" w:firstRow="0" w:lastRow="0" w:firstColumn="0" w:lastColumn="0" w:oddVBand="0" w:evenVBand="0" w:oddHBand="0" w:evenHBand="0" w:firstRowFirstColumn="0" w:firstRowLastColumn="0" w:lastRowFirstColumn="0" w:lastRowLastColumn="0"/>
            </w:pPr>
            <w:r>
              <w:rPr>
                <w:b/>
              </w:rPr>
              <w:t>Loans from TCV</w:t>
            </w:r>
          </w:p>
        </w:tc>
        <w:tc>
          <w:tcPr>
            <w:tcW w:w="865" w:type="dxa"/>
          </w:tcPr>
          <w:p w14:paraId="52022A4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48 696</w:t>
            </w:r>
          </w:p>
        </w:tc>
        <w:tc>
          <w:tcPr>
            <w:tcW w:w="865" w:type="dxa"/>
          </w:tcPr>
          <w:p w14:paraId="381D110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47 500</w:t>
            </w:r>
          </w:p>
        </w:tc>
        <w:tc>
          <w:tcPr>
            <w:tcW w:w="865" w:type="dxa"/>
          </w:tcPr>
          <w:p w14:paraId="4E222F1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27 705</w:t>
            </w:r>
          </w:p>
        </w:tc>
        <w:tc>
          <w:tcPr>
            <w:tcW w:w="865" w:type="dxa"/>
          </w:tcPr>
          <w:p w14:paraId="1074D25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23 000</w:t>
            </w:r>
          </w:p>
        </w:tc>
      </w:tr>
    </w:tbl>
    <w:p w14:paraId="3819EEAB" w14:textId="77777777" w:rsidR="003719CD" w:rsidRDefault="003719CD" w:rsidP="007D536F">
      <w:pPr>
        <w:pStyle w:val="Note"/>
      </w:pPr>
      <w:r>
        <w:t xml:space="preserve">Notes: </w:t>
      </w:r>
    </w:p>
    <w:p w14:paraId="55E5ECBD" w14:textId="77777777" w:rsidR="003719CD" w:rsidRDefault="003719CD" w:rsidP="007D536F">
      <w:pPr>
        <w:pStyle w:val="Note"/>
      </w:pPr>
      <w:r>
        <w:t>(a)</w:t>
      </w:r>
      <w:r>
        <w:tab/>
        <w:t>Debt securities include a five-year government bond that is intended to be held until maturity. Therefore, it has been measured at amortised cost with the carrying amount of $5 198. The remaining portion of debt securities ($3 823) is designated as fair value through profit and loss.</w:t>
      </w:r>
    </w:p>
    <w:p w14:paraId="70B7E799" w14:textId="15BA9641" w:rsidR="003719CD" w:rsidRDefault="003719CD" w:rsidP="007D536F">
      <w:pPr>
        <w:pStyle w:val="Note"/>
      </w:pPr>
      <w:r>
        <w:t>(b)</w:t>
      </w:r>
      <w:r>
        <w:tab/>
        <w:t xml:space="preserve">The fair value of advances from government is based on cash flows discounted using a rate based on the borrowing rate of 7.5 per cent </w:t>
      </w:r>
      <w:r>
        <w:br/>
        <w:t>(</w:t>
      </w:r>
      <w:fldSimple w:instr="DOCPROPERTY  YearPrevious  \* MERGEFORMAT">
        <w:r w:rsidR="000911E0">
          <w:t>20X1</w:t>
        </w:r>
      </w:fldSimple>
      <w:r>
        <w:t>: 7.2 per cent). The discount rate equals to LIBOR plus appropriate credit rating. The fair value is within Level 2 of the fair value hierarchy.</w:t>
      </w:r>
    </w:p>
    <w:p w14:paraId="5A3CC9B9" w14:textId="77777777" w:rsidR="003719CD" w:rsidRDefault="003719CD" w:rsidP="00DC39DE"/>
    <w:p w14:paraId="65638704" w14:textId="77777777" w:rsidR="007E486C" w:rsidRDefault="007E486C">
      <w:pPr>
        <w:keepLines w:val="0"/>
        <w:rPr>
          <w:b/>
          <w:iCs/>
          <w:color w:val="404040" w:themeColor="text1" w:themeTint="BF"/>
        </w:rPr>
      </w:pPr>
      <w:r>
        <w:br w:type="page"/>
      </w:r>
    </w:p>
    <w:p w14:paraId="6913A2D5" w14:textId="342E0ADD" w:rsidR="003719CD" w:rsidRDefault="003719CD" w:rsidP="007D536F">
      <w:pPr>
        <w:pStyle w:val="Caption"/>
      </w:pPr>
      <w:r>
        <w:lastRenderedPageBreak/>
        <w:t xml:space="preserve">Financial assets and liabilities measured at fair value </w:t>
      </w:r>
      <w:r w:rsidRPr="007C7EBD">
        <w:rPr>
          <w:vertAlign w:val="superscript"/>
        </w:rPr>
        <w:t>(a)</w:t>
      </w:r>
      <w:r>
        <w:t xml:space="preserve"> </w:t>
      </w:r>
      <w:r w:rsidRPr="007C7EBD">
        <w:rPr>
          <w:rStyle w:val="Reference"/>
        </w:rPr>
        <w:t>[AASB 13.93(b)]</w:t>
      </w:r>
      <w:r>
        <w:tab/>
        <w:t>($ thousand)</w:t>
      </w:r>
    </w:p>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ED0570" w14:paraId="148521F4"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tcBorders>
            <w:shd w:val="clear" w:color="auto" w:fill="FFFFFF" w:themeFill="background1"/>
          </w:tcPr>
          <w:p w14:paraId="147892B0" w14:textId="5C5D413C" w:rsidR="00ED0570" w:rsidRDefault="00ED0570">
            <w:pPr>
              <w:keepNext/>
              <w:jc w:val="left"/>
            </w:pPr>
            <w:r>
              <w:rPr>
                <w:color w:val="4472C4"/>
                <w:sz w:val="13"/>
              </w:rPr>
              <w:t>Source reference</w:t>
            </w:r>
          </w:p>
        </w:tc>
        <w:tc>
          <w:tcPr>
            <w:tcW w:w="4832" w:type="dxa"/>
          </w:tcPr>
          <w:p w14:paraId="70A02A73" w14:textId="77777777" w:rsidR="00ED0570" w:rsidRDefault="00ED0570">
            <w:pPr>
              <w:keepNext/>
              <w:jc w:val="left"/>
            </w:pPr>
          </w:p>
        </w:tc>
        <w:tc>
          <w:tcPr>
            <w:tcW w:w="865" w:type="dxa"/>
          </w:tcPr>
          <w:p w14:paraId="4B8966AD" w14:textId="6B10193A" w:rsidR="00ED0570" w:rsidRDefault="00ED0570">
            <w:pPr>
              <w:keepNext/>
            </w:pPr>
            <w:r>
              <w:t xml:space="preserve">Carrying amount as </w:t>
            </w:r>
          </w:p>
        </w:tc>
        <w:tc>
          <w:tcPr>
            <w:tcW w:w="2595" w:type="dxa"/>
            <w:gridSpan w:val="3"/>
          </w:tcPr>
          <w:p w14:paraId="6D553FE4" w14:textId="77777777" w:rsidR="00ED0570" w:rsidRDefault="00ED0570">
            <w:pPr>
              <w:keepNext/>
              <w:jc w:val="center"/>
              <w:rPr>
                <w:bCs w:val="0"/>
                <w:i w:val="0"/>
              </w:rPr>
            </w:pPr>
            <w:r>
              <w:t>Fair value measurement at</w:t>
            </w:r>
          </w:p>
          <w:p w14:paraId="7134E013" w14:textId="7A80EC62" w:rsidR="00ED0570" w:rsidRDefault="00ED0570" w:rsidP="00ED0570">
            <w:pPr>
              <w:keepNext/>
              <w:jc w:val="center"/>
            </w:pPr>
            <w:r>
              <w:t>end of reporting period using:</w:t>
            </w:r>
          </w:p>
        </w:tc>
      </w:tr>
      <w:tr w:rsidR="00182709" w14:paraId="582CA205"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1B0321F8" w14:textId="24CE74C2" w:rsidR="00182709" w:rsidRPr="00883D73" w:rsidRDefault="00DB63B5">
            <w:pPr>
              <w:keepNext/>
              <w:jc w:val="left"/>
              <w:rPr>
                <w:i w:val="0"/>
                <w:iCs/>
              </w:rPr>
            </w:pPr>
            <w:r w:rsidRPr="00883D73">
              <w:rPr>
                <w:i w:val="0"/>
                <w:iCs/>
                <w:color w:val="4472C4"/>
                <w:sz w:val="13"/>
              </w:rPr>
              <w:t>AASB 13.93(b)</w:t>
            </w:r>
          </w:p>
        </w:tc>
        <w:tc>
          <w:tcPr>
            <w:tcW w:w="4832" w:type="dxa"/>
          </w:tcPr>
          <w:p w14:paraId="623AF8B0" w14:textId="06315E22" w:rsidR="00182709" w:rsidRDefault="00381E05">
            <w:pPr>
              <w:keepNext/>
              <w:jc w:val="left"/>
            </w:pPr>
            <w:fldSimple w:instr="DOCPROPERTY  YearCurrent \* MERGEFORMAT">
              <w:r>
                <w:t>20X2</w:t>
              </w:r>
            </w:fldSimple>
          </w:p>
        </w:tc>
        <w:tc>
          <w:tcPr>
            <w:tcW w:w="865" w:type="dxa"/>
          </w:tcPr>
          <w:p w14:paraId="0B6370BA" w14:textId="63A4B350" w:rsidR="00182709" w:rsidRDefault="00ED0570">
            <w:pPr>
              <w:keepNext/>
            </w:pPr>
            <w:r>
              <w:t>at 30 June</w:t>
            </w:r>
          </w:p>
        </w:tc>
        <w:tc>
          <w:tcPr>
            <w:tcW w:w="865" w:type="dxa"/>
          </w:tcPr>
          <w:p w14:paraId="00E83B8F" w14:textId="77777777" w:rsidR="00182709" w:rsidRDefault="0044097C">
            <w:pPr>
              <w:keepNext/>
            </w:pPr>
            <w:r>
              <w:t>Level 1</w:t>
            </w:r>
            <w:r>
              <w:rPr>
                <w:vertAlign w:val="superscript"/>
              </w:rPr>
              <w:t xml:space="preserve"> (b)</w:t>
            </w:r>
          </w:p>
        </w:tc>
        <w:tc>
          <w:tcPr>
            <w:tcW w:w="865" w:type="dxa"/>
          </w:tcPr>
          <w:p w14:paraId="684181F6" w14:textId="77777777" w:rsidR="00182709" w:rsidRDefault="0044097C">
            <w:pPr>
              <w:keepNext/>
            </w:pPr>
            <w:r>
              <w:t>Level 2</w:t>
            </w:r>
            <w:r>
              <w:rPr>
                <w:vertAlign w:val="superscript"/>
              </w:rPr>
              <w:t xml:space="preserve"> (b)</w:t>
            </w:r>
          </w:p>
        </w:tc>
        <w:tc>
          <w:tcPr>
            <w:tcW w:w="865" w:type="dxa"/>
          </w:tcPr>
          <w:p w14:paraId="3423B03B" w14:textId="77777777" w:rsidR="00182709" w:rsidRDefault="0044097C">
            <w:pPr>
              <w:keepNext/>
            </w:pPr>
            <w:r>
              <w:t>Level 3</w:t>
            </w:r>
          </w:p>
        </w:tc>
      </w:tr>
      <w:tr w:rsidR="00182709" w14:paraId="22FAC375" w14:textId="77777777" w:rsidTr="00ED0570">
        <w:tc>
          <w:tcPr>
            <w:tcW w:w="1347" w:type="dxa"/>
          </w:tcPr>
          <w:p w14:paraId="43508ACF" w14:textId="77777777" w:rsidR="00182709" w:rsidRDefault="00182709">
            <w:pPr>
              <w:jc w:val="left"/>
            </w:pPr>
          </w:p>
        </w:tc>
        <w:tc>
          <w:tcPr>
            <w:tcW w:w="4832" w:type="dxa"/>
          </w:tcPr>
          <w:p w14:paraId="03E9FDBF" w14:textId="77777777" w:rsidR="00182709" w:rsidRDefault="0044097C">
            <w:pPr>
              <w:jc w:val="left"/>
            </w:pPr>
            <w:r>
              <w:t>Financial assets at FVTPL</w:t>
            </w:r>
          </w:p>
        </w:tc>
        <w:tc>
          <w:tcPr>
            <w:tcW w:w="865" w:type="dxa"/>
          </w:tcPr>
          <w:p w14:paraId="42B833FF" w14:textId="77777777" w:rsidR="00182709" w:rsidRDefault="00182709"/>
        </w:tc>
        <w:tc>
          <w:tcPr>
            <w:tcW w:w="865" w:type="dxa"/>
          </w:tcPr>
          <w:p w14:paraId="2FAF8C8A" w14:textId="77777777" w:rsidR="00182709" w:rsidRDefault="00182709"/>
        </w:tc>
        <w:tc>
          <w:tcPr>
            <w:tcW w:w="865" w:type="dxa"/>
          </w:tcPr>
          <w:p w14:paraId="7CAF47DF" w14:textId="77777777" w:rsidR="00182709" w:rsidRDefault="00182709"/>
        </w:tc>
        <w:tc>
          <w:tcPr>
            <w:tcW w:w="865" w:type="dxa"/>
          </w:tcPr>
          <w:p w14:paraId="6B6529A0" w14:textId="77777777" w:rsidR="00182709" w:rsidRDefault="00182709"/>
        </w:tc>
      </w:tr>
      <w:tr w:rsidR="00182709" w14:paraId="29BFC401" w14:textId="77777777" w:rsidTr="00ED0570">
        <w:tc>
          <w:tcPr>
            <w:tcW w:w="1347" w:type="dxa"/>
          </w:tcPr>
          <w:p w14:paraId="09291B60" w14:textId="77777777" w:rsidR="00182709" w:rsidRDefault="00182709">
            <w:pPr>
              <w:jc w:val="left"/>
            </w:pPr>
          </w:p>
        </w:tc>
        <w:tc>
          <w:tcPr>
            <w:tcW w:w="4832" w:type="dxa"/>
          </w:tcPr>
          <w:p w14:paraId="090BEA60" w14:textId="15F7AB60" w:rsidR="00182709" w:rsidRDefault="0044097C" w:rsidP="00837BAA">
            <w:pPr>
              <w:ind w:left="170"/>
              <w:jc w:val="left"/>
            </w:pPr>
            <w:r w:rsidRPr="2856114A">
              <w:t>Five</w:t>
            </w:r>
            <w:r w:rsidR="00B70E7D">
              <w:t>-</w:t>
            </w:r>
            <w:r w:rsidRPr="2856114A">
              <w:t>year</w:t>
            </w:r>
            <w:r>
              <w:t xml:space="preserve"> government bonds</w:t>
            </w:r>
          </w:p>
        </w:tc>
        <w:tc>
          <w:tcPr>
            <w:tcW w:w="865" w:type="dxa"/>
          </w:tcPr>
          <w:p w14:paraId="292B16B4" w14:textId="77777777" w:rsidR="00182709" w:rsidRDefault="0044097C">
            <w:r>
              <w:t>3 823</w:t>
            </w:r>
          </w:p>
        </w:tc>
        <w:tc>
          <w:tcPr>
            <w:tcW w:w="865" w:type="dxa"/>
          </w:tcPr>
          <w:p w14:paraId="7512C936" w14:textId="77777777" w:rsidR="00182709" w:rsidRDefault="0044097C">
            <w:r>
              <w:t>..</w:t>
            </w:r>
          </w:p>
        </w:tc>
        <w:tc>
          <w:tcPr>
            <w:tcW w:w="865" w:type="dxa"/>
          </w:tcPr>
          <w:p w14:paraId="6CBE03F1" w14:textId="77777777" w:rsidR="00182709" w:rsidRDefault="0044097C">
            <w:r>
              <w:t>3 823</w:t>
            </w:r>
          </w:p>
        </w:tc>
        <w:tc>
          <w:tcPr>
            <w:tcW w:w="865" w:type="dxa"/>
          </w:tcPr>
          <w:p w14:paraId="50AA20F9" w14:textId="77777777" w:rsidR="00182709" w:rsidRDefault="0044097C">
            <w:r>
              <w:t>..</w:t>
            </w:r>
          </w:p>
        </w:tc>
      </w:tr>
      <w:tr w:rsidR="00182709" w14:paraId="26F47C1A" w14:textId="77777777" w:rsidTr="00ED0570">
        <w:tc>
          <w:tcPr>
            <w:tcW w:w="1347" w:type="dxa"/>
          </w:tcPr>
          <w:p w14:paraId="3CCF2225" w14:textId="77777777" w:rsidR="00182709" w:rsidRDefault="00182709">
            <w:pPr>
              <w:jc w:val="left"/>
            </w:pPr>
          </w:p>
        </w:tc>
        <w:tc>
          <w:tcPr>
            <w:tcW w:w="4832" w:type="dxa"/>
          </w:tcPr>
          <w:p w14:paraId="715DBFBA" w14:textId="77777777" w:rsidR="00182709" w:rsidRDefault="0044097C" w:rsidP="00837BAA">
            <w:pPr>
              <w:ind w:left="170"/>
              <w:jc w:val="left"/>
            </w:pPr>
            <w:r>
              <w:t>Managed investment schemes</w:t>
            </w:r>
          </w:p>
        </w:tc>
        <w:tc>
          <w:tcPr>
            <w:tcW w:w="865" w:type="dxa"/>
          </w:tcPr>
          <w:p w14:paraId="34913E0E" w14:textId="77777777" w:rsidR="00182709" w:rsidRDefault="0044097C">
            <w:r>
              <w:t>229</w:t>
            </w:r>
          </w:p>
        </w:tc>
        <w:tc>
          <w:tcPr>
            <w:tcW w:w="865" w:type="dxa"/>
          </w:tcPr>
          <w:p w14:paraId="43065FC0" w14:textId="77777777" w:rsidR="00182709" w:rsidRDefault="0044097C">
            <w:r>
              <w:t>..</w:t>
            </w:r>
          </w:p>
        </w:tc>
        <w:tc>
          <w:tcPr>
            <w:tcW w:w="865" w:type="dxa"/>
          </w:tcPr>
          <w:p w14:paraId="66941939" w14:textId="77777777" w:rsidR="00182709" w:rsidRDefault="0044097C">
            <w:r>
              <w:t>229</w:t>
            </w:r>
          </w:p>
        </w:tc>
        <w:tc>
          <w:tcPr>
            <w:tcW w:w="865" w:type="dxa"/>
          </w:tcPr>
          <w:p w14:paraId="5A987CB1" w14:textId="77777777" w:rsidR="00182709" w:rsidRDefault="0044097C">
            <w:r>
              <w:t>..</w:t>
            </w:r>
          </w:p>
        </w:tc>
      </w:tr>
      <w:tr w:rsidR="00182709" w14:paraId="01D8056B" w14:textId="77777777" w:rsidTr="00ED0570">
        <w:tc>
          <w:tcPr>
            <w:tcW w:w="1347" w:type="dxa"/>
          </w:tcPr>
          <w:p w14:paraId="0C49B735" w14:textId="77777777" w:rsidR="00182709" w:rsidRDefault="00182709">
            <w:pPr>
              <w:jc w:val="left"/>
            </w:pPr>
          </w:p>
        </w:tc>
        <w:tc>
          <w:tcPr>
            <w:tcW w:w="4832" w:type="dxa"/>
          </w:tcPr>
          <w:p w14:paraId="030623DB" w14:textId="77777777" w:rsidR="00182709" w:rsidRDefault="0044097C" w:rsidP="00837BAA">
            <w:pPr>
              <w:ind w:left="170"/>
              <w:jc w:val="left"/>
            </w:pPr>
            <w:r>
              <w:t>Listed securities</w:t>
            </w:r>
          </w:p>
        </w:tc>
        <w:tc>
          <w:tcPr>
            <w:tcW w:w="865" w:type="dxa"/>
          </w:tcPr>
          <w:p w14:paraId="1D9A337F" w14:textId="77777777" w:rsidR="00182709" w:rsidRDefault="0044097C">
            <w:r>
              <w:t>1 614</w:t>
            </w:r>
          </w:p>
        </w:tc>
        <w:tc>
          <w:tcPr>
            <w:tcW w:w="865" w:type="dxa"/>
          </w:tcPr>
          <w:p w14:paraId="3FB645B0" w14:textId="77777777" w:rsidR="00182709" w:rsidRDefault="0044097C">
            <w:r>
              <w:t>1 614</w:t>
            </w:r>
          </w:p>
        </w:tc>
        <w:tc>
          <w:tcPr>
            <w:tcW w:w="865" w:type="dxa"/>
          </w:tcPr>
          <w:p w14:paraId="4E9C4468" w14:textId="77777777" w:rsidR="00182709" w:rsidRDefault="0044097C">
            <w:r>
              <w:t>..</w:t>
            </w:r>
          </w:p>
        </w:tc>
        <w:tc>
          <w:tcPr>
            <w:tcW w:w="865" w:type="dxa"/>
          </w:tcPr>
          <w:p w14:paraId="5BF930F5" w14:textId="77777777" w:rsidR="00182709" w:rsidRDefault="0044097C">
            <w:r>
              <w:t>..</w:t>
            </w:r>
          </w:p>
        </w:tc>
      </w:tr>
      <w:tr w:rsidR="00182709" w14:paraId="028961B8" w14:textId="77777777" w:rsidTr="00ED0570">
        <w:tc>
          <w:tcPr>
            <w:tcW w:w="1347" w:type="dxa"/>
          </w:tcPr>
          <w:p w14:paraId="57548840" w14:textId="77777777" w:rsidR="00182709" w:rsidRDefault="00182709">
            <w:pPr>
              <w:jc w:val="left"/>
            </w:pPr>
          </w:p>
        </w:tc>
        <w:tc>
          <w:tcPr>
            <w:tcW w:w="4832" w:type="dxa"/>
          </w:tcPr>
          <w:p w14:paraId="60FBE9CC" w14:textId="77777777" w:rsidR="00182709" w:rsidRDefault="0044097C">
            <w:pPr>
              <w:jc w:val="left"/>
            </w:pPr>
            <w:r>
              <w:t>Financial assets at FVOCI</w:t>
            </w:r>
          </w:p>
        </w:tc>
        <w:tc>
          <w:tcPr>
            <w:tcW w:w="865" w:type="dxa"/>
          </w:tcPr>
          <w:p w14:paraId="3B453331" w14:textId="77777777" w:rsidR="00182709" w:rsidRDefault="00182709"/>
        </w:tc>
        <w:tc>
          <w:tcPr>
            <w:tcW w:w="865" w:type="dxa"/>
          </w:tcPr>
          <w:p w14:paraId="68C9B0D8" w14:textId="77777777" w:rsidR="00182709" w:rsidRDefault="00182709"/>
        </w:tc>
        <w:tc>
          <w:tcPr>
            <w:tcW w:w="865" w:type="dxa"/>
          </w:tcPr>
          <w:p w14:paraId="1C924AB4" w14:textId="77777777" w:rsidR="00182709" w:rsidRDefault="00182709"/>
        </w:tc>
        <w:tc>
          <w:tcPr>
            <w:tcW w:w="865" w:type="dxa"/>
          </w:tcPr>
          <w:p w14:paraId="33489503" w14:textId="77777777" w:rsidR="00182709" w:rsidRDefault="00182709"/>
        </w:tc>
      </w:tr>
      <w:tr w:rsidR="00182709" w14:paraId="3BAAA71D" w14:textId="77777777" w:rsidTr="00ED0570">
        <w:tc>
          <w:tcPr>
            <w:tcW w:w="1347" w:type="dxa"/>
          </w:tcPr>
          <w:p w14:paraId="6B768A36" w14:textId="77777777" w:rsidR="00182709" w:rsidRDefault="00182709">
            <w:pPr>
              <w:jc w:val="left"/>
            </w:pPr>
          </w:p>
        </w:tc>
        <w:tc>
          <w:tcPr>
            <w:tcW w:w="4832" w:type="dxa"/>
          </w:tcPr>
          <w:p w14:paraId="3DA12691" w14:textId="77777777" w:rsidR="00182709" w:rsidRDefault="0044097C" w:rsidP="00837BAA">
            <w:pPr>
              <w:ind w:left="170"/>
              <w:jc w:val="left"/>
            </w:pPr>
            <w:r>
              <w:t>Unlisted securities</w:t>
            </w:r>
          </w:p>
        </w:tc>
        <w:tc>
          <w:tcPr>
            <w:tcW w:w="865" w:type="dxa"/>
          </w:tcPr>
          <w:p w14:paraId="6A515746" w14:textId="77777777" w:rsidR="00182709" w:rsidRDefault="0044097C">
            <w:r>
              <w:t>322</w:t>
            </w:r>
          </w:p>
        </w:tc>
        <w:tc>
          <w:tcPr>
            <w:tcW w:w="865" w:type="dxa"/>
          </w:tcPr>
          <w:p w14:paraId="4D8E0706" w14:textId="77777777" w:rsidR="00182709" w:rsidRDefault="0044097C">
            <w:r>
              <w:t>..</w:t>
            </w:r>
          </w:p>
        </w:tc>
        <w:tc>
          <w:tcPr>
            <w:tcW w:w="865" w:type="dxa"/>
          </w:tcPr>
          <w:p w14:paraId="5CB04EEA" w14:textId="77777777" w:rsidR="00182709" w:rsidRDefault="0044097C">
            <w:r>
              <w:t>..</w:t>
            </w:r>
          </w:p>
        </w:tc>
        <w:tc>
          <w:tcPr>
            <w:tcW w:w="865" w:type="dxa"/>
          </w:tcPr>
          <w:p w14:paraId="72D049C3" w14:textId="77777777" w:rsidR="00182709" w:rsidRDefault="0044097C">
            <w:r>
              <w:t>322</w:t>
            </w:r>
          </w:p>
        </w:tc>
      </w:tr>
      <w:tr w:rsidR="00182709" w14:paraId="7DC14702" w14:textId="77777777" w:rsidTr="00ED0570">
        <w:tc>
          <w:tcPr>
            <w:tcW w:w="1347" w:type="dxa"/>
          </w:tcPr>
          <w:p w14:paraId="1CD9E552" w14:textId="77777777" w:rsidR="00182709" w:rsidRDefault="00182709">
            <w:pPr>
              <w:jc w:val="left"/>
            </w:pPr>
          </w:p>
        </w:tc>
        <w:tc>
          <w:tcPr>
            <w:tcW w:w="4832" w:type="dxa"/>
            <w:tcBorders>
              <w:bottom w:val="single" w:sz="12" w:space="0" w:color="auto"/>
            </w:tcBorders>
          </w:tcPr>
          <w:p w14:paraId="6E3F2FD6" w14:textId="77777777" w:rsidR="00182709" w:rsidRDefault="0044097C">
            <w:pPr>
              <w:jc w:val="left"/>
            </w:pPr>
            <w:r>
              <w:t>Financial liabilities at fair value through net result</w:t>
            </w:r>
          </w:p>
        </w:tc>
        <w:tc>
          <w:tcPr>
            <w:tcW w:w="865" w:type="dxa"/>
            <w:tcBorders>
              <w:bottom w:val="single" w:sz="12" w:space="0" w:color="auto"/>
            </w:tcBorders>
          </w:tcPr>
          <w:p w14:paraId="091B15AA" w14:textId="77777777" w:rsidR="00182709" w:rsidRDefault="0044097C">
            <w:r>
              <w:t>150</w:t>
            </w:r>
          </w:p>
        </w:tc>
        <w:tc>
          <w:tcPr>
            <w:tcW w:w="865" w:type="dxa"/>
            <w:tcBorders>
              <w:bottom w:val="single" w:sz="12" w:space="0" w:color="auto"/>
            </w:tcBorders>
          </w:tcPr>
          <w:p w14:paraId="6F1AC40A" w14:textId="77777777" w:rsidR="00182709" w:rsidRDefault="0044097C">
            <w:r>
              <w:t>..</w:t>
            </w:r>
          </w:p>
        </w:tc>
        <w:tc>
          <w:tcPr>
            <w:tcW w:w="865" w:type="dxa"/>
            <w:tcBorders>
              <w:bottom w:val="single" w:sz="12" w:space="0" w:color="auto"/>
            </w:tcBorders>
          </w:tcPr>
          <w:p w14:paraId="70DFB70E" w14:textId="77777777" w:rsidR="00182709" w:rsidRDefault="0044097C">
            <w:r>
              <w:t>150</w:t>
            </w:r>
          </w:p>
        </w:tc>
        <w:tc>
          <w:tcPr>
            <w:tcW w:w="865" w:type="dxa"/>
            <w:tcBorders>
              <w:bottom w:val="single" w:sz="12" w:space="0" w:color="auto"/>
            </w:tcBorders>
          </w:tcPr>
          <w:p w14:paraId="517E8501" w14:textId="77777777" w:rsidR="00182709" w:rsidRDefault="0044097C">
            <w:r>
              <w:t>..</w:t>
            </w:r>
          </w:p>
        </w:tc>
      </w:tr>
      <w:tr w:rsidR="00671D55" w14:paraId="402A75C4" w14:textId="77777777" w:rsidTr="00ED0570">
        <w:tc>
          <w:tcPr>
            <w:tcW w:w="1347" w:type="dxa"/>
            <w:tcBorders>
              <w:bottom w:val="nil"/>
            </w:tcBorders>
          </w:tcPr>
          <w:p w14:paraId="7ACE1B26" w14:textId="77777777" w:rsidR="00182709" w:rsidRDefault="00182709">
            <w:pPr>
              <w:jc w:val="left"/>
            </w:pPr>
          </w:p>
        </w:tc>
        <w:tc>
          <w:tcPr>
            <w:tcW w:w="4832" w:type="dxa"/>
          </w:tcPr>
          <w:p w14:paraId="4FF471B9" w14:textId="77777777" w:rsidR="00182709" w:rsidRDefault="0044097C">
            <w:pPr>
              <w:jc w:val="left"/>
            </w:pPr>
            <w:r>
              <w:rPr>
                <w:b/>
              </w:rPr>
              <w:t>Total</w:t>
            </w:r>
          </w:p>
        </w:tc>
        <w:tc>
          <w:tcPr>
            <w:tcW w:w="865" w:type="dxa"/>
          </w:tcPr>
          <w:p w14:paraId="6FBB95DA" w14:textId="77777777" w:rsidR="00182709" w:rsidRDefault="0044097C">
            <w:r>
              <w:rPr>
                <w:b/>
              </w:rPr>
              <w:t>6 138</w:t>
            </w:r>
          </w:p>
        </w:tc>
        <w:tc>
          <w:tcPr>
            <w:tcW w:w="865" w:type="dxa"/>
          </w:tcPr>
          <w:p w14:paraId="0A70CFA0" w14:textId="77777777" w:rsidR="00182709" w:rsidRDefault="0044097C">
            <w:r>
              <w:rPr>
                <w:b/>
              </w:rPr>
              <w:t>1 614</w:t>
            </w:r>
          </w:p>
        </w:tc>
        <w:tc>
          <w:tcPr>
            <w:tcW w:w="865" w:type="dxa"/>
          </w:tcPr>
          <w:p w14:paraId="24D9D151" w14:textId="77777777" w:rsidR="00182709" w:rsidRDefault="0044097C">
            <w:r>
              <w:rPr>
                <w:b/>
              </w:rPr>
              <w:t>4 202</w:t>
            </w:r>
          </w:p>
        </w:tc>
        <w:tc>
          <w:tcPr>
            <w:tcW w:w="865" w:type="dxa"/>
          </w:tcPr>
          <w:p w14:paraId="533FE000" w14:textId="77777777" w:rsidR="00182709" w:rsidRDefault="0044097C">
            <w:r>
              <w:rPr>
                <w:b/>
              </w:rPr>
              <w:t>322</w:t>
            </w:r>
          </w:p>
        </w:tc>
      </w:tr>
    </w:tbl>
    <w:p w14:paraId="4EDF4B2F" w14:textId="77777777" w:rsidR="003719CD" w:rsidRPr="00BC79B3" w:rsidRDefault="003719CD" w:rsidP="007D536F"/>
    <w:tbl>
      <w:tblPr>
        <w:tblStyle w:val="DTFTable"/>
        <w:tblW w:w="9639" w:type="dxa"/>
        <w:tblLayout w:type="fixed"/>
        <w:tblLook w:val="0620" w:firstRow="1" w:lastRow="0" w:firstColumn="0" w:lastColumn="0" w:noHBand="1" w:noVBand="1"/>
      </w:tblPr>
      <w:tblGrid>
        <w:gridCol w:w="1347"/>
        <w:gridCol w:w="4832"/>
        <w:gridCol w:w="865"/>
        <w:gridCol w:w="865"/>
        <w:gridCol w:w="865"/>
        <w:gridCol w:w="865"/>
      </w:tblGrid>
      <w:tr w:rsidR="00ED0570" w14:paraId="30E7BD9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tcBorders>
            <w:shd w:val="clear" w:color="auto" w:fill="FFFFFF" w:themeFill="background1"/>
          </w:tcPr>
          <w:p w14:paraId="7C05053E" w14:textId="071FE5BF" w:rsidR="00ED0570" w:rsidRDefault="00ED0570">
            <w:pPr>
              <w:keepNext/>
              <w:jc w:val="left"/>
            </w:pPr>
            <w:r>
              <w:rPr>
                <w:color w:val="4472C4"/>
                <w:sz w:val="13"/>
              </w:rPr>
              <w:t>Source reference</w:t>
            </w:r>
          </w:p>
        </w:tc>
        <w:tc>
          <w:tcPr>
            <w:tcW w:w="4832" w:type="dxa"/>
          </w:tcPr>
          <w:p w14:paraId="67A70326" w14:textId="77777777" w:rsidR="00ED0570" w:rsidRDefault="00ED0570">
            <w:pPr>
              <w:keepNext/>
              <w:jc w:val="left"/>
            </w:pPr>
          </w:p>
        </w:tc>
        <w:tc>
          <w:tcPr>
            <w:tcW w:w="865" w:type="dxa"/>
          </w:tcPr>
          <w:p w14:paraId="0D30AABD" w14:textId="1E7AFD46" w:rsidR="00ED0570" w:rsidRDefault="00ED0570">
            <w:pPr>
              <w:keepNext/>
            </w:pPr>
            <w:r>
              <w:t xml:space="preserve">Carrying amount as </w:t>
            </w:r>
          </w:p>
        </w:tc>
        <w:tc>
          <w:tcPr>
            <w:tcW w:w="2595" w:type="dxa"/>
            <w:gridSpan w:val="3"/>
          </w:tcPr>
          <w:p w14:paraId="19FE4807" w14:textId="77777777" w:rsidR="00ED0570" w:rsidRDefault="00ED0570">
            <w:pPr>
              <w:keepNext/>
              <w:jc w:val="center"/>
              <w:rPr>
                <w:bCs w:val="0"/>
                <w:i w:val="0"/>
              </w:rPr>
            </w:pPr>
            <w:r>
              <w:t>Fair value measurement at</w:t>
            </w:r>
          </w:p>
          <w:p w14:paraId="1F12D7A6" w14:textId="4B1DEEE9" w:rsidR="00ED0570" w:rsidRDefault="00ED0570" w:rsidP="00ED0570">
            <w:pPr>
              <w:keepNext/>
              <w:jc w:val="center"/>
            </w:pPr>
            <w:r>
              <w:t>end of reporting period using:</w:t>
            </w:r>
          </w:p>
        </w:tc>
      </w:tr>
      <w:tr w:rsidR="00182709" w14:paraId="71CDB2D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7E9A2C2C" w14:textId="77777777" w:rsidR="00182709" w:rsidRDefault="00182709">
            <w:pPr>
              <w:keepNext/>
              <w:jc w:val="left"/>
            </w:pPr>
          </w:p>
        </w:tc>
        <w:tc>
          <w:tcPr>
            <w:tcW w:w="4832" w:type="dxa"/>
          </w:tcPr>
          <w:p w14:paraId="7B9D9276" w14:textId="2C6E6604" w:rsidR="00182709" w:rsidRDefault="00381E05">
            <w:pPr>
              <w:keepNext/>
              <w:jc w:val="left"/>
            </w:pPr>
            <w:fldSimple w:instr="DOCPROPERTY  YearPrevious  \* MERGEFORMAT">
              <w:r>
                <w:rPr>
                  <w:lang w:val="en-US"/>
                </w:rPr>
                <w:t>20X1</w:t>
              </w:r>
            </w:fldSimple>
          </w:p>
        </w:tc>
        <w:tc>
          <w:tcPr>
            <w:tcW w:w="865" w:type="dxa"/>
          </w:tcPr>
          <w:p w14:paraId="6708AA15" w14:textId="6F532BBC" w:rsidR="00182709" w:rsidRDefault="00ED0570">
            <w:pPr>
              <w:keepNext/>
            </w:pPr>
            <w:r>
              <w:t>at 30 June</w:t>
            </w:r>
          </w:p>
        </w:tc>
        <w:tc>
          <w:tcPr>
            <w:tcW w:w="865" w:type="dxa"/>
          </w:tcPr>
          <w:p w14:paraId="5271D326" w14:textId="77777777" w:rsidR="00182709" w:rsidRDefault="0044097C">
            <w:pPr>
              <w:keepNext/>
            </w:pPr>
            <w:r>
              <w:t>Level 1</w:t>
            </w:r>
            <w:r>
              <w:rPr>
                <w:vertAlign w:val="superscript"/>
              </w:rPr>
              <w:t xml:space="preserve"> (b)</w:t>
            </w:r>
          </w:p>
        </w:tc>
        <w:tc>
          <w:tcPr>
            <w:tcW w:w="865" w:type="dxa"/>
          </w:tcPr>
          <w:p w14:paraId="73BE4BBE" w14:textId="77777777" w:rsidR="00182709" w:rsidRDefault="0044097C">
            <w:pPr>
              <w:keepNext/>
            </w:pPr>
            <w:r>
              <w:t>Level 2</w:t>
            </w:r>
            <w:r>
              <w:rPr>
                <w:vertAlign w:val="superscript"/>
              </w:rPr>
              <w:t xml:space="preserve"> (b)</w:t>
            </w:r>
          </w:p>
        </w:tc>
        <w:tc>
          <w:tcPr>
            <w:tcW w:w="865" w:type="dxa"/>
          </w:tcPr>
          <w:p w14:paraId="666CAA49" w14:textId="77777777" w:rsidR="00182709" w:rsidRDefault="0044097C">
            <w:pPr>
              <w:keepNext/>
            </w:pPr>
            <w:r>
              <w:t>Level 3</w:t>
            </w:r>
          </w:p>
        </w:tc>
      </w:tr>
      <w:tr w:rsidR="00182709" w14:paraId="44371ECC" w14:textId="77777777" w:rsidTr="00ED0570">
        <w:tc>
          <w:tcPr>
            <w:tcW w:w="1347" w:type="dxa"/>
          </w:tcPr>
          <w:p w14:paraId="7B53F49E" w14:textId="77777777" w:rsidR="00182709" w:rsidRDefault="0044097C">
            <w:pPr>
              <w:jc w:val="left"/>
            </w:pPr>
            <w:r>
              <w:rPr>
                <w:color w:val="4472C4"/>
                <w:sz w:val="13"/>
              </w:rPr>
              <w:t>AASB 13.93 (b)</w:t>
            </w:r>
          </w:p>
        </w:tc>
        <w:tc>
          <w:tcPr>
            <w:tcW w:w="4832" w:type="dxa"/>
          </w:tcPr>
          <w:p w14:paraId="5EDC48E8" w14:textId="77777777" w:rsidR="00182709" w:rsidRDefault="0044097C">
            <w:pPr>
              <w:jc w:val="left"/>
            </w:pPr>
            <w:r>
              <w:t>Financial assets at FVTPL</w:t>
            </w:r>
          </w:p>
        </w:tc>
        <w:tc>
          <w:tcPr>
            <w:tcW w:w="865" w:type="dxa"/>
          </w:tcPr>
          <w:p w14:paraId="43E5E1B2" w14:textId="77777777" w:rsidR="00182709" w:rsidRDefault="00182709"/>
        </w:tc>
        <w:tc>
          <w:tcPr>
            <w:tcW w:w="865" w:type="dxa"/>
          </w:tcPr>
          <w:p w14:paraId="65103557" w14:textId="77777777" w:rsidR="00182709" w:rsidRDefault="00182709"/>
        </w:tc>
        <w:tc>
          <w:tcPr>
            <w:tcW w:w="865" w:type="dxa"/>
          </w:tcPr>
          <w:p w14:paraId="39DB35FA" w14:textId="77777777" w:rsidR="00182709" w:rsidRDefault="00182709"/>
        </w:tc>
        <w:tc>
          <w:tcPr>
            <w:tcW w:w="865" w:type="dxa"/>
          </w:tcPr>
          <w:p w14:paraId="29B29CD3" w14:textId="77777777" w:rsidR="00182709" w:rsidRDefault="00182709"/>
        </w:tc>
      </w:tr>
      <w:tr w:rsidR="00182709" w14:paraId="1B11B797" w14:textId="77777777" w:rsidTr="00ED0570">
        <w:tc>
          <w:tcPr>
            <w:tcW w:w="1347" w:type="dxa"/>
          </w:tcPr>
          <w:p w14:paraId="11A55147" w14:textId="77777777" w:rsidR="00182709" w:rsidRDefault="00182709">
            <w:pPr>
              <w:jc w:val="left"/>
            </w:pPr>
          </w:p>
        </w:tc>
        <w:tc>
          <w:tcPr>
            <w:tcW w:w="4832" w:type="dxa"/>
          </w:tcPr>
          <w:p w14:paraId="0E2BCA1E" w14:textId="1BF59118" w:rsidR="00182709" w:rsidRDefault="0044097C" w:rsidP="00883D73">
            <w:pPr>
              <w:ind w:left="170"/>
              <w:jc w:val="left"/>
            </w:pPr>
            <w:r>
              <w:t xml:space="preserve">Debt securities – </w:t>
            </w:r>
            <w:r w:rsidRPr="2856114A">
              <w:t>five</w:t>
            </w:r>
            <w:r w:rsidR="003D180B">
              <w:t>-</w:t>
            </w:r>
            <w:r w:rsidRPr="2856114A">
              <w:t>year</w:t>
            </w:r>
            <w:r>
              <w:t xml:space="preserve"> government bonds</w:t>
            </w:r>
          </w:p>
        </w:tc>
        <w:tc>
          <w:tcPr>
            <w:tcW w:w="865" w:type="dxa"/>
          </w:tcPr>
          <w:p w14:paraId="40F592A7" w14:textId="77777777" w:rsidR="00182709" w:rsidRDefault="0044097C">
            <w:r>
              <w:t>2 409</w:t>
            </w:r>
          </w:p>
        </w:tc>
        <w:tc>
          <w:tcPr>
            <w:tcW w:w="865" w:type="dxa"/>
          </w:tcPr>
          <w:p w14:paraId="2807DB86" w14:textId="77777777" w:rsidR="00182709" w:rsidRDefault="0044097C">
            <w:r>
              <w:t>..</w:t>
            </w:r>
          </w:p>
        </w:tc>
        <w:tc>
          <w:tcPr>
            <w:tcW w:w="865" w:type="dxa"/>
          </w:tcPr>
          <w:p w14:paraId="507D68C3" w14:textId="77777777" w:rsidR="00182709" w:rsidRDefault="0044097C">
            <w:r>
              <w:t>2 409</w:t>
            </w:r>
          </w:p>
        </w:tc>
        <w:tc>
          <w:tcPr>
            <w:tcW w:w="865" w:type="dxa"/>
          </w:tcPr>
          <w:p w14:paraId="7628ECCF" w14:textId="77777777" w:rsidR="00182709" w:rsidRDefault="0044097C">
            <w:r>
              <w:t>..</w:t>
            </w:r>
          </w:p>
        </w:tc>
      </w:tr>
      <w:tr w:rsidR="00182709" w14:paraId="568E6DEC" w14:textId="77777777" w:rsidTr="00ED0570">
        <w:tc>
          <w:tcPr>
            <w:tcW w:w="1347" w:type="dxa"/>
          </w:tcPr>
          <w:p w14:paraId="11BCCF09" w14:textId="77777777" w:rsidR="00182709" w:rsidRDefault="00182709">
            <w:pPr>
              <w:jc w:val="left"/>
            </w:pPr>
          </w:p>
        </w:tc>
        <w:tc>
          <w:tcPr>
            <w:tcW w:w="4832" w:type="dxa"/>
          </w:tcPr>
          <w:p w14:paraId="135F4212" w14:textId="77777777" w:rsidR="00182709" w:rsidRDefault="0044097C">
            <w:pPr>
              <w:jc w:val="left"/>
            </w:pPr>
            <w:r>
              <w:t>Available‑for‑sale securities</w:t>
            </w:r>
          </w:p>
        </w:tc>
        <w:tc>
          <w:tcPr>
            <w:tcW w:w="865" w:type="dxa"/>
          </w:tcPr>
          <w:p w14:paraId="4876700D" w14:textId="77777777" w:rsidR="00182709" w:rsidRDefault="00182709"/>
        </w:tc>
        <w:tc>
          <w:tcPr>
            <w:tcW w:w="865" w:type="dxa"/>
          </w:tcPr>
          <w:p w14:paraId="02B56F74" w14:textId="77777777" w:rsidR="00182709" w:rsidRDefault="00182709"/>
        </w:tc>
        <w:tc>
          <w:tcPr>
            <w:tcW w:w="865" w:type="dxa"/>
          </w:tcPr>
          <w:p w14:paraId="0581689F" w14:textId="77777777" w:rsidR="00182709" w:rsidRDefault="00182709"/>
        </w:tc>
        <w:tc>
          <w:tcPr>
            <w:tcW w:w="865" w:type="dxa"/>
          </w:tcPr>
          <w:p w14:paraId="50974712" w14:textId="77777777" w:rsidR="00182709" w:rsidRDefault="00182709"/>
        </w:tc>
      </w:tr>
      <w:tr w:rsidR="00182709" w14:paraId="73F8DB8A" w14:textId="77777777" w:rsidTr="00ED0570">
        <w:tc>
          <w:tcPr>
            <w:tcW w:w="1347" w:type="dxa"/>
          </w:tcPr>
          <w:p w14:paraId="311BD2F9" w14:textId="77777777" w:rsidR="00182709" w:rsidRDefault="00182709">
            <w:pPr>
              <w:jc w:val="left"/>
            </w:pPr>
          </w:p>
        </w:tc>
        <w:tc>
          <w:tcPr>
            <w:tcW w:w="4832" w:type="dxa"/>
          </w:tcPr>
          <w:p w14:paraId="137964F0" w14:textId="77777777" w:rsidR="00182709" w:rsidRDefault="0044097C" w:rsidP="00883D73">
            <w:pPr>
              <w:ind w:left="170"/>
              <w:jc w:val="left"/>
            </w:pPr>
            <w:r>
              <w:t>Listed securities</w:t>
            </w:r>
          </w:p>
        </w:tc>
        <w:tc>
          <w:tcPr>
            <w:tcW w:w="865" w:type="dxa"/>
          </w:tcPr>
          <w:p w14:paraId="332213CB" w14:textId="77777777" w:rsidR="00182709" w:rsidRDefault="0044097C">
            <w:r>
              <w:t>1 492</w:t>
            </w:r>
          </w:p>
        </w:tc>
        <w:tc>
          <w:tcPr>
            <w:tcW w:w="865" w:type="dxa"/>
          </w:tcPr>
          <w:p w14:paraId="3D5E2CF6" w14:textId="77777777" w:rsidR="00182709" w:rsidRDefault="0044097C">
            <w:r>
              <w:t>1 492</w:t>
            </w:r>
          </w:p>
        </w:tc>
        <w:tc>
          <w:tcPr>
            <w:tcW w:w="865" w:type="dxa"/>
          </w:tcPr>
          <w:p w14:paraId="60EFA784" w14:textId="77777777" w:rsidR="00182709" w:rsidRDefault="0044097C">
            <w:r>
              <w:t>..</w:t>
            </w:r>
          </w:p>
        </w:tc>
        <w:tc>
          <w:tcPr>
            <w:tcW w:w="865" w:type="dxa"/>
          </w:tcPr>
          <w:p w14:paraId="64FA5E19" w14:textId="77777777" w:rsidR="00182709" w:rsidRDefault="0044097C">
            <w:r>
              <w:t>..</w:t>
            </w:r>
          </w:p>
        </w:tc>
      </w:tr>
      <w:tr w:rsidR="00182709" w14:paraId="63A6B364" w14:textId="77777777" w:rsidTr="00ED0570">
        <w:tc>
          <w:tcPr>
            <w:tcW w:w="1347" w:type="dxa"/>
          </w:tcPr>
          <w:p w14:paraId="2D0B4401" w14:textId="77777777" w:rsidR="00182709" w:rsidRDefault="00182709">
            <w:pPr>
              <w:jc w:val="left"/>
            </w:pPr>
          </w:p>
        </w:tc>
        <w:tc>
          <w:tcPr>
            <w:tcW w:w="4832" w:type="dxa"/>
          </w:tcPr>
          <w:p w14:paraId="243CB268" w14:textId="77777777" w:rsidR="00182709" w:rsidRDefault="0044097C" w:rsidP="00883D73">
            <w:pPr>
              <w:ind w:left="170"/>
              <w:jc w:val="left"/>
            </w:pPr>
            <w:r>
              <w:t>Unlisted securities</w:t>
            </w:r>
          </w:p>
        </w:tc>
        <w:tc>
          <w:tcPr>
            <w:tcW w:w="865" w:type="dxa"/>
          </w:tcPr>
          <w:p w14:paraId="479503AB" w14:textId="77777777" w:rsidR="00182709" w:rsidRDefault="0044097C">
            <w:r>
              <w:t>538</w:t>
            </w:r>
          </w:p>
        </w:tc>
        <w:tc>
          <w:tcPr>
            <w:tcW w:w="865" w:type="dxa"/>
          </w:tcPr>
          <w:p w14:paraId="3ABA8054" w14:textId="77777777" w:rsidR="00182709" w:rsidRDefault="0044097C">
            <w:r>
              <w:t>..</w:t>
            </w:r>
          </w:p>
        </w:tc>
        <w:tc>
          <w:tcPr>
            <w:tcW w:w="865" w:type="dxa"/>
          </w:tcPr>
          <w:p w14:paraId="1FD9DBC0" w14:textId="77777777" w:rsidR="00182709" w:rsidRDefault="0044097C">
            <w:r>
              <w:t>..</w:t>
            </w:r>
          </w:p>
        </w:tc>
        <w:tc>
          <w:tcPr>
            <w:tcW w:w="865" w:type="dxa"/>
          </w:tcPr>
          <w:p w14:paraId="03D0284D" w14:textId="77777777" w:rsidR="00182709" w:rsidRDefault="0044097C">
            <w:r>
              <w:t>538</w:t>
            </w:r>
          </w:p>
        </w:tc>
      </w:tr>
      <w:tr w:rsidR="00182709" w14:paraId="7B976292" w14:textId="77777777" w:rsidTr="00ED0570">
        <w:tc>
          <w:tcPr>
            <w:tcW w:w="1347" w:type="dxa"/>
          </w:tcPr>
          <w:p w14:paraId="0D3CDD9F" w14:textId="77777777" w:rsidR="00182709" w:rsidRDefault="00182709">
            <w:pPr>
              <w:jc w:val="left"/>
            </w:pPr>
          </w:p>
        </w:tc>
        <w:tc>
          <w:tcPr>
            <w:tcW w:w="4832" w:type="dxa"/>
          </w:tcPr>
          <w:p w14:paraId="730ECB84" w14:textId="77777777" w:rsidR="00182709" w:rsidRDefault="0044097C" w:rsidP="00883D73">
            <w:pPr>
              <w:ind w:left="170"/>
              <w:jc w:val="left"/>
            </w:pPr>
            <w:r>
              <w:t>Equities and managed investment schemes</w:t>
            </w:r>
          </w:p>
        </w:tc>
        <w:tc>
          <w:tcPr>
            <w:tcW w:w="865" w:type="dxa"/>
          </w:tcPr>
          <w:p w14:paraId="19A26DFB" w14:textId="77777777" w:rsidR="00182709" w:rsidRDefault="0044097C">
            <w:r>
              <w:t>2 149</w:t>
            </w:r>
          </w:p>
        </w:tc>
        <w:tc>
          <w:tcPr>
            <w:tcW w:w="865" w:type="dxa"/>
          </w:tcPr>
          <w:p w14:paraId="076206BC" w14:textId="77777777" w:rsidR="00182709" w:rsidRDefault="0044097C">
            <w:r>
              <w:t>..</w:t>
            </w:r>
          </w:p>
        </w:tc>
        <w:tc>
          <w:tcPr>
            <w:tcW w:w="865" w:type="dxa"/>
          </w:tcPr>
          <w:p w14:paraId="56A917E3" w14:textId="77777777" w:rsidR="00182709" w:rsidRDefault="0044097C">
            <w:r>
              <w:t>2 149</w:t>
            </w:r>
          </w:p>
        </w:tc>
        <w:tc>
          <w:tcPr>
            <w:tcW w:w="865" w:type="dxa"/>
          </w:tcPr>
          <w:p w14:paraId="30064525" w14:textId="77777777" w:rsidR="00182709" w:rsidRDefault="0044097C">
            <w:r>
              <w:t>..</w:t>
            </w:r>
          </w:p>
        </w:tc>
      </w:tr>
      <w:tr w:rsidR="00182709" w14:paraId="18C98CD0" w14:textId="77777777" w:rsidTr="00ED0570">
        <w:tc>
          <w:tcPr>
            <w:tcW w:w="1347" w:type="dxa"/>
          </w:tcPr>
          <w:p w14:paraId="79AD7BD6" w14:textId="77777777" w:rsidR="00182709" w:rsidRDefault="00182709">
            <w:pPr>
              <w:jc w:val="left"/>
            </w:pPr>
          </w:p>
        </w:tc>
        <w:tc>
          <w:tcPr>
            <w:tcW w:w="4832" w:type="dxa"/>
            <w:tcBorders>
              <w:bottom w:val="single" w:sz="12" w:space="0" w:color="auto"/>
            </w:tcBorders>
          </w:tcPr>
          <w:p w14:paraId="0F74CA3D" w14:textId="77777777" w:rsidR="00182709" w:rsidRDefault="0044097C">
            <w:pPr>
              <w:jc w:val="left"/>
            </w:pPr>
            <w:r>
              <w:t>Financial liabilities at fair value through net result</w:t>
            </w:r>
          </w:p>
        </w:tc>
        <w:tc>
          <w:tcPr>
            <w:tcW w:w="865" w:type="dxa"/>
            <w:tcBorders>
              <w:bottom w:val="single" w:sz="12" w:space="0" w:color="auto"/>
            </w:tcBorders>
          </w:tcPr>
          <w:p w14:paraId="0E7F45A1" w14:textId="77777777" w:rsidR="00182709" w:rsidRDefault="0044097C">
            <w:r>
              <w:t>200</w:t>
            </w:r>
          </w:p>
        </w:tc>
        <w:tc>
          <w:tcPr>
            <w:tcW w:w="865" w:type="dxa"/>
            <w:tcBorders>
              <w:bottom w:val="single" w:sz="12" w:space="0" w:color="auto"/>
            </w:tcBorders>
          </w:tcPr>
          <w:p w14:paraId="439EDF32" w14:textId="77777777" w:rsidR="00182709" w:rsidRDefault="0044097C">
            <w:r>
              <w:t>..</w:t>
            </w:r>
          </w:p>
        </w:tc>
        <w:tc>
          <w:tcPr>
            <w:tcW w:w="865" w:type="dxa"/>
            <w:tcBorders>
              <w:bottom w:val="single" w:sz="12" w:space="0" w:color="auto"/>
            </w:tcBorders>
          </w:tcPr>
          <w:p w14:paraId="40E5535C" w14:textId="77777777" w:rsidR="00182709" w:rsidRDefault="0044097C">
            <w:r>
              <w:t>200</w:t>
            </w:r>
          </w:p>
        </w:tc>
        <w:tc>
          <w:tcPr>
            <w:tcW w:w="865" w:type="dxa"/>
            <w:tcBorders>
              <w:bottom w:val="single" w:sz="12" w:space="0" w:color="auto"/>
            </w:tcBorders>
          </w:tcPr>
          <w:p w14:paraId="38BBD43A" w14:textId="77777777" w:rsidR="00182709" w:rsidRDefault="0044097C">
            <w:r>
              <w:t>..</w:t>
            </w:r>
          </w:p>
        </w:tc>
      </w:tr>
      <w:tr w:rsidR="00671D55" w14:paraId="42612BDE" w14:textId="77777777" w:rsidTr="00ED0570">
        <w:tc>
          <w:tcPr>
            <w:tcW w:w="1347" w:type="dxa"/>
            <w:tcBorders>
              <w:bottom w:val="nil"/>
            </w:tcBorders>
          </w:tcPr>
          <w:p w14:paraId="072BD5F1" w14:textId="77777777" w:rsidR="00182709" w:rsidRDefault="00182709">
            <w:pPr>
              <w:jc w:val="left"/>
            </w:pPr>
          </w:p>
        </w:tc>
        <w:tc>
          <w:tcPr>
            <w:tcW w:w="4832" w:type="dxa"/>
          </w:tcPr>
          <w:p w14:paraId="37BB31E1" w14:textId="77777777" w:rsidR="00182709" w:rsidRDefault="0044097C">
            <w:pPr>
              <w:jc w:val="left"/>
            </w:pPr>
            <w:r>
              <w:rPr>
                <w:b/>
              </w:rPr>
              <w:t>Total</w:t>
            </w:r>
          </w:p>
        </w:tc>
        <w:tc>
          <w:tcPr>
            <w:tcW w:w="865" w:type="dxa"/>
          </w:tcPr>
          <w:p w14:paraId="2375487A" w14:textId="77777777" w:rsidR="00182709" w:rsidRDefault="0044097C">
            <w:r>
              <w:rPr>
                <w:b/>
              </w:rPr>
              <w:t>6 788</w:t>
            </w:r>
          </w:p>
        </w:tc>
        <w:tc>
          <w:tcPr>
            <w:tcW w:w="865" w:type="dxa"/>
          </w:tcPr>
          <w:p w14:paraId="656A2B96" w14:textId="77777777" w:rsidR="00182709" w:rsidRDefault="0044097C">
            <w:r>
              <w:rPr>
                <w:b/>
              </w:rPr>
              <w:t>1 492</w:t>
            </w:r>
          </w:p>
        </w:tc>
        <w:tc>
          <w:tcPr>
            <w:tcW w:w="865" w:type="dxa"/>
          </w:tcPr>
          <w:p w14:paraId="35170D55" w14:textId="77777777" w:rsidR="00182709" w:rsidRDefault="0044097C">
            <w:r>
              <w:rPr>
                <w:b/>
              </w:rPr>
              <w:t>4 758</w:t>
            </w:r>
          </w:p>
        </w:tc>
        <w:tc>
          <w:tcPr>
            <w:tcW w:w="865" w:type="dxa"/>
          </w:tcPr>
          <w:p w14:paraId="506748AD" w14:textId="77777777" w:rsidR="00182709" w:rsidRDefault="0044097C">
            <w:r>
              <w:rPr>
                <w:b/>
              </w:rPr>
              <w:t>538</w:t>
            </w:r>
          </w:p>
        </w:tc>
      </w:tr>
    </w:tbl>
    <w:p w14:paraId="62A81A34" w14:textId="77777777" w:rsidR="003719CD" w:rsidRDefault="003719CD" w:rsidP="007D536F">
      <w:pPr>
        <w:pStyle w:val="Note"/>
      </w:pPr>
      <w:r>
        <w:t xml:space="preserve">Notes: </w:t>
      </w:r>
    </w:p>
    <w:p w14:paraId="66022FE7" w14:textId="77777777" w:rsidR="003719CD" w:rsidRPr="007C7EBD" w:rsidRDefault="003719CD" w:rsidP="007D536F">
      <w:pPr>
        <w:pStyle w:val="Note"/>
        <w:rPr>
          <w:rStyle w:val="Guidance"/>
        </w:rPr>
      </w:pPr>
      <w:r>
        <w:t>(a)</w:t>
      </w:r>
      <w:r>
        <w:tab/>
      </w:r>
      <w:r w:rsidRPr="007C7EBD">
        <w:rPr>
          <w:rStyle w:val="Guidance"/>
        </w:rPr>
        <w:t xml:space="preserve">[The fair value hierarchy disclosures shall be disclosed by class of financial instrument where class is the lowest level disclosed in the financial statements or notes and is distinct from a category of financial instrument as specified in AASB 9.4.1 paragraph 9.] </w:t>
      </w:r>
      <w:r w:rsidRPr="007C7EBD">
        <w:rPr>
          <w:rStyle w:val="Reference"/>
          <w:sz w:val="14"/>
          <w:szCs w:val="16"/>
        </w:rPr>
        <w:t>[AASB 7.26]</w:t>
      </w:r>
    </w:p>
    <w:p w14:paraId="7CF4AA26" w14:textId="77777777" w:rsidR="003719CD" w:rsidRDefault="003719CD" w:rsidP="007D536F">
      <w:pPr>
        <w:pStyle w:val="Note"/>
      </w:pPr>
      <w:r>
        <w:t>(b)</w:t>
      </w:r>
      <w:r>
        <w:tab/>
        <w:t>There is no significant transfer between Level 1 and Level 2.</w:t>
      </w:r>
    </w:p>
    <w:p w14:paraId="51306FF6" w14:textId="77777777" w:rsidR="003719CD" w:rsidRDefault="003719CD" w:rsidP="00DC39DE"/>
    <w:p w14:paraId="4A440975" w14:textId="77777777" w:rsidR="003719CD" w:rsidRDefault="003719CD" w:rsidP="00DC39DE">
      <w:r>
        <w:t xml:space="preserve">There have been no transfers between levels during the period. </w:t>
      </w:r>
      <w:r w:rsidRPr="00777467">
        <w:rPr>
          <w:rStyle w:val="Reference"/>
        </w:rPr>
        <w:t>[AASB 13.93(c)]</w:t>
      </w:r>
    </w:p>
    <w:p w14:paraId="2F2BA638" w14:textId="77777777" w:rsidR="003719CD" w:rsidRDefault="003719CD" w:rsidP="00DC39DE">
      <w:r>
        <w:t xml:space="preserve">The fair value of the financial assets and liabilities is included at the amount at which the instrument could be exchanged in a current transaction between willing parties, other than in a forced or liquidation sale. The following methods and assumptions were used to estimate fair value. </w:t>
      </w:r>
      <w:r w:rsidRPr="00777467">
        <w:rPr>
          <w:rStyle w:val="Reference"/>
        </w:rPr>
        <w:t>[AASB 13.93(d)]</w:t>
      </w:r>
    </w:p>
    <w:p w14:paraId="38948E95" w14:textId="77777777" w:rsidR="003719CD" w:rsidRDefault="003719CD" w:rsidP="00DC39DE">
      <w:r w:rsidRPr="00777467">
        <w:rPr>
          <w:b/>
          <w:bCs/>
        </w:rPr>
        <w:t>Listed securities</w:t>
      </w:r>
      <w:r>
        <w:t>: The listed securities are valued at fair value with reference to a quoted (unadjusted) market price from an active market. The Department categorises these instruments as Level 1.</w:t>
      </w:r>
    </w:p>
    <w:p w14:paraId="362EB49C" w14:textId="77777777" w:rsidR="003719CD" w:rsidRDefault="003719CD" w:rsidP="00DC39DE">
      <w:r w:rsidRPr="00777467">
        <w:rPr>
          <w:b/>
          <w:bCs/>
        </w:rPr>
        <w:t>Debt securities</w:t>
      </w:r>
      <w:r>
        <w:t>: In the absence of an active market, the fair value of the Department’s debt securities and government bonds are valued using observable inputs, such as recently executed transaction prices in securities of the issuer or comparable issuers and yield curves. Adjustments are made to the valuations when necessary to recognise differences in the instrument’s terms. To the extent that the significant inputs are observable, the Department categorises these investments as Level 2.</w:t>
      </w:r>
    </w:p>
    <w:p w14:paraId="38D38D47" w14:textId="77777777" w:rsidR="003719CD" w:rsidRDefault="003719CD" w:rsidP="00DC39DE">
      <w:r w:rsidRPr="00777467">
        <w:rPr>
          <w:b/>
          <w:bCs/>
        </w:rPr>
        <w:t>Unlisted securities</w:t>
      </w:r>
      <w:r>
        <w:t>: The fair value of unlisted securities is based on the discounted cash flow method. Significant inputs in applying this technique include growth rates applied for future cash flows and discount rates utilised. To the extent that the significant inputs are unobservable, the Department categorises these investments as Level 3.</w:t>
      </w:r>
    </w:p>
    <w:p w14:paraId="26DFB702" w14:textId="77777777" w:rsidR="003719CD" w:rsidRPr="00777467" w:rsidRDefault="003719CD" w:rsidP="00DC39DE">
      <w:r w:rsidRPr="00777467">
        <w:rPr>
          <w:b/>
          <w:bCs/>
        </w:rPr>
        <w:t>Managed investment schemes</w:t>
      </w:r>
      <w:r w:rsidRPr="00777467">
        <w:t xml:space="preserve">: The Department invests in managed funds, which are not quoted in an active market and which may be subject to restrictions on redemptions such as lock-up periods, redemption gates and side pockets. The Department considers the valuation techniques and inputs used in valuing these funds as part of its due diligence prior to investment, to ensure they are reasonable and appropriate and therefore the net asset value (NAV) of these funds may be used as an input into measuring their fair value. In measuring this fair value, the NAV of the funds is adjusted, as necessary, to reflect restrictions and redemptions, future commitments and other specific factors of the fund. In measuring fair value, consideration is also paid to any transactions in the shares of the fund. Depending on the nature and level of adjustments needed to the NAV and the level of trading of the Department, the Department classifies these funds as either Level 2 or Level 3. </w:t>
      </w:r>
    </w:p>
    <w:p w14:paraId="237492FF" w14:textId="77777777" w:rsidR="007E486C" w:rsidRDefault="007E486C">
      <w:pPr>
        <w:keepLines w:val="0"/>
        <w:rPr>
          <w:b/>
          <w:iCs/>
          <w:color w:val="404040" w:themeColor="text1" w:themeTint="BF"/>
        </w:rPr>
      </w:pPr>
      <w:r>
        <w:br w:type="page"/>
      </w:r>
    </w:p>
    <w:p w14:paraId="6F7C95E0" w14:textId="000D90B1" w:rsidR="003719CD" w:rsidRDefault="003719CD" w:rsidP="007D536F">
      <w:pPr>
        <w:pStyle w:val="Caption"/>
      </w:pPr>
      <w:r>
        <w:lastRenderedPageBreak/>
        <w:t xml:space="preserve">Reconciliation of Level 3 fair value movements </w:t>
      </w:r>
      <w:r w:rsidRPr="00B60DED">
        <w:rPr>
          <w:vertAlign w:val="superscript"/>
        </w:rPr>
        <w:t>(a)</w:t>
      </w:r>
      <w:r>
        <w:t xml:space="preserve"> </w:t>
      </w:r>
      <w:r>
        <w:tab/>
        <w:t>($ thousand)</w:t>
      </w:r>
    </w:p>
    <w:tbl>
      <w:tblPr>
        <w:tblStyle w:val="DTFTable"/>
        <w:tblW w:w="9639" w:type="dxa"/>
        <w:tblLayout w:type="fixed"/>
        <w:tblLook w:val="0620" w:firstRow="1" w:lastRow="0" w:firstColumn="0" w:lastColumn="0" w:noHBand="1" w:noVBand="1"/>
      </w:tblPr>
      <w:tblGrid>
        <w:gridCol w:w="1347"/>
        <w:gridCol w:w="3048"/>
        <w:gridCol w:w="1842"/>
        <w:gridCol w:w="2127"/>
        <w:gridCol w:w="637"/>
        <w:gridCol w:w="638"/>
      </w:tblGrid>
      <w:tr w:rsidR="00182709" w14:paraId="184200CE"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513A1A9F" w14:textId="77777777" w:rsidR="00182709" w:rsidRDefault="0044097C">
            <w:pPr>
              <w:keepNext/>
              <w:jc w:val="left"/>
            </w:pPr>
            <w:r>
              <w:rPr>
                <w:color w:val="4472C4"/>
                <w:sz w:val="13"/>
              </w:rPr>
              <w:t>Source reference</w:t>
            </w:r>
          </w:p>
        </w:tc>
        <w:tc>
          <w:tcPr>
            <w:tcW w:w="3048" w:type="dxa"/>
          </w:tcPr>
          <w:p w14:paraId="3D1C1722" w14:textId="77777777" w:rsidR="00182709" w:rsidRDefault="00182709">
            <w:pPr>
              <w:keepNext/>
              <w:jc w:val="left"/>
            </w:pPr>
          </w:p>
        </w:tc>
        <w:tc>
          <w:tcPr>
            <w:tcW w:w="1842" w:type="dxa"/>
          </w:tcPr>
          <w:p w14:paraId="79B0573A" w14:textId="77777777" w:rsidR="00182709" w:rsidRDefault="0044097C">
            <w:pPr>
              <w:keepNext/>
            </w:pPr>
            <w:r>
              <w:t>Financial assets at fair value through other comprehensive income</w:t>
            </w:r>
          </w:p>
        </w:tc>
        <w:tc>
          <w:tcPr>
            <w:tcW w:w="2127" w:type="dxa"/>
          </w:tcPr>
          <w:p w14:paraId="7D0F5124" w14:textId="77777777" w:rsidR="00182709" w:rsidRDefault="0044097C">
            <w:pPr>
              <w:keepNext/>
            </w:pPr>
            <w:r>
              <w:t>Available for sale financial assets through other comprehensive income</w:t>
            </w:r>
          </w:p>
        </w:tc>
        <w:tc>
          <w:tcPr>
            <w:tcW w:w="1275" w:type="dxa"/>
            <w:gridSpan w:val="2"/>
          </w:tcPr>
          <w:p w14:paraId="4FA8C2B2" w14:textId="77777777" w:rsidR="00182709" w:rsidRDefault="0044097C">
            <w:pPr>
              <w:keepNext/>
              <w:jc w:val="center"/>
            </w:pPr>
            <w:r>
              <w:t>Total</w:t>
            </w:r>
          </w:p>
        </w:tc>
      </w:tr>
      <w:tr w:rsidR="00182709" w14:paraId="2605E59D"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3725A605" w14:textId="77777777" w:rsidR="00182709" w:rsidRDefault="00182709">
            <w:pPr>
              <w:keepNext/>
              <w:jc w:val="left"/>
            </w:pPr>
          </w:p>
        </w:tc>
        <w:tc>
          <w:tcPr>
            <w:tcW w:w="3048" w:type="dxa"/>
          </w:tcPr>
          <w:p w14:paraId="3A5ED6B9" w14:textId="77777777" w:rsidR="00182709" w:rsidRDefault="00182709">
            <w:pPr>
              <w:keepNext/>
              <w:jc w:val="left"/>
            </w:pPr>
          </w:p>
        </w:tc>
        <w:tc>
          <w:tcPr>
            <w:tcW w:w="1842" w:type="dxa"/>
          </w:tcPr>
          <w:p w14:paraId="636046EE" w14:textId="77777777" w:rsidR="00182709" w:rsidRDefault="0044097C">
            <w:pPr>
              <w:keepNext/>
            </w:pPr>
            <w:r>
              <w:t>Unlisted securities</w:t>
            </w:r>
          </w:p>
        </w:tc>
        <w:tc>
          <w:tcPr>
            <w:tcW w:w="2127" w:type="dxa"/>
          </w:tcPr>
          <w:p w14:paraId="7F8DFC7D" w14:textId="77777777" w:rsidR="00182709" w:rsidRDefault="00182709">
            <w:pPr>
              <w:keepNext/>
            </w:pPr>
          </w:p>
        </w:tc>
        <w:tc>
          <w:tcPr>
            <w:tcW w:w="1275" w:type="dxa"/>
            <w:gridSpan w:val="2"/>
          </w:tcPr>
          <w:p w14:paraId="051C340F" w14:textId="77777777" w:rsidR="00182709" w:rsidRDefault="00182709">
            <w:pPr>
              <w:keepNext/>
            </w:pPr>
          </w:p>
        </w:tc>
      </w:tr>
      <w:tr w:rsidR="00381E05" w14:paraId="1784C0AB" w14:textId="77777777" w:rsidTr="00ED0570">
        <w:trPr>
          <w:cnfStyle w:val="100000000000" w:firstRow="1" w:lastRow="0" w:firstColumn="0" w:lastColumn="0" w:oddVBand="0" w:evenVBand="0" w:oddHBand="0" w:evenHBand="0" w:firstRowFirstColumn="0" w:firstRowLastColumn="0" w:lastRowFirstColumn="0" w:lastRowLastColumn="0"/>
          <w:tblHeader/>
        </w:trPr>
        <w:tc>
          <w:tcPr>
            <w:tcW w:w="1347" w:type="dxa"/>
            <w:tcBorders>
              <w:top w:val="nil"/>
              <w:bottom w:val="nil"/>
            </w:tcBorders>
            <w:shd w:val="clear" w:color="auto" w:fill="FFFFFF" w:themeFill="background1"/>
          </w:tcPr>
          <w:p w14:paraId="4B467A6C" w14:textId="126DA8C7" w:rsidR="00381E05" w:rsidRDefault="00381E05" w:rsidP="00381E05">
            <w:pPr>
              <w:keepNext/>
              <w:jc w:val="left"/>
              <w:rPr>
                <w:b/>
              </w:rPr>
            </w:pPr>
            <w:r>
              <w:rPr>
                <w:color w:val="4472C4"/>
                <w:sz w:val="13"/>
              </w:rPr>
              <w:t>AASB 13.93(d)(e)</w:t>
            </w:r>
          </w:p>
        </w:tc>
        <w:tc>
          <w:tcPr>
            <w:tcW w:w="3048" w:type="dxa"/>
          </w:tcPr>
          <w:p w14:paraId="69D35886" w14:textId="77777777" w:rsidR="00381E05" w:rsidRDefault="00381E05" w:rsidP="00381E05">
            <w:pPr>
              <w:keepNext/>
              <w:jc w:val="left"/>
            </w:pPr>
          </w:p>
        </w:tc>
        <w:tc>
          <w:tcPr>
            <w:tcW w:w="1842" w:type="dxa"/>
          </w:tcPr>
          <w:p w14:paraId="6BF7FDF8" w14:textId="7B88B387" w:rsidR="00381E05" w:rsidRPr="00381E05" w:rsidRDefault="00381E05" w:rsidP="00381E05">
            <w:pPr>
              <w:keepNext/>
              <w:rPr>
                <w:iCs/>
              </w:rPr>
            </w:pPr>
            <w:r w:rsidRPr="00381E05">
              <w:rPr>
                <w:iCs/>
              </w:rPr>
              <w:fldChar w:fldCharType="begin"/>
            </w:r>
            <w:r w:rsidRPr="00381E05">
              <w:rPr>
                <w:bCs w:val="0"/>
                <w:iCs/>
              </w:rPr>
              <w:instrText>DOCPROPERTY  YearCurrent \* MERGEFORMAT</w:instrText>
            </w:r>
            <w:r w:rsidRPr="00381E05">
              <w:rPr>
                <w:iCs/>
              </w:rPr>
              <w:fldChar w:fldCharType="separate"/>
            </w:r>
            <w:r w:rsidRPr="00381E05">
              <w:rPr>
                <w:bCs w:val="0"/>
                <w:iCs/>
              </w:rPr>
              <w:t>20X2</w:t>
            </w:r>
            <w:r w:rsidRPr="00381E05">
              <w:rPr>
                <w:iCs/>
              </w:rPr>
              <w:fldChar w:fldCharType="end"/>
            </w:r>
          </w:p>
        </w:tc>
        <w:tc>
          <w:tcPr>
            <w:tcW w:w="2127" w:type="dxa"/>
          </w:tcPr>
          <w:p w14:paraId="23D70583" w14:textId="5B1BAB6E" w:rsidR="00381E05" w:rsidRPr="00381E05" w:rsidRDefault="00381E05" w:rsidP="00381E05">
            <w:pPr>
              <w:keepNext/>
              <w:rPr>
                <w:iCs/>
              </w:rPr>
            </w:pPr>
            <w:r w:rsidRPr="00381E05">
              <w:rPr>
                <w:iCs/>
              </w:rPr>
              <w:fldChar w:fldCharType="begin"/>
            </w:r>
            <w:r w:rsidRPr="00381E05">
              <w:rPr>
                <w:bCs w:val="0"/>
                <w:iCs/>
              </w:rPr>
              <w:instrText>DOCPROPERTY  YearPrevious  \* MERGEFORMAT</w:instrText>
            </w:r>
            <w:r w:rsidRPr="00381E05">
              <w:rPr>
                <w:iCs/>
              </w:rPr>
              <w:fldChar w:fldCharType="separate"/>
            </w:r>
            <w:r w:rsidRPr="00381E05">
              <w:rPr>
                <w:bCs w:val="0"/>
                <w:iCs/>
              </w:rPr>
              <w:t>20X1</w:t>
            </w:r>
            <w:r w:rsidRPr="00381E05">
              <w:rPr>
                <w:iCs/>
              </w:rPr>
              <w:fldChar w:fldCharType="end"/>
            </w:r>
          </w:p>
        </w:tc>
        <w:tc>
          <w:tcPr>
            <w:tcW w:w="637" w:type="dxa"/>
          </w:tcPr>
          <w:p w14:paraId="0AFB3428" w14:textId="5C60B783" w:rsidR="00381E05" w:rsidRPr="00381E05" w:rsidRDefault="00381E05" w:rsidP="00381E05">
            <w:pPr>
              <w:keepNext/>
              <w:rPr>
                <w:iCs/>
              </w:rPr>
            </w:pPr>
            <w:r w:rsidRPr="00381E05">
              <w:rPr>
                <w:iCs/>
              </w:rPr>
              <w:fldChar w:fldCharType="begin"/>
            </w:r>
            <w:r w:rsidRPr="00381E05">
              <w:rPr>
                <w:bCs w:val="0"/>
                <w:iCs/>
              </w:rPr>
              <w:instrText>DOCPROPERTY  YearCurrent \* MERGEFORMAT</w:instrText>
            </w:r>
            <w:r w:rsidRPr="00381E05">
              <w:rPr>
                <w:iCs/>
              </w:rPr>
              <w:fldChar w:fldCharType="separate"/>
            </w:r>
            <w:r w:rsidRPr="00381E05">
              <w:rPr>
                <w:bCs w:val="0"/>
                <w:iCs/>
              </w:rPr>
              <w:t>20X2</w:t>
            </w:r>
            <w:r w:rsidRPr="00381E05">
              <w:rPr>
                <w:iCs/>
              </w:rPr>
              <w:fldChar w:fldCharType="end"/>
            </w:r>
          </w:p>
        </w:tc>
        <w:tc>
          <w:tcPr>
            <w:tcW w:w="638" w:type="dxa"/>
          </w:tcPr>
          <w:p w14:paraId="620C9388" w14:textId="414D7F17" w:rsidR="00381E05" w:rsidRPr="00381E05" w:rsidRDefault="00381E05" w:rsidP="00381E05">
            <w:pPr>
              <w:keepNext/>
              <w:rPr>
                <w:iCs/>
              </w:rPr>
            </w:pPr>
            <w:r w:rsidRPr="00381E05">
              <w:rPr>
                <w:iCs/>
              </w:rPr>
              <w:fldChar w:fldCharType="begin"/>
            </w:r>
            <w:r w:rsidRPr="00381E05">
              <w:rPr>
                <w:bCs w:val="0"/>
                <w:iCs/>
              </w:rPr>
              <w:instrText>DOCPROPERTY  YearPrevious  \* MERGEFORMAT</w:instrText>
            </w:r>
            <w:r w:rsidRPr="00381E05">
              <w:rPr>
                <w:iCs/>
              </w:rPr>
              <w:fldChar w:fldCharType="separate"/>
            </w:r>
            <w:r w:rsidRPr="00381E05">
              <w:rPr>
                <w:bCs w:val="0"/>
                <w:iCs/>
              </w:rPr>
              <w:t>20X1</w:t>
            </w:r>
            <w:r w:rsidRPr="00381E05">
              <w:rPr>
                <w:iCs/>
              </w:rPr>
              <w:fldChar w:fldCharType="end"/>
            </w:r>
          </w:p>
        </w:tc>
      </w:tr>
      <w:tr w:rsidR="00182709" w14:paraId="773F2C5A" w14:textId="77777777" w:rsidTr="00ED0570">
        <w:tc>
          <w:tcPr>
            <w:tcW w:w="1347" w:type="dxa"/>
          </w:tcPr>
          <w:p w14:paraId="5AE0280D" w14:textId="77777777" w:rsidR="00182709" w:rsidRDefault="00182709">
            <w:pPr>
              <w:jc w:val="left"/>
            </w:pPr>
          </w:p>
        </w:tc>
        <w:tc>
          <w:tcPr>
            <w:tcW w:w="3048" w:type="dxa"/>
          </w:tcPr>
          <w:p w14:paraId="646D62F2" w14:textId="77777777" w:rsidR="00182709" w:rsidRDefault="0044097C">
            <w:pPr>
              <w:jc w:val="left"/>
            </w:pPr>
            <w:r>
              <w:t>Opening balance</w:t>
            </w:r>
          </w:p>
        </w:tc>
        <w:tc>
          <w:tcPr>
            <w:tcW w:w="1842" w:type="dxa"/>
          </w:tcPr>
          <w:p w14:paraId="5379D127" w14:textId="77777777" w:rsidR="00182709" w:rsidRDefault="0044097C">
            <w:r>
              <w:rPr>
                <w:b/>
              </w:rPr>
              <w:t>538</w:t>
            </w:r>
          </w:p>
        </w:tc>
        <w:tc>
          <w:tcPr>
            <w:tcW w:w="2127" w:type="dxa"/>
          </w:tcPr>
          <w:p w14:paraId="0359ACF3" w14:textId="77777777" w:rsidR="00182709" w:rsidRDefault="0044097C">
            <w:r>
              <w:rPr>
                <w:b/>
              </w:rPr>
              <w:t>509</w:t>
            </w:r>
          </w:p>
        </w:tc>
        <w:tc>
          <w:tcPr>
            <w:tcW w:w="637" w:type="dxa"/>
          </w:tcPr>
          <w:p w14:paraId="224C8959" w14:textId="77777777" w:rsidR="00182709" w:rsidRDefault="0044097C">
            <w:r>
              <w:rPr>
                <w:b/>
              </w:rPr>
              <w:t>538</w:t>
            </w:r>
          </w:p>
        </w:tc>
        <w:tc>
          <w:tcPr>
            <w:tcW w:w="638" w:type="dxa"/>
          </w:tcPr>
          <w:p w14:paraId="6D3DCF1B" w14:textId="77777777" w:rsidR="00182709" w:rsidRDefault="0044097C">
            <w:r>
              <w:rPr>
                <w:b/>
              </w:rPr>
              <w:t>509</w:t>
            </w:r>
          </w:p>
        </w:tc>
      </w:tr>
      <w:tr w:rsidR="00182709" w14:paraId="65FB777E" w14:textId="77777777" w:rsidTr="00ED0570">
        <w:tc>
          <w:tcPr>
            <w:tcW w:w="1347" w:type="dxa"/>
          </w:tcPr>
          <w:p w14:paraId="4D95681D" w14:textId="77777777" w:rsidR="00182709" w:rsidRDefault="00182709">
            <w:pPr>
              <w:jc w:val="left"/>
            </w:pPr>
          </w:p>
        </w:tc>
        <w:tc>
          <w:tcPr>
            <w:tcW w:w="3048" w:type="dxa"/>
          </w:tcPr>
          <w:p w14:paraId="77C7FE44" w14:textId="77777777" w:rsidR="00182709" w:rsidRDefault="0044097C">
            <w:pPr>
              <w:jc w:val="left"/>
            </w:pPr>
            <w:r>
              <w:t>Total gains or losses recognised in:</w:t>
            </w:r>
          </w:p>
        </w:tc>
        <w:tc>
          <w:tcPr>
            <w:tcW w:w="1842" w:type="dxa"/>
          </w:tcPr>
          <w:p w14:paraId="4E727FD2" w14:textId="77777777" w:rsidR="00182709" w:rsidRDefault="00182709"/>
        </w:tc>
        <w:tc>
          <w:tcPr>
            <w:tcW w:w="2127" w:type="dxa"/>
          </w:tcPr>
          <w:p w14:paraId="199E84B7" w14:textId="77777777" w:rsidR="00182709" w:rsidRDefault="00182709"/>
        </w:tc>
        <w:tc>
          <w:tcPr>
            <w:tcW w:w="637" w:type="dxa"/>
          </w:tcPr>
          <w:p w14:paraId="715629C2" w14:textId="77777777" w:rsidR="00182709" w:rsidRDefault="0044097C">
            <w:r>
              <w:t>..</w:t>
            </w:r>
          </w:p>
        </w:tc>
        <w:tc>
          <w:tcPr>
            <w:tcW w:w="638" w:type="dxa"/>
          </w:tcPr>
          <w:p w14:paraId="118CEA0C" w14:textId="77777777" w:rsidR="00182709" w:rsidRDefault="0044097C">
            <w:r>
              <w:t>..</w:t>
            </w:r>
          </w:p>
        </w:tc>
      </w:tr>
      <w:tr w:rsidR="00182709" w14:paraId="15D07DF2" w14:textId="77777777" w:rsidTr="00ED0570">
        <w:tc>
          <w:tcPr>
            <w:tcW w:w="1347" w:type="dxa"/>
          </w:tcPr>
          <w:p w14:paraId="7B241242" w14:textId="77777777" w:rsidR="00182709" w:rsidRDefault="00182709">
            <w:pPr>
              <w:jc w:val="left"/>
            </w:pPr>
          </w:p>
        </w:tc>
        <w:tc>
          <w:tcPr>
            <w:tcW w:w="3048" w:type="dxa"/>
          </w:tcPr>
          <w:p w14:paraId="31DD66FD" w14:textId="77777777" w:rsidR="00182709" w:rsidRDefault="0044097C" w:rsidP="00883D73">
            <w:pPr>
              <w:ind w:left="170"/>
              <w:jc w:val="left"/>
            </w:pPr>
            <w:r>
              <w:t>net result</w:t>
            </w:r>
          </w:p>
        </w:tc>
        <w:tc>
          <w:tcPr>
            <w:tcW w:w="1842" w:type="dxa"/>
          </w:tcPr>
          <w:p w14:paraId="15C4B8E0" w14:textId="77777777" w:rsidR="00182709" w:rsidRDefault="0044097C">
            <w:r>
              <w:t>..</w:t>
            </w:r>
          </w:p>
        </w:tc>
        <w:tc>
          <w:tcPr>
            <w:tcW w:w="2127" w:type="dxa"/>
          </w:tcPr>
          <w:p w14:paraId="36F52F5C" w14:textId="77777777" w:rsidR="00182709" w:rsidRDefault="0044097C">
            <w:r>
              <w:t>..</w:t>
            </w:r>
          </w:p>
        </w:tc>
        <w:tc>
          <w:tcPr>
            <w:tcW w:w="637" w:type="dxa"/>
          </w:tcPr>
          <w:p w14:paraId="7726A8EC" w14:textId="77777777" w:rsidR="00182709" w:rsidRDefault="0044097C">
            <w:r>
              <w:t>..</w:t>
            </w:r>
          </w:p>
        </w:tc>
        <w:tc>
          <w:tcPr>
            <w:tcW w:w="638" w:type="dxa"/>
          </w:tcPr>
          <w:p w14:paraId="212B5109" w14:textId="77777777" w:rsidR="00182709" w:rsidRDefault="0044097C">
            <w:r>
              <w:t>..</w:t>
            </w:r>
          </w:p>
        </w:tc>
      </w:tr>
      <w:tr w:rsidR="00182709" w14:paraId="622AC623" w14:textId="77777777" w:rsidTr="00ED0570">
        <w:tc>
          <w:tcPr>
            <w:tcW w:w="1347" w:type="dxa"/>
          </w:tcPr>
          <w:p w14:paraId="7A7C5ED0" w14:textId="77777777" w:rsidR="00182709" w:rsidRDefault="00182709">
            <w:pPr>
              <w:jc w:val="left"/>
            </w:pPr>
          </w:p>
        </w:tc>
        <w:tc>
          <w:tcPr>
            <w:tcW w:w="3048" w:type="dxa"/>
          </w:tcPr>
          <w:p w14:paraId="104E50B8" w14:textId="77777777" w:rsidR="00182709" w:rsidRDefault="0044097C" w:rsidP="00883D73">
            <w:pPr>
              <w:ind w:left="170"/>
              <w:jc w:val="left"/>
            </w:pPr>
            <w:r>
              <w:t>other comprehensive income</w:t>
            </w:r>
          </w:p>
        </w:tc>
        <w:tc>
          <w:tcPr>
            <w:tcW w:w="1842" w:type="dxa"/>
          </w:tcPr>
          <w:p w14:paraId="277B5FC3" w14:textId="77777777" w:rsidR="00182709" w:rsidRDefault="0044097C">
            <w:r>
              <w:t>100</w:t>
            </w:r>
          </w:p>
        </w:tc>
        <w:tc>
          <w:tcPr>
            <w:tcW w:w="2127" w:type="dxa"/>
          </w:tcPr>
          <w:p w14:paraId="4315892A" w14:textId="77777777" w:rsidR="00182709" w:rsidRDefault="0044097C">
            <w:r>
              <w:t>..</w:t>
            </w:r>
          </w:p>
        </w:tc>
        <w:tc>
          <w:tcPr>
            <w:tcW w:w="637" w:type="dxa"/>
          </w:tcPr>
          <w:p w14:paraId="2C3BFB7B" w14:textId="77777777" w:rsidR="00182709" w:rsidRDefault="0044097C">
            <w:r>
              <w:t>100</w:t>
            </w:r>
          </w:p>
        </w:tc>
        <w:tc>
          <w:tcPr>
            <w:tcW w:w="638" w:type="dxa"/>
          </w:tcPr>
          <w:p w14:paraId="142B74C1" w14:textId="77777777" w:rsidR="00182709" w:rsidRDefault="0044097C">
            <w:r>
              <w:t>..</w:t>
            </w:r>
          </w:p>
        </w:tc>
      </w:tr>
      <w:tr w:rsidR="00182709" w14:paraId="4AD3C59C" w14:textId="77777777" w:rsidTr="00ED0570">
        <w:tc>
          <w:tcPr>
            <w:tcW w:w="1347" w:type="dxa"/>
          </w:tcPr>
          <w:p w14:paraId="1E000522" w14:textId="77777777" w:rsidR="00182709" w:rsidRDefault="00182709">
            <w:pPr>
              <w:jc w:val="left"/>
            </w:pPr>
          </w:p>
        </w:tc>
        <w:tc>
          <w:tcPr>
            <w:tcW w:w="3048" w:type="dxa"/>
          </w:tcPr>
          <w:p w14:paraId="01D1A9B8" w14:textId="77777777" w:rsidR="00182709" w:rsidRDefault="0044097C">
            <w:pPr>
              <w:jc w:val="left"/>
            </w:pPr>
            <w:r>
              <w:t>Purchases</w:t>
            </w:r>
          </w:p>
        </w:tc>
        <w:tc>
          <w:tcPr>
            <w:tcW w:w="1842" w:type="dxa"/>
          </w:tcPr>
          <w:p w14:paraId="6368AC71" w14:textId="77777777" w:rsidR="00182709" w:rsidRDefault="0044097C">
            <w:r>
              <w:t>349</w:t>
            </w:r>
          </w:p>
        </w:tc>
        <w:tc>
          <w:tcPr>
            <w:tcW w:w="2127" w:type="dxa"/>
          </w:tcPr>
          <w:p w14:paraId="41AC5886" w14:textId="77777777" w:rsidR="00182709" w:rsidRDefault="0044097C">
            <w:r>
              <w:t>202</w:t>
            </w:r>
          </w:p>
        </w:tc>
        <w:tc>
          <w:tcPr>
            <w:tcW w:w="637" w:type="dxa"/>
          </w:tcPr>
          <w:p w14:paraId="0BCCE5A0" w14:textId="77777777" w:rsidR="00182709" w:rsidRDefault="0044097C">
            <w:r>
              <w:t>349</w:t>
            </w:r>
          </w:p>
        </w:tc>
        <w:tc>
          <w:tcPr>
            <w:tcW w:w="638" w:type="dxa"/>
          </w:tcPr>
          <w:p w14:paraId="4E91CF8A" w14:textId="77777777" w:rsidR="00182709" w:rsidRDefault="0044097C">
            <w:r>
              <w:t>202</w:t>
            </w:r>
          </w:p>
        </w:tc>
      </w:tr>
      <w:tr w:rsidR="00182709" w14:paraId="5ACBE651" w14:textId="77777777" w:rsidTr="00ED0570">
        <w:tc>
          <w:tcPr>
            <w:tcW w:w="1347" w:type="dxa"/>
          </w:tcPr>
          <w:p w14:paraId="3950E1C4" w14:textId="77777777" w:rsidR="00182709" w:rsidRDefault="00182709">
            <w:pPr>
              <w:jc w:val="left"/>
            </w:pPr>
          </w:p>
        </w:tc>
        <w:tc>
          <w:tcPr>
            <w:tcW w:w="3048" w:type="dxa"/>
          </w:tcPr>
          <w:p w14:paraId="6EF1EBD9" w14:textId="77777777" w:rsidR="00182709" w:rsidRDefault="0044097C">
            <w:pPr>
              <w:jc w:val="left"/>
            </w:pPr>
            <w:r>
              <w:t>Machinery of government transfer in</w:t>
            </w:r>
          </w:p>
        </w:tc>
        <w:tc>
          <w:tcPr>
            <w:tcW w:w="1842" w:type="dxa"/>
          </w:tcPr>
          <w:p w14:paraId="51F1E741" w14:textId="77777777" w:rsidR="00182709" w:rsidRDefault="0044097C">
            <w:r>
              <w:t>108</w:t>
            </w:r>
          </w:p>
        </w:tc>
        <w:tc>
          <w:tcPr>
            <w:tcW w:w="2127" w:type="dxa"/>
          </w:tcPr>
          <w:p w14:paraId="48419988" w14:textId="77777777" w:rsidR="00182709" w:rsidRDefault="0044097C">
            <w:r>
              <w:t>..</w:t>
            </w:r>
          </w:p>
        </w:tc>
        <w:tc>
          <w:tcPr>
            <w:tcW w:w="637" w:type="dxa"/>
          </w:tcPr>
          <w:p w14:paraId="17ABC5FC" w14:textId="77777777" w:rsidR="00182709" w:rsidRDefault="0044097C">
            <w:r>
              <w:t>108</w:t>
            </w:r>
          </w:p>
        </w:tc>
        <w:tc>
          <w:tcPr>
            <w:tcW w:w="638" w:type="dxa"/>
          </w:tcPr>
          <w:p w14:paraId="33D70447" w14:textId="77777777" w:rsidR="00182709" w:rsidRDefault="0044097C">
            <w:r>
              <w:t>..</w:t>
            </w:r>
          </w:p>
        </w:tc>
      </w:tr>
      <w:tr w:rsidR="00182709" w14:paraId="38FCFE4F" w14:textId="77777777" w:rsidTr="00ED0570">
        <w:tc>
          <w:tcPr>
            <w:tcW w:w="1347" w:type="dxa"/>
          </w:tcPr>
          <w:p w14:paraId="5B4F990D" w14:textId="77777777" w:rsidR="00182709" w:rsidRDefault="00182709">
            <w:pPr>
              <w:jc w:val="left"/>
            </w:pPr>
          </w:p>
        </w:tc>
        <w:tc>
          <w:tcPr>
            <w:tcW w:w="3048" w:type="dxa"/>
          </w:tcPr>
          <w:p w14:paraId="17AF6995" w14:textId="77777777" w:rsidR="00182709" w:rsidRDefault="0044097C">
            <w:pPr>
              <w:jc w:val="left"/>
            </w:pPr>
            <w:r>
              <w:t>Machinery of government transfer out</w:t>
            </w:r>
          </w:p>
        </w:tc>
        <w:tc>
          <w:tcPr>
            <w:tcW w:w="1842" w:type="dxa"/>
          </w:tcPr>
          <w:p w14:paraId="3F723526" w14:textId="77777777" w:rsidR="00182709" w:rsidRDefault="0044097C">
            <w:r>
              <w:t>(406)</w:t>
            </w:r>
          </w:p>
        </w:tc>
        <w:tc>
          <w:tcPr>
            <w:tcW w:w="2127" w:type="dxa"/>
          </w:tcPr>
          <w:p w14:paraId="1B6DB93D" w14:textId="77777777" w:rsidR="00182709" w:rsidRDefault="0044097C">
            <w:r>
              <w:t>..</w:t>
            </w:r>
          </w:p>
        </w:tc>
        <w:tc>
          <w:tcPr>
            <w:tcW w:w="637" w:type="dxa"/>
          </w:tcPr>
          <w:p w14:paraId="5B68291B" w14:textId="77777777" w:rsidR="00182709" w:rsidRDefault="0044097C">
            <w:r>
              <w:t>(406)</w:t>
            </w:r>
          </w:p>
        </w:tc>
        <w:tc>
          <w:tcPr>
            <w:tcW w:w="638" w:type="dxa"/>
          </w:tcPr>
          <w:p w14:paraId="45FDE9BE" w14:textId="77777777" w:rsidR="00182709" w:rsidRDefault="0044097C">
            <w:r>
              <w:t>..</w:t>
            </w:r>
          </w:p>
        </w:tc>
      </w:tr>
      <w:tr w:rsidR="00182709" w14:paraId="21F1CCEC" w14:textId="77777777" w:rsidTr="00ED0570">
        <w:tc>
          <w:tcPr>
            <w:tcW w:w="1347" w:type="dxa"/>
          </w:tcPr>
          <w:p w14:paraId="5CB4DFD5" w14:textId="77777777" w:rsidR="00182709" w:rsidRDefault="00182709">
            <w:pPr>
              <w:jc w:val="left"/>
            </w:pPr>
          </w:p>
        </w:tc>
        <w:tc>
          <w:tcPr>
            <w:tcW w:w="3048" w:type="dxa"/>
          </w:tcPr>
          <w:p w14:paraId="21FBE4FE" w14:textId="77777777" w:rsidR="00182709" w:rsidRDefault="0044097C">
            <w:pPr>
              <w:jc w:val="left"/>
            </w:pPr>
            <w:r>
              <w:t>Settlements</w:t>
            </w:r>
          </w:p>
        </w:tc>
        <w:tc>
          <w:tcPr>
            <w:tcW w:w="1842" w:type="dxa"/>
          </w:tcPr>
          <w:p w14:paraId="578CAC5A" w14:textId="77777777" w:rsidR="00182709" w:rsidRDefault="0044097C">
            <w:r>
              <w:t>(330)</w:t>
            </w:r>
          </w:p>
        </w:tc>
        <w:tc>
          <w:tcPr>
            <w:tcW w:w="2127" w:type="dxa"/>
          </w:tcPr>
          <w:p w14:paraId="4ABCEEDB" w14:textId="77777777" w:rsidR="00182709" w:rsidRDefault="0044097C">
            <w:r>
              <w:t>(173)</w:t>
            </w:r>
          </w:p>
        </w:tc>
        <w:tc>
          <w:tcPr>
            <w:tcW w:w="637" w:type="dxa"/>
          </w:tcPr>
          <w:p w14:paraId="4D24328E" w14:textId="77777777" w:rsidR="00182709" w:rsidRDefault="0044097C">
            <w:r>
              <w:t>(330)</w:t>
            </w:r>
          </w:p>
        </w:tc>
        <w:tc>
          <w:tcPr>
            <w:tcW w:w="638" w:type="dxa"/>
          </w:tcPr>
          <w:p w14:paraId="00B45A1D" w14:textId="77777777" w:rsidR="00182709" w:rsidRDefault="0044097C">
            <w:r>
              <w:t>(173)</w:t>
            </w:r>
          </w:p>
        </w:tc>
      </w:tr>
      <w:tr w:rsidR="00182709" w14:paraId="3688CB3D" w14:textId="77777777" w:rsidTr="00ED0570">
        <w:tc>
          <w:tcPr>
            <w:tcW w:w="1347" w:type="dxa"/>
          </w:tcPr>
          <w:p w14:paraId="544F5107" w14:textId="77777777" w:rsidR="00182709" w:rsidRDefault="00182709">
            <w:pPr>
              <w:jc w:val="left"/>
            </w:pPr>
          </w:p>
        </w:tc>
        <w:tc>
          <w:tcPr>
            <w:tcW w:w="3048" w:type="dxa"/>
          </w:tcPr>
          <w:p w14:paraId="01E44FFA" w14:textId="77777777" w:rsidR="00182709" w:rsidRDefault="0044097C">
            <w:pPr>
              <w:jc w:val="left"/>
            </w:pPr>
            <w:r>
              <w:t>Transfers from other categories</w:t>
            </w:r>
          </w:p>
        </w:tc>
        <w:tc>
          <w:tcPr>
            <w:tcW w:w="1842" w:type="dxa"/>
          </w:tcPr>
          <w:p w14:paraId="2EDCDE1F" w14:textId="77777777" w:rsidR="00182709" w:rsidRDefault="0044097C">
            <w:r>
              <w:t>..</w:t>
            </w:r>
          </w:p>
        </w:tc>
        <w:tc>
          <w:tcPr>
            <w:tcW w:w="2127" w:type="dxa"/>
          </w:tcPr>
          <w:p w14:paraId="6A421CDC" w14:textId="77777777" w:rsidR="00182709" w:rsidRDefault="0044097C">
            <w:r>
              <w:t>..</w:t>
            </w:r>
          </w:p>
        </w:tc>
        <w:tc>
          <w:tcPr>
            <w:tcW w:w="637" w:type="dxa"/>
          </w:tcPr>
          <w:p w14:paraId="055A0D5A" w14:textId="77777777" w:rsidR="00182709" w:rsidRDefault="0044097C">
            <w:r>
              <w:t>..</w:t>
            </w:r>
          </w:p>
        </w:tc>
        <w:tc>
          <w:tcPr>
            <w:tcW w:w="638" w:type="dxa"/>
          </w:tcPr>
          <w:p w14:paraId="6ABED89C" w14:textId="77777777" w:rsidR="00182709" w:rsidRDefault="0044097C">
            <w:r>
              <w:t>..</w:t>
            </w:r>
          </w:p>
        </w:tc>
      </w:tr>
      <w:tr w:rsidR="00182709" w14:paraId="078AC82F" w14:textId="77777777" w:rsidTr="00ED0570">
        <w:tc>
          <w:tcPr>
            <w:tcW w:w="1347" w:type="dxa"/>
          </w:tcPr>
          <w:p w14:paraId="38E9B296" w14:textId="77777777" w:rsidR="00182709" w:rsidRDefault="00182709">
            <w:pPr>
              <w:jc w:val="left"/>
            </w:pPr>
          </w:p>
        </w:tc>
        <w:tc>
          <w:tcPr>
            <w:tcW w:w="3048" w:type="dxa"/>
            <w:tcBorders>
              <w:bottom w:val="single" w:sz="12" w:space="0" w:color="auto"/>
            </w:tcBorders>
          </w:tcPr>
          <w:p w14:paraId="7874ECA5" w14:textId="77777777" w:rsidR="00182709" w:rsidRDefault="0044097C">
            <w:pPr>
              <w:jc w:val="left"/>
            </w:pPr>
            <w:r>
              <w:t xml:space="preserve">Transfers out of Level 3 </w:t>
            </w:r>
            <w:r>
              <w:rPr>
                <w:vertAlign w:val="superscript"/>
              </w:rPr>
              <w:t>(b)</w:t>
            </w:r>
          </w:p>
        </w:tc>
        <w:tc>
          <w:tcPr>
            <w:tcW w:w="1842" w:type="dxa"/>
            <w:tcBorders>
              <w:bottom w:val="single" w:sz="12" w:space="0" w:color="auto"/>
            </w:tcBorders>
          </w:tcPr>
          <w:p w14:paraId="38A77313" w14:textId="77777777" w:rsidR="00182709" w:rsidRDefault="0044097C">
            <w:r>
              <w:t>(37)</w:t>
            </w:r>
          </w:p>
        </w:tc>
        <w:tc>
          <w:tcPr>
            <w:tcW w:w="2127" w:type="dxa"/>
            <w:tcBorders>
              <w:bottom w:val="single" w:sz="12" w:space="0" w:color="auto"/>
            </w:tcBorders>
          </w:tcPr>
          <w:p w14:paraId="0AF66092" w14:textId="77777777" w:rsidR="00182709" w:rsidRDefault="0044097C">
            <w:r>
              <w:t>..</w:t>
            </w:r>
          </w:p>
        </w:tc>
        <w:tc>
          <w:tcPr>
            <w:tcW w:w="637" w:type="dxa"/>
            <w:tcBorders>
              <w:bottom w:val="single" w:sz="12" w:space="0" w:color="auto"/>
            </w:tcBorders>
          </w:tcPr>
          <w:p w14:paraId="28E36B27" w14:textId="77777777" w:rsidR="00182709" w:rsidRDefault="0044097C">
            <w:r>
              <w:t>(37)</w:t>
            </w:r>
          </w:p>
        </w:tc>
        <w:tc>
          <w:tcPr>
            <w:tcW w:w="638" w:type="dxa"/>
            <w:tcBorders>
              <w:bottom w:val="single" w:sz="12" w:space="0" w:color="auto"/>
            </w:tcBorders>
          </w:tcPr>
          <w:p w14:paraId="37926DCB" w14:textId="77777777" w:rsidR="00182709" w:rsidRDefault="0044097C">
            <w:r>
              <w:t>..</w:t>
            </w:r>
          </w:p>
        </w:tc>
      </w:tr>
      <w:tr w:rsidR="00671D55" w14:paraId="424D225E" w14:textId="77777777" w:rsidTr="00ED0570">
        <w:tc>
          <w:tcPr>
            <w:tcW w:w="1347" w:type="dxa"/>
          </w:tcPr>
          <w:p w14:paraId="722E78D4" w14:textId="77777777" w:rsidR="00182709" w:rsidRDefault="00182709">
            <w:pPr>
              <w:jc w:val="left"/>
            </w:pPr>
          </w:p>
        </w:tc>
        <w:tc>
          <w:tcPr>
            <w:tcW w:w="3048" w:type="dxa"/>
          </w:tcPr>
          <w:p w14:paraId="7BDE6156" w14:textId="77777777" w:rsidR="00182709" w:rsidRDefault="0044097C">
            <w:pPr>
              <w:jc w:val="left"/>
            </w:pPr>
            <w:r>
              <w:t>Closing balance</w:t>
            </w:r>
          </w:p>
        </w:tc>
        <w:tc>
          <w:tcPr>
            <w:tcW w:w="1842" w:type="dxa"/>
          </w:tcPr>
          <w:p w14:paraId="1D49180E" w14:textId="77777777" w:rsidR="00182709" w:rsidRDefault="0044097C">
            <w:r>
              <w:rPr>
                <w:b/>
              </w:rPr>
              <w:t>322</w:t>
            </w:r>
          </w:p>
        </w:tc>
        <w:tc>
          <w:tcPr>
            <w:tcW w:w="2127" w:type="dxa"/>
          </w:tcPr>
          <w:p w14:paraId="182C95A6" w14:textId="77777777" w:rsidR="00182709" w:rsidRDefault="0044097C">
            <w:r>
              <w:rPr>
                <w:b/>
              </w:rPr>
              <w:t>538</w:t>
            </w:r>
          </w:p>
        </w:tc>
        <w:tc>
          <w:tcPr>
            <w:tcW w:w="637" w:type="dxa"/>
          </w:tcPr>
          <w:p w14:paraId="0175BC81" w14:textId="77777777" w:rsidR="00182709" w:rsidRDefault="0044097C">
            <w:r>
              <w:rPr>
                <w:b/>
              </w:rPr>
              <w:t>322</w:t>
            </w:r>
          </w:p>
        </w:tc>
        <w:tc>
          <w:tcPr>
            <w:tcW w:w="638" w:type="dxa"/>
          </w:tcPr>
          <w:p w14:paraId="1CCD4103" w14:textId="77777777" w:rsidR="00182709" w:rsidRDefault="0044097C">
            <w:r>
              <w:rPr>
                <w:b/>
              </w:rPr>
              <w:t>538</w:t>
            </w:r>
          </w:p>
        </w:tc>
      </w:tr>
      <w:tr w:rsidR="00671D55" w14:paraId="533BD3C7" w14:textId="77777777" w:rsidTr="00ED0570">
        <w:tc>
          <w:tcPr>
            <w:tcW w:w="1347" w:type="dxa"/>
            <w:tcBorders>
              <w:bottom w:val="nil"/>
            </w:tcBorders>
          </w:tcPr>
          <w:p w14:paraId="074253E6" w14:textId="77777777" w:rsidR="00182709" w:rsidRDefault="00182709">
            <w:pPr>
              <w:jc w:val="left"/>
            </w:pPr>
          </w:p>
        </w:tc>
        <w:tc>
          <w:tcPr>
            <w:tcW w:w="3048" w:type="dxa"/>
          </w:tcPr>
          <w:p w14:paraId="16994123" w14:textId="77777777" w:rsidR="00182709" w:rsidRDefault="0044097C" w:rsidP="00883D73">
            <w:pPr>
              <w:ind w:left="170" w:hanging="170"/>
              <w:jc w:val="left"/>
            </w:pPr>
            <w:r>
              <w:rPr>
                <w:b/>
              </w:rPr>
              <w:t>Total gains or losses for the period included in profit or loss for assets held at the end of the period</w:t>
            </w:r>
          </w:p>
        </w:tc>
        <w:tc>
          <w:tcPr>
            <w:tcW w:w="1842" w:type="dxa"/>
          </w:tcPr>
          <w:p w14:paraId="10649BBF" w14:textId="77777777" w:rsidR="00182709" w:rsidRDefault="0044097C">
            <w:r>
              <w:rPr>
                <w:b/>
              </w:rPr>
              <w:t>..</w:t>
            </w:r>
          </w:p>
        </w:tc>
        <w:tc>
          <w:tcPr>
            <w:tcW w:w="2127" w:type="dxa"/>
          </w:tcPr>
          <w:p w14:paraId="7EB796CF" w14:textId="77777777" w:rsidR="00182709" w:rsidRDefault="0044097C">
            <w:r>
              <w:rPr>
                <w:b/>
              </w:rPr>
              <w:t>..</w:t>
            </w:r>
          </w:p>
        </w:tc>
        <w:tc>
          <w:tcPr>
            <w:tcW w:w="637" w:type="dxa"/>
          </w:tcPr>
          <w:p w14:paraId="64217008" w14:textId="77777777" w:rsidR="00182709" w:rsidRDefault="0044097C">
            <w:r>
              <w:rPr>
                <w:b/>
              </w:rPr>
              <w:t>..</w:t>
            </w:r>
          </w:p>
        </w:tc>
        <w:tc>
          <w:tcPr>
            <w:tcW w:w="638" w:type="dxa"/>
          </w:tcPr>
          <w:p w14:paraId="71D3C9A1" w14:textId="0F63147A" w:rsidR="00182709" w:rsidRDefault="0044097C">
            <w:r>
              <w:rPr>
                <w:b/>
              </w:rPr>
              <w:t>..</w:t>
            </w:r>
          </w:p>
        </w:tc>
      </w:tr>
    </w:tbl>
    <w:p w14:paraId="7FB9125C" w14:textId="77777777" w:rsidR="003719CD" w:rsidRDefault="003719CD" w:rsidP="007D536F">
      <w:pPr>
        <w:pStyle w:val="Note"/>
      </w:pPr>
      <w:r>
        <w:t xml:space="preserve">Notes: </w:t>
      </w:r>
    </w:p>
    <w:p w14:paraId="7A026142" w14:textId="77777777" w:rsidR="003719CD" w:rsidRDefault="003719CD" w:rsidP="007D536F">
      <w:pPr>
        <w:pStyle w:val="Note"/>
      </w:pPr>
      <w:r>
        <w:t>(a)</w:t>
      </w:r>
      <w:r>
        <w:tab/>
      </w:r>
      <w:r w:rsidRPr="00777467">
        <w:rPr>
          <w:rStyle w:val="Guidance"/>
        </w:rPr>
        <w:t>[Where significant transfers have occurred during the period, provide disclosure of such transfers and the reasons thereof.] [AASB 13.93(d)(e)]</w:t>
      </w:r>
    </w:p>
    <w:p w14:paraId="485A1B56" w14:textId="77777777" w:rsidR="003719CD" w:rsidRDefault="003719CD" w:rsidP="007D536F">
      <w:pPr>
        <w:pStyle w:val="Note"/>
      </w:pPr>
      <w:r>
        <w:t>(b)</w:t>
      </w:r>
      <w:r>
        <w:tab/>
        <w:t>This transfer is due to transfer to assets held for sale category.</w:t>
      </w:r>
    </w:p>
    <w:p w14:paraId="3CF82C64" w14:textId="77777777" w:rsidR="003719CD" w:rsidRDefault="003719CD" w:rsidP="00DC39DE">
      <w:r>
        <w:t xml:space="preserve">The fair value of unlisted investments is based on the discounted cash flow technique. Significant inputs in applying this technique include growth rates applied for cash flows and discount rates used. An increase in the growth rates applied to cash flows by 1 per cent would result in a change in the fair value of the unlisted investments by $50 000. An increase in the discount rates used of 50 basis points would result in a decrease in the fair value of the investments by $66 000. </w:t>
      </w:r>
      <w:r w:rsidRPr="00777467">
        <w:rPr>
          <w:rStyle w:val="Reference"/>
        </w:rPr>
        <w:t>[AASB 13.93(h)(i)]</w:t>
      </w:r>
    </w:p>
    <w:p w14:paraId="1E86FFB8" w14:textId="77777777" w:rsidR="007E486C" w:rsidRDefault="007E486C">
      <w:pPr>
        <w:keepLines w:val="0"/>
        <w:rPr>
          <w:b/>
          <w:iCs/>
          <w:color w:val="404040" w:themeColor="text1" w:themeTint="BF"/>
        </w:rPr>
      </w:pPr>
      <w:r>
        <w:br w:type="page"/>
      </w:r>
    </w:p>
    <w:p w14:paraId="17CBCB94" w14:textId="457116DD" w:rsidR="003719CD" w:rsidRDefault="003719CD" w:rsidP="007D536F">
      <w:pPr>
        <w:pStyle w:val="Caption"/>
        <w:rPr>
          <w:rStyle w:val="Reference"/>
        </w:rPr>
      </w:pPr>
      <w:r>
        <w:lastRenderedPageBreak/>
        <w:t xml:space="preserve">Description of Level 3 valuation techniques used and key inputs to valuation </w:t>
      </w:r>
      <w:r w:rsidRPr="00777467">
        <w:rPr>
          <w:rStyle w:val="Reference"/>
        </w:rPr>
        <w:t>[AASB 13.93(d), (h)(ii)]</w:t>
      </w:r>
    </w:p>
    <w:tbl>
      <w:tblPr>
        <w:tblStyle w:val="DTFTextTable"/>
        <w:tblW w:w="9637" w:type="dxa"/>
        <w:tblLayout w:type="fixed"/>
        <w:tblLook w:val="06A0" w:firstRow="1" w:lastRow="0" w:firstColumn="1" w:lastColumn="0" w:noHBand="1" w:noVBand="1"/>
      </w:tblPr>
      <w:tblGrid>
        <w:gridCol w:w="1316"/>
        <w:gridCol w:w="1236"/>
        <w:gridCol w:w="2082"/>
        <w:gridCol w:w="1320"/>
        <w:gridCol w:w="3683"/>
      </w:tblGrid>
      <w:tr w:rsidR="003719CD" w:rsidRPr="007F01DE" w14:paraId="7381DBDB" w14:textId="77777777" w:rsidTr="007E486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6" w:type="dxa"/>
          </w:tcPr>
          <w:p w14:paraId="004D98AE" w14:textId="77777777" w:rsidR="003719CD" w:rsidRPr="007F01DE" w:rsidRDefault="003719CD" w:rsidP="007D536F">
            <w:pPr>
              <w:rPr>
                <w:sz w:val="17"/>
                <w:szCs w:val="17"/>
              </w:rPr>
            </w:pPr>
          </w:p>
        </w:tc>
        <w:tc>
          <w:tcPr>
            <w:tcW w:w="1236" w:type="dxa"/>
          </w:tcPr>
          <w:p w14:paraId="3BE6E942"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Valuation technique </w:t>
            </w:r>
            <w:r w:rsidRPr="007F01DE">
              <w:rPr>
                <w:sz w:val="17"/>
                <w:szCs w:val="17"/>
                <w:vertAlign w:val="superscript"/>
              </w:rPr>
              <w:t>(a)</w:t>
            </w:r>
          </w:p>
        </w:tc>
        <w:tc>
          <w:tcPr>
            <w:tcW w:w="2082" w:type="dxa"/>
          </w:tcPr>
          <w:p w14:paraId="248F5C9A"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Significant unobservable </w:t>
            </w:r>
            <w:r>
              <w:rPr>
                <w:sz w:val="17"/>
                <w:szCs w:val="17"/>
              </w:rPr>
              <w:br/>
            </w:r>
            <w:r w:rsidRPr="007F01DE">
              <w:rPr>
                <w:sz w:val="17"/>
                <w:szCs w:val="17"/>
              </w:rPr>
              <w:t xml:space="preserve">inputs </w:t>
            </w:r>
            <w:r w:rsidRPr="007F01DE">
              <w:rPr>
                <w:sz w:val="17"/>
                <w:szCs w:val="17"/>
                <w:vertAlign w:val="superscript"/>
              </w:rPr>
              <w:t>(a)</w:t>
            </w:r>
          </w:p>
        </w:tc>
        <w:tc>
          <w:tcPr>
            <w:tcW w:w="1320" w:type="dxa"/>
          </w:tcPr>
          <w:p w14:paraId="2AE036B8" w14:textId="77777777" w:rsidR="003719CD" w:rsidRPr="007F01DE" w:rsidRDefault="003719CD" w:rsidP="007D536F">
            <w:pPr>
              <w:jc w:val="cente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Range (weighted average) % </w:t>
            </w:r>
            <w:r w:rsidRPr="007F01DE">
              <w:rPr>
                <w:sz w:val="17"/>
                <w:szCs w:val="17"/>
                <w:vertAlign w:val="superscript"/>
              </w:rPr>
              <w:t>(a)</w:t>
            </w:r>
          </w:p>
        </w:tc>
        <w:tc>
          <w:tcPr>
            <w:tcW w:w="3683" w:type="dxa"/>
          </w:tcPr>
          <w:p w14:paraId="76A00236" w14:textId="77777777" w:rsidR="003719CD" w:rsidRPr="007F01DE" w:rsidRDefault="003719CD" w:rsidP="007D536F">
            <w:pPr>
              <w:cnfStyle w:val="100000000000" w:firstRow="1" w:lastRow="0" w:firstColumn="0" w:lastColumn="0" w:oddVBand="0" w:evenVBand="0" w:oddHBand="0" w:evenHBand="0" w:firstRowFirstColumn="0" w:firstRowLastColumn="0" w:lastRowFirstColumn="0" w:lastRowLastColumn="0"/>
              <w:rPr>
                <w:sz w:val="17"/>
                <w:szCs w:val="17"/>
              </w:rPr>
            </w:pPr>
            <w:r w:rsidRPr="007F01DE">
              <w:rPr>
                <w:sz w:val="17"/>
                <w:szCs w:val="17"/>
              </w:rPr>
              <w:t xml:space="preserve">Sensitivity of fair value measurement to changes in significant unobservable inputs </w:t>
            </w:r>
            <w:r w:rsidRPr="007F01DE">
              <w:rPr>
                <w:sz w:val="17"/>
                <w:szCs w:val="17"/>
                <w:vertAlign w:val="superscript"/>
              </w:rPr>
              <w:t>(b)</w:t>
            </w:r>
          </w:p>
        </w:tc>
      </w:tr>
      <w:tr w:rsidR="003719CD" w:rsidRPr="007F01DE" w14:paraId="03FBB49A"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57DC65B4" w14:textId="15267E9F" w:rsidR="003719CD" w:rsidRPr="007F01DE" w:rsidRDefault="003719CD" w:rsidP="007D536F">
            <w:pPr>
              <w:rPr>
                <w:rFonts w:cstheme="majorHAnsi"/>
                <w:sz w:val="17"/>
                <w:szCs w:val="17"/>
              </w:rPr>
            </w:pPr>
            <w:r w:rsidRPr="007F01DE">
              <w:rPr>
                <w:rFonts w:cstheme="majorHAnsi"/>
                <w:sz w:val="17"/>
                <w:szCs w:val="17"/>
              </w:rPr>
              <w:t>Unlisted securities</w:t>
            </w:r>
          </w:p>
        </w:tc>
        <w:tc>
          <w:tcPr>
            <w:tcW w:w="1236" w:type="dxa"/>
          </w:tcPr>
          <w:p w14:paraId="3D36A20D"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2082" w:type="dxa"/>
          </w:tcPr>
          <w:p w14:paraId="73F3A9A2" w14:textId="1A2F7B6F"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2856114A">
              <w:rPr>
                <w:rFonts w:cstheme="majorBidi"/>
                <w:sz w:val="17"/>
                <w:szCs w:val="17"/>
              </w:rPr>
              <w:t>Long</w:t>
            </w:r>
            <w:r w:rsidR="006626CC">
              <w:rPr>
                <w:rFonts w:cstheme="majorBidi"/>
                <w:sz w:val="17"/>
                <w:szCs w:val="17"/>
              </w:rPr>
              <w:t>-</w:t>
            </w:r>
            <w:r w:rsidRPr="2856114A">
              <w:rPr>
                <w:rFonts w:cstheme="majorBidi"/>
                <w:sz w:val="17"/>
                <w:szCs w:val="17"/>
              </w:rPr>
              <w:t>term</w:t>
            </w:r>
            <w:r w:rsidRPr="007F01DE">
              <w:rPr>
                <w:rFonts w:cstheme="majorHAnsi"/>
                <w:sz w:val="17"/>
                <w:szCs w:val="17"/>
              </w:rPr>
              <w:t xml:space="preserve"> growth rate for cash flows for subsequent years</w:t>
            </w:r>
          </w:p>
        </w:tc>
        <w:tc>
          <w:tcPr>
            <w:tcW w:w="1320" w:type="dxa"/>
          </w:tcPr>
          <w:p w14:paraId="65BF8EAE"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4.4–6.1 </w:t>
            </w:r>
            <w:r>
              <w:rPr>
                <w:rFonts w:cstheme="majorHAnsi"/>
                <w:sz w:val="17"/>
                <w:szCs w:val="17"/>
              </w:rPr>
              <w:br/>
            </w:r>
            <w:r w:rsidRPr="007F01DE">
              <w:rPr>
                <w:rFonts w:cstheme="majorHAnsi"/>
                <w:sz w:val="17"/>
                <w:szCs w:val="17"/>
              </w:rPr>
              <w:t>(5.3)</w:t>
            </w:r>
          </w:p>
        </w:tc>
        <w:tc>
          <w:tcPr>
            <w:tcW w:w="3683" w:type="dxa"/>
          </w:tcPr>
          <w:p w14:paraId="00D19988"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$23 000</w:t>
            </w:r>
          </w:p>
        </w:tc>
      </w:tr>
      <w:tr w:rsidR="003719CD" w:rsidRPr="007F01DE" w14:paraId="767E8425"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6A4C2247" w14:textId="77777777" w:rsidR="003719CD" w:rsidRPr="007F01DE" w:rsidRDefault="003719CD" w:rsidP="007D536F">
            <w:pPr>
              <w:rPr>
                <w:rFonts w:cstheme="majorHAnsi"/>
                <w:sz w:val="17"/>
                <w:szCs w:val="17"/>
              </w:rPr>
            </w:pPr>
          </w:p>
        </w:tc>
        <w:tc>
          <w:tcPr>
            <w:tcW w:w="1236" w:type="dxa"/>
          </w:tcPr>
          <w:p w14:paraId="05CBFB2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7D6FF830"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20" w:type="dxa"/>
          </w:tcPr>
          <w:p w14:paraId="4B913988"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10.0–16.1 </w:t>
            </w:r>
            <w:r>
              <w:rPr>
                <w:rFonts w:cstheme="majorHAnsi"/>
                <w:sz w:val="17"/>
                <w:szCs w:val="17"/>
              </w:rPr>
              <w:br/>
            </w:r>
            <w:r w:rsidRPr="007F01DE">
              <w:rPr>
                <w:rFonts w:cstheme="majorHAnsi"/>
                <w:sz w:val="17"/>
                <w:szCs w:val="17"/>
              </w:rPr>
              <w:t>(14.3)</w:t>
            </w:r>
          </w:p>
        </w:tc>
        <w:tc>
          <w:tcPr>
            <w:tcW w:w="3683" w:type="dxa"/>
          </w:tcPr>
          <w:p w14:paraId="1D58E60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$12 000</w:t>
            </w:r>
          </w:p>
        </w:tc>
      </w:tr>
      <w:tr w:rsidR="003719CD" w:rsidRPr="007F01DE" w14:paraId="14789D9B"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6EA07035" w14:textId="77777777" w:rsidR="003719CD" w:rsidRPr="007F01DE" w:rsidRDefault="003719CD" w:rsidP="007D536F">
            <w:pPr>
              <w:rPr>
                <w:rFonts w:cstheme="majorHAnsi"/>
                <w:sz w:val="17"/>
                <w:szCs w:val="17"/>
              </w:rPr>
            </w:pPr>
          </w:p>
        </w:tc>
        <w:tc>
          <w:tcPr>
            <w:tcW w:w="1236" w:type="dxa"/>
          </w:tcPr>
          <w:p w14:paraId="1BFD895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688A40E4"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20" w:type="dxa"/>
          </w:tcPr>
          <w:p w14:paraId="1AE861D1"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12.1–16.7 </w:t>
            </w:r>
            <w:r>
              <w:rPr>
                <w:rFonts w:cstheme="majorHAnsi"/>
                <w:sz w:val="17"/>
                <w:szCs w:val="17"/>
              </w:rPr>
              <w:br/>
            </w:r>
            <w:r w:rsidRPr="007F01DE">
              <w:rPr>
                <w:rFonts w:cstheme="majorHAnsi"/>
                <w:sz w:val="17"/>
                <w:szCs w:val="17"/>
              </w:rPr>
              <w:t>(13.2)</w:t>
            </w:r>
          </w:p>
        </w:tc>
        <w:tc>
          <w:tcPr>
            <w:tcW w:w="3683" w:type="dxa"/>
          </w:tcPr>
          <w:p w14:paraId="5FFD537C"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$21 000</w:t>
            </w:r>
          </w:p>
        </w:tc>
      </w:tr>
      <w:tr w:rsidR="003719CD" w:rsidRPr="007F01DE" w14:paraId="6DB02B23" w14:textId="77777777" w:rsidTr="007E486C">
        <w:tc>
          <w:tcPr>
            <w:cnfStyle w:val="001000000000" w:firstRow="0" w:lastRow="0" w:firstColumn="1" w:lastColumn="0" w:oddVBand="0" w:evenVBand="0" w:oddHBand="0" w:evenHBand="0" w:firstRowFirstColumn="0" w:firstRowLastColumn="0" w:lastRowFirstColumn="0" w:lastRowLastColumn="0"/>
            <w:tcW w:w="1316" w:type="dxa"/>
            <w:tcBorders>
              <w:bottom w:val="single" w:sz="6" w:space="0" w:color="auto"/>
            </w:tcBorders>
          </w:tcPr>
          <w:p w14:paraId="724309D0" w14:textId="77777777" w:rsidR="003719CD" w:rsidRPr="007F01DE" w:rsidRDefault="003719CD" w:rsidP="007D536F">
            <w:pPr>
              <w:rPr>
                <w:rFonts w:cstheme="majorHAnsi"/>
                <w:sz w:val="17"/>
                <w:szCs w:val="17"/>
              </w:rPr>
            </w:pPr>
          </w:p>
        </w:tc>
        <w:tc>
          <w:tcPr>
            <w:tcW w:w="1236" w:type="dxa"/>
            <w:tcBorders>
              <w:bottom w:val="single" w:sz="6" w:space="0" w:color="auto"/>
            </w:tcBorders>
          </w:tcPr>
          <w:p w14:paraId="10DC6DD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Borders>
              <w:bottom w:val="single" w:sz="6" w:space="0" w:color="auto"/>
            </w:tcBorders>
          </w:tcPr>
          <w:p w14:paraId="736EC5EA"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20" w:type="dxa"/>
            <w:tcBorders>
              <w:bottom w:val="single" w:sz="6" w:space="0" w:color="auto"/>
            </w:tcBorders>
          </w:tcPr>
          <w:p w14:paraId="7BABA906"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5.1–20.2 </w:t>
            </w:r>
            <w:r>
              <w:rPr>
                <w:rFonts w:cstheme="majorHAnsi"/>
                <w:sz w:val="17"/>
                <w:szCs w:val="17"/>
              </w:rPr>
              <w:br/>
            </w:r>
            <w:r w:rsidRPr="007F01DE">
              <w:rPr>
                <w:rFonts w:cstheme="majorHAnsi"/>
                <w:sz w:val="17"/>
                <w:szCs w:val="17"/>
              </w:rPr>
              <w:t>(16.3)</w:t>
            </w:r>
          </w:p>
        </w:tc>
        <w:tc>
          <w:tcPr>
            <w:tcW w:w="3683" w:type="dxa"/>
            <w:tcBorders>
              <w:bottom w:val="single" w:sz="6" w:space="0" w:color="auto"/>
            </w:tcBorders>
          </w:tcPr>
          <w:p w14:paraId="038057AD"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$34 000</w:t>
            </w:r>
          </w:p>
        </w:tc>
      </w:tr>
      <w:tr w:rsidR="003719CD" w:rsidRPr="007F01DE" w14:paraId="3C1AD0BA" w14:textId="77777777" w:rsidTr="007E486C">
        <w:tc>
          <w:tcPr>
            <w:cnfStyle w:val="001000000000" w:firstRow="0" w:lastRow="0" w:firstColumn="1" w:lastColumn="0" w:oddVBand="0" w:evenVBand="0" w:oddHBand="0" w:evenHBand="0" w:firstRowFirstColumn="0" w:firstRowLastColumn="0" w:lastRowFirstColumn="0" w:lastRowLastColumn="0"/>
            <w:tcW w:w="1316" w:type="dxa"/>
            <w:vMerge w:val="restart"/>
            <w:tcBorders>
              <w:top w:val="single" w:sz="6" w:space="0" w:color="auto"/>
            </w:tcBorders>
          </w:tcPr>
          <w:p w14:paraId="1A73CCC3" w14:textId="04A14679" w:rsidR="003719CD" w:rsidRPr="007F01DE" w:rsidRDefault="003719CD" w:rsidP="007D536F">
            <w:pPr>
              <w:rPr>
                <w:rFonts w:cstheme="majorHAnsi"/>
                <w:sz w:val="17"/>
                <w:szCs w:val="17"/>
              </w:rPr>
            </w:pPr>
            <w:r w:rsidRPr="007F01DE">
              <w:rPr>
                <w:rFonts w:cstheme="majorHAnsi"/>
                <w:sz w:val="17"/>
                <w:szCs w:val="17"/>
              </w:rPr>
              <w:t>Discontinued operation – unlisted securities</w:t>
            </w:r>
          </w:p>
        </w:tc>
        <w:tc>
          <w:tcPr>
            <w:tcW w:w="1236" w:type="dxa"/>
            <w:tcBorders>
              <w:top w:val="single" w:sz="6" w:space="0" w:color="auto"/>
              <w:bottom w:val="nil"/>
            </w:tcBorders>
          </w:tcPr>
          <w:p w14:paraId="67830FCE"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Discounted cash flow method</w:t>
            </w:r>
          </w:p>
        </w:tc>
        <w:tc>
          <w:tcPr>
            <w:tcW w:w="2082" w:type="dxa"/>
            <w:tcBorders>
              <w:top w:val="single" w:sz="6" w:space="0" w:color="auto"/>
              <w:bottom w:val="nil"/>
            </w:tcBorders>
          </w:tcPr>
          <w:p w14:paraId="2A02502B" w14:textId="7AB54C6D"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2856114A">
              <w:rPr>
                <w:rFonts w:cstheme="majorBidi"/>
                <w:sz w:val="17"/>
                <w:szCs w:val="17"/>
              </w:rPr>
              <w:t>Long</w:t>
            </w:r>
            <w:r w:rsidR="006626CC">
              <w:rPr>
                <w:rFonts w:cstheme="majorBidi"/>
                <w:sz w:val="17"/>
                <w:szCs w:val="17"/>
              </w:rPr>
              <w:t>-</w:t>
            </w:r>
            <w:r w:rsidRPr="2856114A">
              <w:rPr>
                <w:rFonts w:cstheme="majorBidi"/>
                <w:sz w:val="17"/>
                <w:szCs w:val="17"/>
              </w:rPr>
              <w:t>term</w:t>
            </w:r>
            <w:r w:rsidRPr="007F01DE">
              <w:rPr>
                <w:rFonts w:cstheme="majorHAnsi"/>
                <w:sz w:val="17"/>
                <w:szCs w:val="17"/>
              </w:rPr>
              <w:t xml:space="preserve"> growth rate for cash flows for subsequent years</w:t>
            </w:r>
          </w:p>
        </w:tc>
        <w:tc>
          <w:tcPr>
            <w:tcW w:w="1320" w:type="dxa"/>
            <w:tcBorders>
              <w:top w:val="single" w:sz="6" w:space="0" w:color="auto"/>
              <w:bottom w:val="nil"/>
            </w:tcBorders>
          </w:tcPr>
          <w:p w14:paraId="35CA3E8A"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3.6–4.6 </w:t>
            </w:r>
            <w:r>
              <w:rPr>
                <w:rFonts w:cstheme="majorHAnsi"/>
                <w:sz w:val="17"/>
                <w:szCs w:val="17"/>
              </w:rPr>
              <w:br/>
            </w:r>
            <w:r w:rsidRPr="007F01DE">
              <w:rPr>
                <w:rFonts w:cstheme="majorHAnsi"/>
                <w:sz w:val="17"/>
                <w:szCs w:val="17"/>
              </w:rPr>
              <w:t>(4.1)</w:t>
            </w:r>
          </w:p>
        </w:tc>
        <w:tc>
          <w:tcPr>
            <w:tcW w:w="3683" w:type="dxa"/>
            <w:tcBorders>
              <w:top w:val="single" w:sz="6" w:space="0" w:color="auto"/>
              <w:bottom w:val="nil"/>
            </w:tcBorders>
          </w:tcPr>
          <w:p w14:paraId="2ACE0176"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growth rate would result in an increase or decrease in fair value by $165 000</w:t>
            </w:r>
          </w:p>
        </w:tc>
      </w:tr>
      <w:tr w:rsidR="003719CD" w:rsidRPr="007F01DE" w14:paraId="5CB9ABE0" w14:textId="77777777" w:rsidTr="007E486C">
        <w:tc>
          <w:tcPr>
            <w:cnfStyle w:val="001000000000" w:firstRow="0" w:lastRow="0" w:firstColumn="1" w:lastColumn="0" w:oddVBand="0" w:evenVBand="0" w:oddHBand="0" w:evenHBand="0" w:firstRowFirstColumn="0" w:firstRowLastColumn="0" w:lastRowFirstColumn="0" w:lastRowLastColumn="0"/>
            <w:tcW w:w="1316" w:type="dxa"/>
            <w:vMerge/>
          </w:tcPr>
          <w:p w14:paraId="6BC646A2" w14:textId="77777777" w:rsidR="003719CD" w:rsidRPr="007F01DE" w:rsidRDefault="003719CD" w:rsidP="007D536F">
            <w:pPr>
              <w:rPr>
                <w:rFonts w:cstheme="majorHAnsi"/>
                <w:sz w:val="17"/>
                <w:szCs w:val="17"/>
              </w:rPr>
            </w:pPr>
          </w:p>
        </w:tc>
        <w:tc>
          <w:tcPr>
            <w:tcW w:w="1236" w:type="dxa"/>
            <w:tcBorders>
              <w:top w:val="nil"/>
            </w:tcBorders>
          </w:tcPr>
          <w:p w14:paraId="3090B79A"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Borders>
              <w:top w:val="nil"/>
            </w:tcBorders>
          </w:tcPr>
          <w:p w14:paraId="3AE06770"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Long</w:t>
            </w:r>
            <w:r w:rsidRPr="007F01DE">
              <w:rPr>
                <w:rFonts w:cstheme="majorHAnsi"/>
                <w:sz w:val="17"/>
                <w:szCs w:val="17"/>
              </w:rPr>
              <w:noBreakHyphen/>
              <w:t>term operating margin</w:t>
            </w:r>
          </w:p>
        </w:tc>
        <w:tc>
          <w:tcPr>
            <w:tcW w:w="1320" w:type="dxa"/>
            <w:tcBorders>
              <w:top w:val="nil"/>
            </w:tcBorders>
          </w:tcPr>
          <w:p w14:paraId="4DECFB05"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12.0–21.1 </w:t>
            </w:r>
            <w:r>
              <w:rPr>
                <w:rFonts w:cstheme="majorHAnsi"/>
                <w:sz w:val="17"/>
                <w:szCs w:val="17"/>
              </w:rPr>
              <w:br/>
            </w:r>
            <w:r w:rsidRPr="007F01DE">
              <w:rPr>
                <w:rFonts w:cstheme="majorHAnsi"/>
                <w:sz w:val="17"/>
                <w:szCs w:val="17"/>
              </w:rPr>
              <w:t>(19.3)</w:t>
            </w:r>
          </w:p>
        </w:tc>
        <w:tc>
          <w:tcPr>
            <w:tcW w:w="3683" w:type="dxa"/>
            <w:tcBorders>
              <w:top w:val="nil"/>
            </w:tcBorders>
          </w:tcPr>
          <w:p w14:paraId="1766C5A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margin would result in an increase or decrease in fair value by $97 000</w:t>
            </w:r>
          </w:p>
        </w:tc>
      </w:tr>
      <w:tr w:rsidR="003719CD" w:rsidRPr="007F01DE" w14:paraId="7ED77642" w14:textId="77777777" w:rsidTr="007E486C">
        <w:tc>
          <w:tcPr>
            <w:cnfStyle w:val="001000000000" w:firstRow="0" w:lastRow="0" w:firstColumn="1" w:lastColumn="0" w:oddVBand="0" w:evenVBand="0" w:oddHBand="0" w:evenHBand="0" w:firstRowFirstColumn="0" w:firstRowLastColumn="0" w:lastRowFirstColumn="0" w:lastRowLastColumn="0"/>
            <w:tcW w:w="1316" w:type="dxa"/>
          </w:tcPr>
          <w:p w14:paraId="5A039527" w14:textId="77777777" w:rsidR="003719CD" w:rsidRPr="007F01DE" w:rsidRDefault="003719CD" w:rsidP="007D536F">
            <w:pPr>
              <w:rPr>
                <w:rFonts w:cstheme="majorHAnsi"/>
                <w:sz w:val="17"/>
                <w:szCs w:val="17"/>
              </w:rPr>
            </w:pPr>
          </w:p>
        </w:tc>
        <w:tc>
          <w:tcPr>
            <w:tcW w:w="1236" w:type="dxa"/>
          </w:tcPr>
          <w:p w14:paraId="567DDEC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tcPr>
          <w:p w14:paraId="35D81118"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WACC</w:t>
            </w:r>
          </w:p>
        </w:tc>
        <w:tc>
          <w:tcPr>
            <w:tcW w:w="1320" w:type="dxa"/>
          </w:tcPr>
          <w:p w14:paraId="3D14A447"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10.1–14.7 </w:t>
            </w:r>
            <w:r>
              <w:rPr>
                <w:rFonts w:cstheme="majorHAnsi"/>
                <w:sz w:val="17"/>
                <w:szCs w:val="17"/>
              </w:rPr>
              <w:br/>
            </w:r>
            <w:r w:rsidRPr="007F01DE">
              <w:rPr>
                <w:rFonts w:cstheme="majorHAnsi"/>
                <w:sz w:val="17"/>
                <w:szCs w:val="17"/>
              </w:rPr>
              <w:t>(11.2)</w:t>
            </w:r>
          </w:p>
        </w:tc>
        <w:tc>
          <w:tcPr>
            <w:tcW w:w="3683" w:type="dxa"/>
          </w:tcPr>
          <w:p w14:paraId="5BEF1A79"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WACC would result in a decrease or increase in fair value by $85 000</w:t>
            </w:r>
          </w:p>
        </w:tc>
      </w:tr>
      <w:tr w:rsidR="003719CD" w:rsidRPr="007F01DE" w14:paraId="0DD829FE" w14:textId="77777777" w:rsidTr="007E486C">
        <w:tc>
          <w:tcPr>
            <w:cnfStyle w:val="001000000000" w:firstRow="0" w:lastRow="0" w:firstColumn="1" w:lastColumn="0" w:oddVBand="0" w:evenVBand="0" w:oddHBand="0" w:evenHBand="0" w:firstRowFirstColumn="0" w:firstRowLastColumn="0" w:lastRowFirstColumn="0" w:lastRowLastColumn="0"/>
            <w:tcW w:w="1316" w:type="dxa"/>
            <w:shd w:val="clear" w:color="auto" w:fill="auto"/>
          </w:tcPr>
          <w:p w14:paraId="2AE0CE2B" w14:textId="77777777" w:rsidR="003719CD" w:rsidRPr="007F01DE" w:rsidRDefault="003719CD" w:rsidP="007D536F">
            <w:pPr>
              <w:rPr>
                <w:rFonts w:cstheme="majorHAnsi"/>
                <w:sz w:val="17"/>
                <w:szCs w:val="17"/>
              </w:rPr>
            </w:pPr>
          </w:p>
        </w:tc>
        <w:tc>
          <w:tcPr>
            <w:tcW w:w="1236" w:type="dxa"/>
            <w:shd w:val="clear" w:color="auto" w:fill="auto"/>
          </w:tcPr>
          <w:p w14:paraId="0D521BC5"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p>
        </w:tc>
        <w:tc>
          <w:tcPr>
            <w:tcW w:w="2082" w:type="dxa"/>
            <w:shd w:val="clear" w:color="auto" w:fill="auto"/>
          </w:tcPr>
          <w:p w14:paraId="2200075F"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Discount for lack of marketability</w:t>
            </w:r>
          </w:p>
        </w:tc>
        <w:tc>
          <w:tcPr>
            <w:tcW w:w="1320" w:type="dxa"/>
            <w:shd w:val="clear" w:color="auto" w:fill="auto"/>
          </w:tcPr>
          <w:p w14:paraId="762780D4" w14:textId="77777777" w:rsidR="003719CD" w:rsidRPr="007F01DE" w:rsidRDefault="003719CD" w:rsidP="007D536F">
            <w:pPr>
              <w:jc w:val="cente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 xml:space="preserve">6.1–21.2 </w:t>
            </w:r>
            <w:r>
              <w:rPr>
                <w:rFonts w:cstheme="majorHAnsi"/>
                <w:sz w:val="17"/>
                <w:szCs w:val="17"/>
              </w:rPr>
              <w:br/>
            </w:r>
            <w:r w:rsidRPr="007F01DE">
              <w:rPr>
                <w:rFonts w:cstheme="majorHAnsi"/>
                <w:sz w:val="17"/>
                <w:szCs w:val="17"/>
              </w:rPr>
              <w:t>(17.3)</w:t>
            </w:r>
          </w:p>
        </w:tc>
        <w:tc>
          <w:tcPr>
            <w:tcW w:w="3683" w:type="dxa"/>
            <w:shd w:val="clear" w:color="auto" w:fill="auto"/>
          </w:tcPr>
          <w:p w14:paraId="6486437E" w14:textId="77777777" w:rsidR="003719CD" w:rsidRPr="007F01DE" w:rsidRDefault="003719CD" w:rsidP="007D536F">
            <w:pPr>
              <w:cnfStyle w:val="000000000000" w:firstRow="0" w:lastRow="0" w:firstColumn="0" w:lastColumn="0" w:oddVBand="0" w:evenVBand="0" w:oddHBand="0" w:evenHBand="0" w:firstRowFirstColumn="0" w:firstRowLastColumn="0" w:lastRowFirstColumn="0" w:lastRowLastColumn="0"/>
              <w:rPr>
                <w:rFonts w:cstheme="majorHAnsi"/>
                <w:sz w:val="17"/>
                <w:szCs w:val="17"/>
              </w:rPr>
            </w:pPr>
            <w:r w:rsidRPr="007F01DE">
              <w:rPr>
                <w:rFonts w:cstheme="majorHAnsi"/>
                <w:sz w:val="17"/>
                <w:szCs w:val="17"/>
              </w:rPr>
              <w:t>1 per cent increase or decrease in the discount would result in a decrease or increase in fair value by $20 000</w:t>
            </w:r>
          </w:p>
        </w:tc>
      </w:tr>
    </w:tbl>
    <w:p w14:paraId="38CFBA5C" w14:textId="77777777" w:rsidR="003719CD" w:rsidRDefault="003719CD" w:rsidP="007D536F">
      <w:pPr>
        <w:pStyle w:val="Note"/>
        <w:ind w:left="0" w:firstLine="0"/>
      </w:pPr>
      <w:r>
        <w:t>Notes:</w:t>
      </w:r>
    </w:p>
    <w:p w14:paraId="142D2109" w14:textId="77777777" w:rsidR="003719CD" w:rsidRDefault="003719CD" w:rsidP="007D536F">
      <w:pPr>
        <w:pStyle w:val="Note"/>
      </w:pPr>
      <w:r>
        <w:t>(a)</w:t>
      </w:r>
      <w:r>
        <w:tab/>
        <w:t>Illustrations on the valuation techniques, significant unobservable inputs and the related quantitative range of those inputs are indicative and should not be directly used without consultation with entities’ independent valuer.</w:t>
      </w:r>
    </w:p>
    <w:p w14:paraId="2258FFEF" w14:textId="77777777" w:rsidR="003719CD" w:rsidRDefault="003719CD" w:rsidP="007D536F">
      <w:pPr>
        <w:pStyle w:val="Note"/>
      </w:pPr>
      <w:r>
        <w:t>(b)</w:t>
      </w:r>
      <w:r>
        <w:tab/>
        <w:t>In addition to providing a narrative description of the sensitivity of recurring Level 3 fair value measurements to changes in the unobservable inputs used, entities are required to describe any interrelationships between the unobservable inputs and discuss how they might magnify or mitigate the effect of changes on the fair value measurement. For example, if WACC has increased due to changes in assumptions used in the risk profile, we need to examine the impact of this change on the long-term growth rates and operating margins, and whether the change impacts the assumptions used and sensitivity of the inputs to fair value.</w:t>
      </w:r>
    </w:p>
    <w:p w14:paraId="4B5F2700" w14:textId="77777777" w:rsidR="003719CD" w:rsidRDefault="003719CD" w:rsidP="007D536F"/>
    <w:p w14:paraId="03D1D64C" w14:textId="77777777" w:rsidR="007E486C" w:rsidRDefault="007E486C">
      <w:pPr>
        <w:keepLines w:val="0"/>
        <w:rPr>
          <w:rFonts w:asciiTheme="majorHAnsi" w:eastAsiaTheme="majorEastAsia" w:hAnsiTheme="majorHAnsi" w:cstheme="majorBidi"/>
          <w:b/>
          <w:bCs/>
          <w:iCs/>
          <w:color w:val="FFFFFF" w:themeColor="background1"/>
          <w:sz w:val="20"/>
          <w:szCs w:val="24"/>
        </w:rPr>
      </w:pPr>
      <w:r>
        <w:br w:type="page"/>
      </w:r>
    </w:p>
    <w:p w14:paraId="1C68072A" w14:textId="18014572" w:rsidR="003719CD" w:rsidRDefault="003719CD" w:rsidP="007D536F">
      <w:pPr>
        <w:pStyle w:val="GuidanceBlockHeading"/>
      </w:pPr>
      <w:r>
        <w:lastRenderedPageBreak/>
        <w:t>Guidance – Fair value determination of financial assets and liabilities</w:t>
      </w:r>
    </w:p>
    <w:p w14:paraId="5DE799C4" w14:textId="77777777" w:rsidR="003719CD" w:rsidRDefault="003719CD" w:rsidP="007D536F">
      <w:pPr>
        <w:pStyle w:val="GuidanceHeading"/>
      </w:pPr>
      <w:r>
        <w:t>Carrying amount and fair value disclosures [AASB 7.25 and AASB 13.93]</w:t>
      </w:r>
    </w:p>
    <w:p w14:paraId="1902E74C" w14:textId="77777777" w:rsidR="003719CD" w:rsidRPr="00777467" w:rsidRDefault="003719CD" w:rsidP="007D536F">
      <w:pPr>
        <w:rPr>
          <w:rStyle w:val="Guidance"/>
        </w:rPr>
      </w:pPr>
      <w:r w:rsidRPr="00777467">
        <w:rPr>
          <w:rStyle w:val="Guidance"/>
        </w:rPr>
        <w:t>If management considers that the carrying amount of contractual financial assets and liabilities recorded in the financial statements does not approximate their fair values, or as set out in AASB 7.29, for each class of financial instruments, an entity shall disclose the fair value of that class of assets and liabilities in a way that permits it to be compared with the corresponding carrying amount in the balance sheet (AASB 139 provides guidance for determining fair value). In addition, for each class of financial instrument that is recognised on the balance sheet at fair value, the entity shall disclose:</w:t>
      </w:r>
    </w:p>
    <w:p w14:paraId="1F700216" w14:textId="32230A5D" w:rsidR="003719CD" w:rsidRPr="00777467" w:rsidRDefault="003719CD" w:rsidP="00310F12">
      <w:pPr>
        <w:pStyle w:val="ListBullet"/>
        <w:rPr>
          <w:rStyle w:val="Guidance"/>
        </w:rPr>
      </w:pPr>
      <w:r w:rsidRPr="00777467">
        <w:rPr>
          <w:rStyle w:val="Guidance"/>
        </w:rPr>
        <w:t xml:space="preserve">the level in the fair value hierarchy in accordance with the levels defined in AASB 13.76-90 </w:t>
      </w:r>
      <w:r w:rsidRPr="00777467">
        <w:rPr>
          <w:rStyle w:val="Reference"/>
        </w:rPr>
        <w:t>[AASB 13.93(b)]</w:t>
      </w:r>
    </w:p>
    <w:p w14:paraId="270CD7AA" w14:textId="055167F5" w:rsidR="003719CD" w:rsidRPr="00777467" w:rsidRDefault="003719CD" w:rsidP="00310F12">
      <w:pPr>
        <w:pStyle w:val="ListBullet"/>
        <w:rPr>
          <w:rStyle w:val="Guidance"/>
        </w:rPr>
      </w:pPr>
      <w:r w:rsidRPr="00777467">
        <w:rPr>
          <w:rStyle w:val="Guidance"/>
        </w:rPr>
        <w:t xml:space="preserve">any significant transfers in and transfers out between Level 1 and Level 2 of the fair value hierarchy and the reasons for those transfers. Transfers into each level shall be disclosed and discussed separately from transfers out of each level </w:t>
      </w:r>
      <w:r w:rsidRPr="00A57232">
        <w:rPr>
          <w:rStyle w:val="Reference"/>
        </w:rPr>
        <w:t>[AASB 13.93(c)]</w:t>
      </w:r>
    </w:p>
    <w:p w14:paraId="32BA6E26" w14:textId="7F2FF495" w:rsidR="003719CD" w:rsidRPr="00777467" w:rsidRDefault="003719CD" w:rsidP="00310F12">
      <w:pPr>
        <w:pStyle w:val="ListBullet"/>
        <w:rPr>
          <w:rStyle w:val="Guidance"/>
        </w:rPr>
      </w:pPr>
      <w:r w:rsidRPr="00777467">
        <w:rPr>
          <w:rStyle w:val="Guidance"/>
        </w:rPr>
        <w:t>for Level 3 of the fair value hierarchy, a reconciliation of opening balances to closing balances shown separately</w:t>
      </w:r>
      <w:r w:rsidR="00CB4981">
        <w:rPr>
          <w:rStyle w:val="Guidance"/>
        </w:rPr>
        <w:t>, including</w:t>
      </w:r>
      <w:r w:rsidRPr="00777467">
        <w:rPr>
          <w:rStyle w:val="Guidance"/>
        </w:rPr>
        <w:t>:</w:t>
      </w:r>
    </w:p>
    <w:p w14:paraId="35207608" w14:textId="1F0DD123" w:rsidR="003719CD" w:rsidRPr="00777467" w:rsidRDefault="003719CD" w:rsidP="00D834E9">
      <w:pPr>
        <w:pStyle w:val="ListBullet2"/>
        <w:rPr>
          <w:rStyle w:val="Guidance"/>
        </w:rPr>
      </w:pPr>
      <w:r w:rsidRPr="00777467">
        <w:rPr>
          <w:rStyle w:val="Guidance"/>
        </w:rPr>
        <w:t>total gains or losses for the period recognised in profit or loss, and a description of where they are presented in the comprehensive operating statement (if presented)</w:t>
      </w:r>
    </w:p>
    <w:p w14:paraId="395CDCA9" w14:textId="701CE8DB" w:rsidR="003719CD" w:rsidRPr="00777467" w:rsidRDefault="003719CD" w:rsidP="00D834E9">
      <w:pPr>
        <w:pStyle w:val="ListBullet2"/>
        <w:rPr>
          <w:rStyle w:val="Guidance"/>
        </w:rPr>
      </w:pPr>
      <w:r w:rsidRPr="00777467">
        <w:rPr>
          <w:rStyle w:val="Guidance"/>
        </w:rPr>
        <w:t>total gains or losses recognised in other comprehensive income</w:t>
      </w:r>
    </w:p>
    <w:p w14:paraId="3A8A0B5F" w14:textId="201DFBCB" w:rsidR="003719CD" w:rsidRPr="00777467" w:rsidRDefault="003719CD" w:rsidP="00D834E9">
      <w:pPr>
        <w:pStyle w:val="ListBullet2"/>
        <w:rPr>
          <w:rStyle w:val="Guidance"/>
        </w:rPr>
      </w:pPr>
      <w:r w:rsidRPr="00777467">
        <w:rPr>
          <w:rStyle w:val="Guidance"/>
        </w:rPr>
        <w:t xml:space="preserve">purchases, sales, issues and settlements (each type of movement disclosed separately) </w:t>
      </w:r>
    </w:p>
    <w:p w14:paraId="5CE31C64" w14:textId="0FE9C3A4" w:rsidR="003719CD" w:rsidRPr="00777467" w:rsidRDefault="003719CD" w:rsidP="00D834E9">
      <w:pPr>
        <w:pStyle w:val="ListBullet2"/>
        <w:rPr>
          <w:rStyle w:val="Guidance"/>
        </w:rPr>
      </w:pPr>
      <w:r w:rsidRPr="00777467">
        <w:rPr>
          <w:rStyle w:val="Guidance"/>
        </w:rPr>
        <w:t>transfers into or out of Level 3 (e.g. transfers attributable to changes in the observability of market data) and the reasons for those transfers. For significant transfers, transfers into Level 3 shall be disclosed and discussed separately from transfers out of Level 3</w:t>
      </w:r>
      <w:r w:rsidR="002912E0">
        <w:rPr>
          <w:rStyle w:val="Guidance"/>
        </w:rPr>
        <w:t>.</w:t>
      </w:r>
      <w:r w:rsidRPr="00777467">
        <w:rPr>
          <w:rStyle w:val="Guidance"/>
        </w:rPr>
        <w:t xml:space="preserve"> </w:t>
      </w:r>
      <w:r w:rsidRPr="00A57232">
        <w:rPr>
          <w:rStyle w:val="Reference"/>
        </w:rPr>
        <w:t>[AASB 13.93(e)]</w:t>
      </w:r>
    </w:p>
    <w:p w14:paraId="0FC52337" w14:textId="21A62D32" w:rsidR="003719CD" w:rsidRPr="00777467" w:rsidRDefault="003719CD" w:rsidP="00310F12">
      <w:pPr>
        <w:pStyle w:val="ListBullet"/>
        <w:rPr>
          <w:rStyle w:val="Guidance"/>
        </w:rPr>
      </w:pPr>
      <w:r w:rsidRPr="00777467">
        <w:rPr>
          <w:rStyle w:val="Guidance"/>
        </w:rPr>
        <w:t>the amount of total gains or losses for the period that are recognised in profit or loss that are attributable to gains or losses relating to those assets and liabilities held at the end of the reporting period and a description of where those gains or losses are presented in the comprehensive statement (if presented)</w:t>
      </w:r>
      <w:r w:rsidR="00E84F28">
        <w:rPr>
          <w:rStyle w:val="Guidance"/>
        </w:rPr>
        <w:t xml:space="preserve"> </w:t>
      </w:r>
      <w:r w:rsidRPr="00A57232">
        <w:rPr>
          <w:rStyle w:val="Reference"/>
        </w:rPr>
        <w:t>[AASB 13.93(f)]</w:t>
      </w:r>
    </w:p>
    <w:p w14:paraId="18E4A443" w14:textId="77777777" w:rsidR="003719CD" w:rsidRPr="00777467" w:rsidRDefault="003719CD" w:rsidP="00310F12">
      <w:pPr>
        <w:pStyle w:val="ListBullet"/>
        <w:rPr>
          <w:rStyle w:val="Guidance"/>
        </w:rPr>
      </w:pPr>
      <w:r w:rsidRPr="00777467">
        <w:rPr>
          <w:rStyle w:val="Guidance"/>
        </w:rPr>
        <w:t xml:space="preserve">if changing one or more of the inputs to reasonably possible alternative assumptions would change fair value significantly, the entity shall state that fact, disclose the effect of those changes and how the effect was calculated. </w:t>
      </w:r>
      <w:r w:rsidRPr="00A57232">
        <w:rPr>
          <w:rStyle w:val="Reference"/>
        </w:rPr>
        <w:t>[AASB 13.93(h)(ii)]</w:t>
      </w:r>
    </w:p>
    <w:p w14:paraId="167E696C" w14:textId="77777777" w:rsidR="003719CD" w:rsidRPr="00777467" w:rsidRDefault="003719CD" w:rsidP="007D536F">
      <w:pPr>
        <w:rPr>
          <w:rStyle w:val="Guidance"/>
        </w:rPr>
      </w:pPr>
      <w:r w:rsidRPr="00777467">
        <w:rPr>
          <w:rStyle w:val="Guidance"/>
        </w:rPr>
        <w:t xml:space="preserve">The level in the fair value hierarchy in which the fair value measurement is categorised in its entirety shall be determined based on the lowest level input that is significant to the fair value measurement in its entirety. For this purpose, the significance of an input is assessed against the fair value measurement in its entirety. If a fair value measurement uses observable inputs that require significant adjustment based on unobservable inputs, that measurement is a Level 3 measurement. Assessing the significance of a particular input to the fair value measurement in its entirety requires judgement, considering factors specific to the asset or liability. </w:t>
      </w:r>
      <w:r w:rsidRPr="00A57232">
        <w:rPr>
          <w:rStyle w:val="Reference"/>
        </w:rPr>
        <w:t>[AASB 13.73]</w:t>
      </w:r>
    </w:p>
    <w:p w14:paraId="0A9F07DD" w14:textId="77777777" w:rsidR="003719CD" w:rsidRPr="00777467" w:rsidRDefault="003719CD" w:rsidP="007D536F">
      <w:pPr>
        <w:rPr>
          <w:rStyle w:val="Guidance"/>
        </w:rPr>
      </w:pPr>
      <w:r w:rsidRPr="00777467">
        <w:rPr>
          <w:rStyle w:val="Guidance"/>
        </w:rPr>
        <w:t>A department shall present the quantitative fair value disclosures stated above in tabular format unless another format is more appropriate.</w:t>
      </w:r>
    </w:p>
    <w:p w14:paraId="11FD6289" w14:textId="77777777" w:rsidR="003719CD" w:rsidRPr="00A57232" w:rsidRDefault="003719CD" w:rsidP="007D536F">
      <w:pPr>
        <w:pStyle w:val="GuidanceHeading"/>
        <w:rPr>
          <w:rStyle w:val="Guidance"/>
        </w:rPr>
      </w:pPr>
      <w:r w:rsidRPr="00A57232">
        <w:rPr>
          <w:rStyle w:val="Guidance"/>
        </w:rPr>
        <w:t xml:space="preserve">Fair value determined using valuation techniques </w:t>
      </w:r>
      <w:r w:rsidRPr="00A57232">
        <w:rPr>
          <w:rStyle w:val="Reference"/>
        </w:rPr>
        <w:t>[AASB 13.93(e)]</w:t>
      </w:r>
    </w:p>
    <w:p w14:paraId="40B9CC8E" w14:textId="77777777" w:rsidR="003719CD" w:rsidRPr="00777467" w:rsidRDefault="003719CD" w:rsidP="007D536F">
      <w:pPr>
        <w:rPr>
          <w:rStyle w:val="Guidance"/>
        </w:rPr>
      </w:pPr>
      <w:r w:rsidRPr="00777467">
        <w:rPr>
          <w:rStyle w:val="Guidance"/>
        </w:rPr>
        <w:t>The fair value hierarchy and the reconciliation of those financial instruments whose fair value is measured based on unobservable inputs (Level 3) are required by class. Class of financial instrument is distinct from the categories of financial instruments specified in AASB 139 (which determines how financial instruments are measured and where changes in the fair value are recognised). The class of financial instrument is determined by the entity based on whether the financial instruments have similar characteristics, such as the valuation techniques, inputs or other matters.</w:t>
      </w:r>
    </w:p>
    <w:p w14:paraId="32E93290" w14:textId="7F209893" w:rsidR="003719CD" w:rsidRPr="00777467" w:rsidRDefault="003719CD" w:rsidP="007D536F">
      <w:pPr>
        <w:rPr>
          <w:rStyle w:val="Guidance"/>
        </w:rPr>
      </w:pPr>
      <w:r w:rsidRPr="00777467">
        <w:rPr>
          <w:rStyle w:val="Guidance"/>
        </w:rPr>
        <w:t xml:space="preserve">Entities are required to disclose the effect of a reasonably possible alternative assumption if this would change the fair value significantly. Disclosures about the effect of reasonably possible alternative unobservable inputs is likely to provide useful and transparent information if the analysis is provided at a disaggregated level. </w:t>
      </w:r>
      <w:r w:rsidRPr="00A57232">
        <w:rPr>
          <w:rStyle w:val="Reference"/>
        </w:rPr>
        <w:t>[AASB 7.27B(e)]</w:t>
      </w:r>
    </w:p>
    <w:p w14:paraId="37458306" w14:textId="77777777" w:rsidR="003719CD" w:rsidRPr="00777467" w:rsidRDefault="003719CD" w:rsidP="007D536F">
      <w:pPr>
        <w:rPr>
          <w:rStyle w:val="Guidance"/>
        </w:rPr>
      </w:pPr>
      <w:r w:rsidRPr="00777467">
        <w:rPr>
          <w:rStyle w:val="Guidance"/>
        </w:rPr>
        <w:t xml:space="preserve">Disclosures about the effect of reasonably possible alternative unobservable inputs could be enhanced through disclosure of how the effect has been calculated, allowing users to understand better the disclosure and what it represents. Entities might consider explaining: </w:t>
      </w:r>
    </w:p>
    <w:p w14:paraId="00C04650" w14:textId="208A2F33" w:rsidR="003719CD" w:rsidRPr="00777467" w:rsidRDefault="003719CD" w:rsidP="00310F12">
      <w:pPr>
        <w:pStyle w:val="ListBullet"/>
        <w:rPr>
          <w:rStyle w:val="Guidance"/>
        </w:rPr>
      </w:pPr>
      <w:r w:rsidRPr="00777467">
        <w:rPr>
          <w:rStyle w:val="Guidance"/>
        </w:rPr>
        <w:t>what the entity regards as a reasonably possible alternative assumption</w:t>
      </w:r>
    </w:p>
    <w:p w14:paraId="6B562953" w14:textId="70416B4D" w:rsidR="003719CD" w:rsidRPr="00777467" w:rsidRDefault="003719CD" w:rsidP="00310F12">
      <w:pPr>
        <w:pStyle w:val="ListBullet"/>
        <w:rPr>
          <w:rStyle w:val="Guidance"/>
        </w:rPr>
      </w:pPr>
      <w:r w:rsidRPr="00777467">
        <w:rPr>
          <w:rStyle w:val="Guidance"/>
        </w:rPr>
        <w:t>how the entity calculated the effect disclosed</w:t>
      </w:r>
    </w:p>
    <w:p w14:paraId="637C532E" w14:textId="18BE5685" w:rsidR="003719CD" w:rsidRPr="00777467" w:rsidRDefault="003719CD" w:rsidP="00310F12">
      <w:pPr>
        <w:pStyle w:val="ListBullet"/>
        <w:rPr>
          <w:rStyle w:val="Guidance"/>
        </w:rPr>
      </w:pPr>
      <w:r w:rsidRPr="00777467">
        <w:rPr>
          <w:rStyle w:val="Guidance"/>
        </w:rPr>
        <w:t>whether the disclosure takes into account any offsetting or hedged positions</w:t>
      </w:r>
    </w:p>
    <w:p w14:paraId="33900505" w14:textId="77777777" w:rsidR="003719CD" w:rsidRPr="00777467" w:rsidRDefault="003719CD" w:rsidP="00310F12">
      <w:pPr>
        <w:pStyle w:val="ListBullet"/>
        <w:rPr>
          <w:rStyle w:val="Guidance"/>
        </w:rPr>
      </w:pPr>
      <w:r w:rsidRPr="00777467">
        <w:rPr>
          <w:rStyle w:val="Guidance"/>
        </w:rPr>
        <w:t>whether the effect disclosed represents the movement in a single input or a movement in all unobservable inputs.</w:t>
      </w:r>
    </w:p>
    <w:p w14:paraId="371D6D94" w14:textId="77777777" w:rsidR="003719CD" w:rsidRPr="00777467" w:rsidRDefault="003719CD" w:rsidP="007D536F">
      <w:pPr>
        <w:pStyle w:val="GuidanceHeading"/>
        <w:rPr>
          <w:rStyle w:val="Guidance"/>
        </w:rPr>
      </w:pPr>
      <w:r w:rsidRPr="00777467">
        <w:rPr>
          <w:rStyle w:val="Guidance"/>
        </w:rPr>
        <w:lastRenderedPageBreak/>
        <w:t>Fair value Level 3 financial asset and liability disclosure</w:t>
      </w:r>
    </w:p>
    <w:p w14:paraId="7F019BA8" w14:textId="5909F55F" w:rsidR="003719CD" w:rsidRPr="00777467" w:rsidRDefault="003719CD" w:rsidP="007D536F">
      <w:pPr>
        <w:keepNext/>
        <w:rPr>
          <w:rStyle w:val="Guidance"/>
        </w:rPr>
      </w:pPr>
      <w:r w:rsidRPr="00777467">
        <w:rPr>
          <w:rStyle w:val="Guidance"/>
        </w:rPr>
        <w:t xml:space="preserve">AASB 13.93(h)(ii) requires a quantitative sensitivity analysis for financial assets and financial liabilities that are measured at fair value on a recurring basis. For all other recurring fair value measurements that are categorised within Level 3 of the fair value hierarchy, an entity is required </w:t>
      </w:r>
      <w:r w:rsidR="003C36E6">
        <w:rPr>
          <w:rStyle w:val="Guidance"/>
        </w:rPr>
        <w:t>to</w:t>
      </w:r>
      <w:r w:rsidRPr="00777467">
        <w:rPr>
          <w:rStyle w:val="Guidance"/>
        </w:rPr>
        <w:t>:</w:t>
      </w:r>
    </w:p>
    <w:p w14:paraId="7BBD7483" w14:textId="077A42C6" w:rsidR="003719CD" w:rsidRPr="00777467" w:rsidRDefault="002753A1" w:rsidP="00310F12">
      <w:pPr>
        <w:pStyle w:val="ListBullet"/>
        <w:rPr>
          <w:rStyle w:val="Guidance"/>
        </w:rPr>
      </w:pPr>
      <w:r>
        <w:rPr>
          <w:rStyle w:val="Guidance"/>
        </w:rPr>
        <w:t>s</w:t>
      </w:r>
      <w:r w:rsidR="003C36E6">
        <w:rPr>
          <w:rStyle w:val="Guidance"/>
        </w:rPr>
        <w:t xml:space="preserve">tate </w:t>
      </w:r>
      <w:r w:rsidR="003719CD" w:rsidRPr="00777467">
        <w:rPr>
          <w:rStyle w:val="Guidance"/>
        </w:rPr>
        <w:t>if changing one or more of the unobservable inputs to reflect reasonably possible alternative assumptions would change fair value significantly</w:t>
      </w:r>
      <w:r>
        <w:rPr>
          <w:rStyle w:val="Guidance"/>
        </w:rPr>
        <w:t xml:space="preserve"> and</w:t>
      </w:r>
      <w:r w:rsidR="003719CD" w:rsidRPr="00777467">
        <w:rPr>
          <w:rStyle w:val="Guidance"/>
        </w:rPr>
        <w:t xml:space="preserve"> disclose the effect of those changes </w:t>
      </w:r>
    </w:p>
    <w:p w14:paraId="2E2BC8CA" w14:textId="2643DA92" w:rsidR="003719CD" w:rsidRPr="00777467" w:rsidRDefault="003719CD" w:rsidP="00310F12">
      <w:pPr>
        <w:pStyle w:val="ListBullet"/>
        <w:rPr>
          <w:rStyle w:val="Guidance"/>
        </w:rPr>
      </w:pPr>
      <w:r w:rsidRPr="00777467">
        <w:rPr>
          <w:rStyle w:val="Guidance"/>
        </w:rPr>
        <w:t>disclose how the effect of a change to reflect a reasonably possible alternative assumption was calculated. For that purpose, significance shall be judged with respect to profit or loss, and total assets or total liabilities, or, when changes in fair value are recognised in other comprehensive income, total equity.</w:t>
      </w:r>
    </w:p>
    <w:p w14:paraId="60C2C951" w14:textId="77777777" w:rsidR="003719CD" w:rsidRPr="00777467" w:rsidRDefault="003719CD" w:rsidP="007D536F">
      <w:pPr>
        <w:pStyle w:val="GuidanceHeading"/>
        <w:rPr>
          <w:rStyle w:val="Guidance"/>
        </w:rPr>
      </w:pPr>
      <w:r w:rsidRPr="00777467">
        <w:rPr>
          <w:rStyle w:val="Guidance"/>
        </w:rPr>
        <w:t xml:space="preserve">Exceptions to fair value disclosures </w:t>
      </w:r>
      <w:r w:rsidRPr="00A57232">
        <w:rPr>
          <w:rStyle w:val="Reference"/>
        </w:rPr>
        <w:t>[AASB 7.29, 30]</w:t>
      </w:r>
    </w:p>
    <w:p w14:paraId="2BB223C2" w14:textId="77777777" w:rsidR="003719CD" w:rsidRPr="00777467" w:rsidRDefault="003719CD" w:rsidP="007D536F">
      <w:pPr>
        <w:keepNext/>
        <w:rPr>
          <w:rStyle w:val="Guidance"/>
        </w:rPr>
      </w:pPr>
      <w:r w:rsidRPr="00777467">
        <w:rPr>
          <w:rStyle w:val="Guidance"/>
        </w:rPr>
        <w:t>Disclosures of fair value are not required if:</w:t>
      </w:r>
    </w:p>
    <w:p w14:paraId="7EE8ED0A" w14:textId="2A5E176A" w:rsidR="00BC6B82" w:rsidRPr="00777467" w:rsidRDefault="003719CD" w:rsidP="00367D84">
      <w:pPr>
        <w:pStyle w:val="ListAlpha"/>
        <w:numPr>
          <w:ilvl w:val="0"/>
          <w:numId w:val="11"/>
        </w:numPr>
        <w:rPr>
          <w:rStyle w:val="Guidance"/>
        </w:rPr>
      </w:pPr>
      <w:r w:rsidRPr="00777467">
        <w:rPr>
          <w:rStyle w:val="Guidance"/>
        </w:rPr>
        <w:t>the carrying amount is a reasonable approximation of fair value</w:t>
      </w:r>
    </w:p>
    <w:p w14:paraId="0B7BD3A2" w14:textId="55515935" w:rsidR="00BC6B82" w:rsidRPr="00777467" w:rsidRDefault="003719CD" w:rsidP="00432865">
      <w:pPr>
        <w:pStyle w:val="ListAlpha"/>
        <w:numPr>
          <w:ilvl w:val="0"/>
          <w:numId w:val="11"/>
        </w:numPr>
        <w:rPr>
          <w:rStyle w:val="Guidance"/>
        </w:rPr>
      </w:pPr>
      <w:r w:rsidRPr="00777467">
        <w:rPr>
          <w:rStyle w:val="Guidance"/>
        </w:rPr>
        <w:t>it is an investment in equity instruments that do not have a quoted market price in an active market, or derivatives linked to such equity instruments, that is measured at cost in accordance with AASB 139 because its fair value cannot be measured reliably</w:t>
      </w:r>
    </w:p>
    <w:p w14:paraId="12B87191" w14:textId="77777777" w:rsidR="003719CD" w:rsidRPr="00777467" w:rsidRDefault="003719CD" w:rsidP="00432865">
      <w:pPr>
        <w:pStyle w:val="ListAlpha"/>
        <w:numPr>
          <w:ilvl w:val="0"/>
          <w:numId w:val="11"/>
        </w:numPr>
        <w:rPr>
          <w:rStyle w:val="Guidance"/>
        </w:rPr>
      </w:pPr>
      <w:r w:rsidRPr="00777467">
        <w:rPr>
          <w:rStyle w:val="Guidance"/>
        </w:rPr>
        <w:t>it is a contract containing a discretionary participation feature and the fair value of that feature cannot be measured reliably.</w:t>
      </w:r>
    </w:p>
    <w:p w14:paraId="48E99227" w14:textId="77777777" w:rsidR="003719CD" w:rsidRPr="00777467" w:rsidRDefault="003719CD" w:rsidP="007D536F">
      <w:pPr>
        <w:rPr>
          <w:rStyle w:val="Guidance"/>
        </w:rPr>
      </w:pPr>
      <w:r w:rsidRPr="00777467">
        <w:rPr>
          <w:rStyle w:val="Guidance"/>
        </w:rPr>
        <w:t>In the cases of (b) and (c) above, an entity shall disclose information to help users of the financial statement make their own judgements about the extent of possible differences between the carrying amount of those financial instrument assets or liabilities and their fair value, including:</w:t>
      </w:r>
    </w:p>
    <w:p w14:paraId="4398D123" w14:textId="14928F49" w:rsidR="003719CD" w:rsidRPr="00777467" w:rsidRDefault="003719CD" w:rsidP="00310F12">
      <w:pPr>
        <w:pStyle w:val="ListBullet"/>
        <w:rPr>
          <w:rStyle w:val="Guidance"/>
        </w:rPr>
      </w:pPr>
      <w:r w:rsidRPr="00777467">
        <w:rPr>
          <w:rStyle w:val="Guidance"/>
        </w:rPr>
        <w:t>the fact that fair value information has not been disclosed for these instruments because their fair value cannot be measured reliably</w:t>
      </w:r>
    </w:p>
    <w:p w14:paraId="589C05ED" w14:textId="558F93C6" w:rsidR="003719CD" w:rsidRPr="00777467" w:rsidRDefault="003719CD" w:rsidP="00310F12">
      <w:pPr>
        <w:pStyle w:val="ListBullet"/>
        <w:rPr>
          <w:rStyle w:val="Guidance"/>
        </w:rPr>
      </w:pPr>
      <w:r w:rsidRPr="00777467">
        <w:rPr>
          <w:rStyle w:val="Guidance"/>
        </w:rPr>
        <w:t>a description of the financial instruments, their carrying amount, and an explanation of why fair value cannot be measured reliably</w:t>
      </w:r>
    </w:p>
    <w:p w14:paraId="749C499C" w14:textId="0024EBE0" w:rsidR="003719CD" w:rsidRPr="00777467" w:rsidRDefault="003719CD" w:rsidP="00310F12">
      <w:pPr>
        <w:pStyle w:val="ListBullet"/>
        <w:rPr>
          <w:rStyle w:val="Guidance"/>
        </w:rPr>
      </w:pPr>
      <w:r w:rsidRPr="00777467">
        <w:rPr>
          <w:rStyle w:val="Guidance"/>
        </w:rPr>
        <w:t>information about the market for the instruments</w:t>
      </w:r>
    </w:p>
    <w:p w14:paraId="2AC0D0D2" w14:textId="237994CB" w:rsidR="003719CD" w:rsidRPr="00777467" w:rsidRDefault="003719CD" w:rsidP="00310F12">
      <w:pPr>
        <w:pStyle w:val="ListBullet"/>
        <w:rPr>
          <w:rStyle w:val="Guidance"/>
        </w:rPr>
      </w:pPr>
      <w:r w:rsidRPr="00777467">
        <w:rPr>
          <w:rStyle w:val="Guidance"/>
        </w:rPr>
        <w:t>information about whether and how the entity intends to dispose of the financial instruments</w:t>
      </w:r>
    </w:p>
    <w:p w14:paraId="4217D88A" w14:textId="77777777" w:rsidR="003719CD" w:rsidRPr="00777467" w:rsidRDefault="003719CD" w:rsidP="00310F12">
      <w:pPr>
        <w:pStyle w:val="ListBullet"/>
        <w:rPr>
          <w:rStyle w:val="Guidance"/>
        </w:rPr>
      </w:pPr>
      <w:r w:rsidRPr="00777467">
        <w:rPr>
          <w:rStyle w:val="Guidance"/>
        </w:rPr>
        <w:t>if financial instruments whose fair value previously could not be reliably measured are derecognised, that fact, their carrying amount at the time of derecognition, and the amount of gain or loss recognised.</w:t>
      </w:r>
    </w:p>
    <w:p w14:paraId="27DAEE37" w14:textId="77777777" w:rsidR="003719CD" w:rsidRDefault="003719CD" w:rsidP="007D536F">
      <w:pPr>
        <w:pStyle w:val="GuidanceEnd"/>
      </w:pPr>
    </w:p>
    <w:p w14:paraId="14F183C8" w14:textId="77777777" w:rsidR="003719CD" w:rsidRDefault="003719CD" w:rsidP="007D536F"/>
    <w:p w14:paraId="370E406A" w14:textId="77777777" w:rsidR="007E486C" w:rsidRDefault="007E486C">
      <w:pPr>
        <w:keepLines w:val="0"/>
        <w:rPr>
          <w:rFonts w:asciiTheme="majorHAnsi" w:eastAsiaTheme="majorEastAsia" w:hAnsiTheme="majorHAnsi" w:cstheme="majorBidi"/>
          <w:b/>
          <w:sz w:val="22"/>
          <w:szCs w:val="24"/>
        </w:rPr>
      </w:pPr>
      <w:r>
        <w:br w:type="page"/>
      </w:r>
    </w:p>
    <w:p w14:paraId="1059544B" w14:textId="4FF78037" w:rsidR="003719CD" w:rsidRDefault="003719CD" w:rsidP="007762BE">
      <w:pPr>
        <w:pStyle w:val="Heading3numbered"/>
      </w:pPr>
      <w:r>
        <w:lastRenderedPageBreak/>
        <w:t>Fair value determination: Non-financial physical assets</w:t>
      </w:r>
      <w:r w:rsidR="00E202DF">
        <w:t xml:space="preserve"> </w:t>
      </w:r>
      <w:r w:rsidR="00E202DF" w:rsidRPr="00432865">
        <w:rPr>
          <w:color w:val="7030A0"/>
        </w:rPr>
        <w:t>[REVISED]</w:t>
      </w:r>
    </w:p>
    <w:p w14:paraId="4E038368" w14:textId="77777777" w:rsidR="003719CD" w:rsidRDefault="003719CD" w:rsidP="007D536F">
      <w:pPr>
        <w:pStyle w:val="Caption"/>
      </w:pPr>
      <w:r>
        <w:t>Fair value measurement hierarchy</w:t>
      </w:r>
      <w:r w:rsidRPr="00A57232">
        <w:rPr>
          <w:rStyle w:val="Reference"/>
        </w:rPr>
        <w:t xml:space="preserve"> [AASB 13.93 (a)(b)]</w:t>
      </w:r>
      <w:r>
        <w:t xml:space="preserve"> </w:t>
      </w:r>
      <w:r>
        <w:tab/>
        <w:t>($ thousand)</w:t>
      </w:r>
    </w:p>
    <w:tbl>
      <w:tblPr>
        <w:tblStyle w:val="DTFTable"/>
        <w:tblW w:w="9639" w:type="dxa"/>
        <w:tblLayout w:type="fixed"/>
        <w:tblLook w:val="06A0" w:firstRow="1" w:lastRow="0" w:firstColumn="1" w:lastColumn="0" w:noHBand="1" w:noVBand="1"/>
      </w:tblPr>
      <w:tblGrid>
        <w:gridCol w:w="4820"/>
        <w:gridCol w:w="1759"/>
        <w:gridCol w:w="1246"/>
        <w:gridCol w:w="907"/>
        <w:gridCol w:w="907"/>
      </w:tblGrid>
      <w:tr w:rsidR="00182709" w14:paraId="55497034"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377DC5F3" w14:textId="77777777" w:rsidR="00182709" w:rsidRDefault="00182709">
            <w:pPr>
              <w:keepNext/>
              <w:spacing w:after="0"/>
            </w:pPr>
          </w:p>
        </w:tc>
        <w:tc>
          <w:tcPr>
            <w:tcW w:w="1759" w:type="dxa"/>
          </w:tcPr>
          <w:p w14:paraId="6F1FC6E1"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Carrying amount</w:t>
            </w:r>
          </w:p>
        </w:tc>
        <w:tc>
          <w:tcPr>
            <w:tcW w:w="3060" w:type="dxa"/>
            <w:gridSpan w:val="3"/>
            <w:tcBorders>
              <w:bottom w:val="single" w:sz="6" w:space="0" w:color="FFFFFF" w:themeColor="background1"/>
            </w:tcBorders>
          </w:tcPr>
          <w:p w14:paraId="311D8A25" w14:textId="77777777" w:rsidR="00182709" w:rsidRDefault="0044097C">
            <w:pPr>
              <w:keepNext/>
              <w:spacing w:after="0"/>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54A8DEE8"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20" w:type="dxa"/>
          </w:tcPr>
          <w:p w14:paraId="7D624EA8" w14:textId="3F26C852" w:rsidR="00182709" w:rsidRDefault="00D52471">
            <w:pPr>
              <w:keepNext/>
              <w:spacing w:after="0"/>
            </w:pPr>
            <w:fldSimple w:instr="DOCPROPERTY  YearCurrent \* MERGEFORMAT">
              <w:r>
                <w:t>20X2</w:t>
              </w:r>
            </w:fldSimple>
          </w:p>
        </w:tc>
        <w:tc>
          <w:tcPr>
            <w:tcW w:w="1759" w:type="dxa"/>
          </w:tcPr>
          <w:p w14:paraId="3F708615" w14:textId="14A16B5E"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 xml:space="preserve">as at 30 June </w:t>
            </w:r>
            <w:fldSimple w:instr="DOCPROPERTY  YearCurrent \* MERGEFORMAT">
              <w:r w:rsidR="00D52471">
                <w:t>20X2</w:t>
              </w:r>
            </w:fldSimple>
          </w:p>
        </w:tc>
        <w:tc>
          <w:tcPr>
            <w:tcW w:w="1246" w:type="dxa"/>
            <w:tcBorders>
              <w:top w:val="single" w:sz="6" w:space="0" w:color="FFFFFF" w:themeColor="background1"/>
            </w:tcBorders>
          </w:tcPr>
          <w:p w14:paraId="5AD4A1A1"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2A497AB3"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5FF4FD5E"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73761527" w14:textId="77777777">
        <w:tc>
          <w:tcPr>
            <w:cnfStyle w:val="001000000000" w:firstRow="0" w:lastRow="0" w:firstColumn="1" w:lastColumn="0" w:oddVBand="0" w:evenVBand="0" w:oddHBand="0" w:evenHBand="0" w:firstRowFirstColumn="0" w:firstRowLastColumn="0" w:lastRowFirstColumn="0" w:lastRowLastColumn="0"/>
            <w:tcW w:w="4820" w:type="dxa"/>
          </w:tcPr>
          <w:p w14:paraId="6D7C495D" w14:textId="77777777" w:rsidR="00182709" w:rsidRDefault="0044097C">
            <w:pPr>
              <w:spacing w:after="0"/>
            </w:pPr>
            <w:r>
              <w:t>Land at fair value</w:t>
            </w:r>
          </w:p>
        </w:tc>
        <w:tc>
          <w:tcPr>
            <w:tcW w:w="1759" w:type="dxa"/>
          </w:tcPr>
          <w:p w14:paraId="541761E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2012E09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F3DB667"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D8B48D6"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791BA3" w14:paraId="6A019C68" w14:textId="77777777">
        <w:tc>
          <w:tcPr>
            <w:cnfStyle w:val="001000000000" w:firstRow="0" w:lastRow="0" w:firstColumn="1" w:lastColumn="0" w:oddVBand="0" w:evenVBand="0" w:oddHBand="0" w:evenHBand="0" w:firstRowFirstColumn="0" w:firstRowLastColumn="0" w:lastRowFirstColumn="0" w:lastRowLastColumn="0"/>
            <w:tcW w:w="4820" w:type="dxa"/>
          </w:tcPr>
          <w:p w14:paraId="14166A17" w14:textId="77777777" w:rsidR="00791BA3" w:rsidRDefault="00791BA3" w:rsidP="00791BA3">
            <w:pPr>
              <w:spacing w:after="0"/>
            </w:pPr>
            <w:r>
              <w:t>Non</w:t>
            </w:r>
            <w:r>
              <w:rPr>
                <w:rFonts w:ascii="Cambria Math" w:hAnsi="Cambria Math" w:cs="Cambria Math"/>
              </w:rPr>
              <w:t>‑</w:t>
            </w:r>
            <w:r>
              <w:t>specialised land</w:t>
            </w:r>
          </w:p>
        </w:tc>
        <w:tc>
          <w:tcPr>
            <w:tcW w:w="1759" w:type="dxa"/>
          </w:tcPr>
          <w:p w14:paraId="3AF09DA4"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1 778</w:t>
            </w:r>
          </w:p>
        </w:tc>
        <w:tc>
          <w:tcPr>
            <w:tcW w:w="1246" w:type="dxa"/>
          </w:tcPr>
          <w:p w14:paraId="3BDC79A4" w14:textId="2CD83AFE"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143352FC"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1 778</w:t>
            </w:r>
          </w:p>
        </w:tc>
        <w:tc>
          <w:tcPr>
            <w:tcW w:w="907" w:type="dxa"/>
          </w:tcPr>
          <w:p w14:paraId="10034F30"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r>
      <w:tr w:rsidR="00791BA3" w14:paraId="10FF3697"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5ADA35EB" w14:textId="77777777" w:rsidR="00791BA3" w:rsidRDefault="00791BA3" w:rsidP="00791BA3">
            <w:pPr>
              <w:spacing w:after="0"/>
            </w:pPr>
            <w:r>
              <w:t>Specialised land</w:t>
            </w:r>
          </w:p>
        </w:tc>
        <w:tc>
          <w:tcPr>
            <w:tcW w:w="1759" w:type="dxa"/>
            <w:tcBorders>
              <w:bottom w:val="single" w:sz="12" w:space="0" w:color="auto"/>
            </w:tcBorders>
          </w:tcPr>
          <w:p w14:paraId="0053670B"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2 784</w:t>
            </w:r>
          </w:p>
        </w:tc>
        <w:tc>
          <w:tcPr>
            <w:tcW w:w="1246" w:type="dxa"/>
            <w:tcBorders>
              <w:bottom w:val="single" w:sz="12" w:space="0" w:color="auto"/>
            </w:tcBorders>
          </w:tcPr>
          <w:p w14:paraId="1AA4CF57" w14:textId="7E5BFBF6"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FB2F4E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4F692D64"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2 784</w:t>
            </w:r>
          </w:p>
        </w:tc>
      </w:tr>
      <w:tr w:rsidR="00791BA3" w14:paraId="42E2599E"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29DDE97E" w14:textId="77777777" w:rsidR="00791BA3" w:rsidRDefault="00791BA3" w:rsidP="00791BA3">
            <w:pPr>
              <w:spacing w:after="0"/>
            </w:pPr>
            <w:r>
              <w:rPr>
                <w:b/>
              </w:rPr>
              <w:t>Total of land at fair value</w:t>
            </w:r>
          </w:p>
        </w:tc>
        <w:tc>
          <w:tcPr>
            <w:tcW w:w="1759" w:type="dxa"/>
          </w:tcPr>
          <w:p w14:paraId="415347D0"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4 562</w:t>
            </w:r>
          </w:p>
        </w:tc>
        <w:tc>
          <w:tcPr>
            <w:tcW w:w="1246" w:type="dxa"/>
          </w:tcPr>
          <w:p w14:paraId="32F6C384" w14:textId="29DDF678" w:rsidR="00791BA3" w:rsidRPr="002A2CC4" w:rsidRDefault="00791BA3" w:rsidP="00791BA3">
            <w:pPr>
              <w:spacing w:after="0"/>
              <w:cnfStyle w:val="000000000000" w:firstRow="0" w:lastRow="0" w:firstColumn="0" w:lastColumn="0" w:oddVBand="0" w:evenVBand="0" w:oddHBand="0" w:evenHBand="0" w:firstRowFirstColumn="0" w:firstRowLastColumn="0" w:lastRowFirstColumn="0" w:lastRowLastColumn="0"/>
              <w:rPr>
                <w:b/>
                <w:bCs/>
              </w:rPr>
            </w:pPr>
            <w:r w:rsidRPr="002A2CC4">
              <w:rPr>
                <w:b/>
                <w:bCs/>
              </w:rPr>
              <w:t>..</w:t>
            </w:r>
          </w:p>
        </w:tc>
        <w:tc>
          <w:tcPr>
            <w:tcW w:w="907" w:type="dxa"/>
          </w:tcPr>
          <w:p w14:paraId="3FB7675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1 778</w:t>
            </w:r>
          </w:p>
        </w:tc>
        <w:tc>
          <w:tcPr>
            <w:tcW w:w="907" w:type="dxa"/>
          </w:tcPr>
          <w:p w14:paraId="7A04138C"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2 784</w:t>
            </w:r>
          </w:p>
        </w:tc>
      </w:tr>
      <w:tr w:rsidR="00791BA3" w14:paraId="67341FF6"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7DFD3051" w14:textId="77777777" w:rsidR="00791BA3" w:rsidRDefault="00791BA3" w:rsidP="00791BA3">
            <w:pPr>
              <w:spacing w:after="0"/>
            </w:pPr>
            <w:r>
              <w:t>Buildings at fair value</w:t>
            </w:r>
          </w:p>
        </w:tc>
        <w:tc>
          <w:tcPr>
            <w:tcW w:w="1759" w:type="dxa"/>
          </w:tcPr>
          <w:p w14:paraId="7533947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56D2F7E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67C9FE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60F0BA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r>
      <w:tr w:rsidR="00791BA3" w14:paraId="27FA5CDF" w14:textId="77777777">
        <w:tc>
          <w:tcPr>
            <w:cnfStyle w:val="001000000000" w:firstRow="0" w:lastRow="0" w:firstColumn="1" w:lastColumn="0" w:oddVBand="0" w:evenVBand="0" w:oddHBand="0" w:evenHBand="0" w:firstRowFirstColumn="0" w:firstRowLastColumn="0" w:lastRowFirstColumn="0" w:lastRowLastColumn="0"/>
            <w:tcW w:w="4820" w:type="dxa"/>
          </w:tcPr>
          <w:p w14:paraId="23EC7BB6" w14:textId="77777777" w:rsidR="00791BA3" w:rsidRDefault="00791BA3" w:rsidP="00791BA3">
            <w:pPr>
              <w:spacing w:after="0"/>
            </w:pPr>
            <w:r>
              <w:t>Non</w:t>
            </w:r>
            <w:r>
              <w:rPr>
                <w:rFonts w:ascii="Cambria Math" w:hAnsi="Cambria Math" w:cs="Cambria Math"/>
              </w:rPr>
              <w:t>‑</w:t>
            </w:r>
            <w:r>
              <w:t>specialised buildings</w:t>
            </w:r>
          </w:p>
        </w:tc>
        <w:tc>
          <w:tcPr>
            <w:tcW w:w="1759" w:type="dxa"/>
          </w:tcPr>
          <w:p w14:paraId="4252B5A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6 877</w:t>
            </w:r>
          </w:p>
        </w:tc>
        <w:tc>
          <w:tcPr>
            <w:tcW w:w="1246" w:type="dxa"/>
          </w:tcPr>
          <w:p w14:paraId="7A0ECA62" w14:textId="434514DD"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B84C1F">
              <w:t>..</w:t>
            </w:r>
          </w:p>
        </w:tc>
        <w:tc>
          <w:tcPr>
            <w:tcW w:w="907" w:type="dxa"/>
          </w:tcPr>
          <w:p w14:paraId="24771D32"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6 877</w:t>
            </w:r>
          </w:p>
        </w:tc>
        <w:tc>
          <w:tcPr>
            <w:tcW w:w="907" w:type="dxa"/>
          </w:tcPr>
          <w:p w14:paraId="08A7C9EE"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r>
      <w:tr w:rsidR="00791BA3" w14:paraId="38CEA4EA" w14:textId="77777777">
        <w:tc>
          <w:tcPr>
            <w:cnfStyle w:val="001000000000" w:firstRow="0" w:lastRow="0" w:firstColumn="1" w:lastColumn="0" w:oddVBand="0" w:evenVBand="0" w:oddHBand="0" w:evenHBand="0" w:firstRowFirstColumn="0" w:firstRowLastColumn="0" w:lastRowFirstColumn="0" w:lastRowLastColumn="0"/>
            <w:tcW w:w="4820" w:type="dxa"/>
          </w:tcPr>
          <w:p w14:paraId="4AC98D56" w14:textId="77777777" w:rsidR="00791BA3" w:rsidRDefault="00791BA3" w:rsidP="00791BA3">
            <w:pPr>
              <w:spacing w:after="0"/>
            </w:pPr>
            <w:r>
              <w:t>Specialised buildings</w:t>
            </w:r>
          </w:p>
        </w:tc>
        <w:tc>
          <w:tcPr>
            <w:tcW w:w="1759" w:type="dxa"/>
          </w:tcPr>
          <w:p w14:paraId="313FEA2B"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63 323</w:t>
            </w:r>
          </w:p>
        </w:tc>
        <w:tc>
          <w:tcPr>
            <w:tcW w:w="1246" w:type="dxa"/>
          </w:tcPr>
          <w:p w14:paraId="7C0749DC" w14:textId="4C3E2FC3"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B84C1F">
              <w:t>..</w:t>
            </w:r>
          </w:p>
        </w:tc>
        <w:tc>
          <w:tcPr>
            <w:tcW w:w="907" w:type="dxa"/>
          </w:tcPr>
          <w:p w14:paraId="3EA97FBF"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796A1ED"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63 323</w:t>
            </w:r>
          </w:p>
        </w:tc>
      </w:tr>
      <w:tr w:rsidR="00791BA3" w14:paraId="232DFA10"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6A99781A" w14:textId="77777777" w:rsidR="00791BA3" w:rsidRDefault="00791BA3" w:rsidP="00791BA3">
            <w:pPr>
              <w:spacing w:after="0"/>
            </w:pPr>
            <w:r>
              <w:t xml:space="preserve">Heritage assets </w:t>
            </w:r>
            <w:r>
              <w:rPr>
                <w:vertAlign w:val="superscript"/>
              </w:rPr>
              <w:t>(b)</w:t>
            </w:r>
          </w:p>
        </w:tc>
        <w:tc>
          <w:tcPr>
            <w:tcW w:w="1759" w:type="dxa"/>
            <w:tcBorders>
              <w:bottom w:val="single" w:sz="12" w:space="0" w:color="auto"/>
            </w:tcBorders>
          </w:tcPr>
          <w:p w14:paraId="1CA1682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10 596</w:t>
            </w:r>
          </w:p>
        </w:tc>
        <w:tc>
          <w:tcPr>
            <w:tcW w:w="1246" w:type="dxa"/>
            <w:tcBorders>
              <w:bottom w:val="single" w:sz="12" w:space="0" w:color="auto"/>
            </w:tcBorders>
          </w:tcPr>
          <w:p w14:paraId="77252017" w14:textId="08BB1EA4"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B84C1F">
              <w:t>..</w:t>
            </w:r>
          </w:p>
        </w:tc>
        <w:tc>
          <w:tcPr>
            <w:tcW w:w="907" w:type="dxa"/>
            <w:tcBorders>
              <w:bottom w:val="single" w:sz="12" w:space="0" w:color="auto"/>
            </w:tcBorders>
          </w:tcPr>
          <w:p w14:paraId="664D0B9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4C275CD"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10 596</w:t>
            </w:r>
          </w:p>
        </w:tc>
      </w:tr>
      <w:tr w:rsidR="00791BA3" w14:paraId="06F73D04"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35DF0151" w14:textId="77777777" w:rsidR="00791BA3" w:rsidRDefault="00791BA3" w:rsidP="00791BA3">
            <w:pPr>
              <w:spacing w:after="0"/>
            </w:pPr>
            <w:r>
              <w:rPr>
                <w:b/>
              </w:rPr>
              <w:t>Total of buildings at fair value</w:t>
            </w:r>
          </w:p>
        </w:tc>
        <w:tc>
          <w:tcPr>
            <w:tcW w:w="1759" w:type="dxa"/>
          </w:tcPr>
          <w:p w14:paraId="47426188"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80 796</w:t>
            </w:r>
          </w:p>
        </w:tc>
        <w:tc>
          <w:tcPr>
            <w:tcW w:w="1246" w:type="dxa"/>
          </w:tcPr>
          <w:p w14:paraId="58A487D4" w14:textId="0D93220B"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3AFBBFA9"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6 877</w:t>
            </w:r>
          </w:p>
        </w:tc>
        <w:tc>
          <w:tcPr>
            <w:tcW w:w="907" w:type="dxa"/>
          </w:tcPr>
          <w:p w14:paraId="66F48298"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73 919</w:t>
            </w:r>
          </w:p>
        </w:tc>
      </w:tr>
      <w:tr w:rsidR="00791BA3" w14:paraId="6A61098C"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1D0ACFE3" w14:textId="77777777" w:rsidR="00791BA3" w:rsidRDefault="00791BA3" w:rsidP="00791BA3">
            <w:pPr>
              <w:spacing w:after="0"/>
            </w:pPr>
            <w:r>
              <w:t>Plant, equipment and vehicles at fair value</w:t>
            </w:r>
          </w:p>
        </w:tc>
        <w:tc>
          <w:tcPr>
            <w:tcW w:w="1759" w:type="dxa"/>
          </w:tcPr>
          <w:p w14:paraId="42D5E7DE"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232D1687"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3C5FB9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D5141FF"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r>
      <w:tr w:rsidR="00791BA3" w14:paraId="5342296E" w14:textId="77777777">
        <w:tc>
          <w:tcPr>
            <w:cnfStyle w:val="001000000000" w:firstRow="0" w:lastRow="0" w:firstColumn="1" w:lastColumn="0" w:oddVBand="0" w:evenVBand="0" w:oddHBand="0" w:evenHBand="0" w:firstRowFirstColumn="0" w:firstRowLastColumn="0" w:lastRowFirstColumn="0" w:lastRowLastColumn="0"/>
            <w:tcW w:w="4820" w:type="dxa"/>
          </w:tcPr>
          <w:p w14:paraId="1E5CBAF5" w14:textId="77777777" w:rsidR="00791BA3" w:rsidRDefault="00791BA3" w:rsidP="00791BA3">
            <w:pPr>
              <w:spacing w:after="0"/>
            </w:pPr>
            <w:r>
              <w:t xml:space="preserve">Vehicles </w:t>
            </w:r>
            <w:r>
              <w:rPr>
                <w:vertAlign w:val="superscript"/>
              </w:rPr>
              <w:t>(c)</w:t>
            </w:r>
          </w:p>
        </w:tc>
        <w:tc>
          <w:tcPr>
            <w:tcW w:w="1759" w:type="dxa"/>
          </w:tcPr>
          <w:p w14:paraId="667D0372"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16 941</w:t>
            </w:r>
          </w:p>
        </w:tc>
        <w:tc>
          <w:tcPr>
            <w:tcW w:w="1246" w:type="dxa"/>
          </w:tcPr>
          <w:p w14:paraId="64FA2054" w14:textId="608DB6C4"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DB02C2">
              <w:t>..</w:t>
            </w:r>
          </w:p>
        </w:tc>
        <w:tc>
          <w:tcPr>
            <w:tcW w:w="907" w:type="dxa"/>
          </w:tcPr>
          <w:p w14:paraId="6AB71047"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0BF864DD"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16 941</w:t>
            </w:r>
          </w:p>
        </w:tc>
      </w:tr>
      <w:tr w:rsidR="00791BA3" w14:paraId="1D3EEFDC"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2C3C552D" w14:textId="77777777" w:rsidR="00791BA3" w:rsidRDefault="00791BA3" w:rsidP="00791BA3">
            <w:pPr>
              <w:spacing w:after="0"/>
            </w:pPr>
            <w:r>
              <w:t>Plant and equipment</w:t>
            </w:r>
          </w:p>
        </w:tc>
        <w:tc>
          <w:tcPr>
            <w:tcW w:w="1759" w:type="dxa"/>
            <w:tcBorders>
              <w:bottom w:val="single" w:sz="12" w:space="0" w:color="auto"/>
            </w:tcBorders>
          </w:tcPr>
          <w:p w14:paraId="219C6EA0"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34 598</w:t>
            </w:r>
          </w:p>
        </w:tc>
        <w:tc>
          <w:tcPr>
            <w:tcW w:w="1246" w:type="dxa"/>
            <w:tcBorders>
              <w:bottom w:val="single" w:sz="12" w:space="0" w:color="auto"/>
            </w:tcBorders>
          </w:tcPr>
          <w:p w14:paraId="094CAA59" w14:textId="37A974F0"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DB02C2">
              <w:t>..</w:t>
            </w:r>
          </w:p>
        </w:tc>
        <w:tc>
          <w:tcPr>
            <w:tcW w:w="907" w:type="dxa"/>
            <w:tcBorders>
              <w:bottom w:val="single" w:sz="12" w:space="0" w:color="auto"/>
            </w:tcBorders>
          </w:tcPr>
          <w:p w14:paraId="5D2FD0FA"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E70ECF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34 598</w:t>
            </w:r>
          </w:p>
        </w:tc>
      </w:tr>
      <w:tr w:rsidR="00791BA3" w14:paraId="5E7965C8"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12848CA3" w14:textId="77777777" w:rsidR="00791BA3" w:rsidRDefault="00791BA3" w:rsidP="00791BA3">
            <w:pPr>
              <w:spacing w:after="0"/>
            </w:pPr>
            <w:r>
              <w:rPr>
                <w:b/>
              </w:rPr>
              <w:t>Total of plant, equipment and vehicles at fair value</w:t>
            </w:r>
          </w:p>
        </w:tc>
        <w:tc>
          <w:tcPr>
            <w:tcW w:w="1759" w:type="dxa"/>
          </w:tcPr>
          <w:p w14:paraId="02140829"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51 539</w:t>
            </w:r>
          </w:p>
        </w:tc>
        <w:tc>
          <w:tcPr>
            <w:tcW w:w="1246" w:type="dxa"/>
          </w:tcPr>
          <w:p w14:paraId="5589B02F" w14:textId="7AF7FF10"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1E38EA1F"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87A791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51 539</w:t>
            </w:r>
          </w:p>
        </w:tc>
      </w:tr>
      <w:tr w:rsidR="00791BA3" w14:paraId="7F4AD352"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2C4BD9FD" w14:textId="77777777" w:rsidR="00791BA3" w:rsidRDefault="00791BA3" w:rsidP="00791BA3">
            <w:pPr>
              <w:spacing w:after="0"/>
            </w:pPr>
            <w:r>
              <w:rPr>
                <w:b/>
              </w:rPr>
              <w:t>Infrastructure at fair value</w:t>
            </w:r>
          </w:p>
        </w:tc>
        <w:tc>
          <w:tcPr>
            <w:tcW w:w="1759" w:type="dxa"/>
          </w:tcPr>
          <w:p w14:paraId="74F68B69"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314F267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4829B1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1847342"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r>
      <w:tr w:rsidR="00791BA3" w14:paraId="1C645E84"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7939D968" w14:textId="77777777" w:rsidR="00791BA3" w:rsidRDefault="00791BA3" w:rsidP="00791BA3">
            <w:pPr>
              <w:spacing w:after="0"/>
            </w:pPr>
            <w:r>
              <w:t>Infrastructure</w:t>
            </w:r>
          </w:p>
        </w:tc>
        <w:tc>
          <w:tcPr>
            <w:tcW w:w="1759" w:type="dxa"/>
            <w:tcBorders>
              <w:bottom w:val="single" w:sz="12" w:space="0" w:color="auto"/>
            </w:tcBorders>
          </w:tcPr>
          <w:p w14:paraId="3B56578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1 685</w:t>
            </w:r>
          </w:p>
        </w:tc>
        <w:tc>
          <w:tcPr>
            <w:tcW w:w="1246" w:type="dxa"/>
            <w:tcBorders>
              <w:bottom w:val="single" w:sz="12" w:space="0" w:color="auto"/>
            </w:tcBorders>
          </w:tcPr>
          <w:p w14:paraId="7A67B8EA" w14:textId="17010DE3"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782DED07"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4EB27D9"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1 685</w:t>
            </w:r>
          </w:p>
        </w:tc>
      </w:tr>
      <w:tr w:rsidR="00791BA3" w14:paraId="4DDF3321"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518AA7A6" w14:textId="77777777" w:rsidR="00791BA3" w:rsidRDefault="00791BA3" w:rsidP="00791BA3">
            <w:pPr>
              <w:spacing w:after="0"/>
            </w:pPr>
            <w:r>
              <w:rPr>
                <w:b/>
              </w:rPr>
              <w:t>Total of infrastructure at fair value</w:t>
            </w:r>
          </w:p>
        </w:tc>
        <w:tc>
          <w:tcPr>
            <w:tcW w:w="1759" w:type="dxa"/>
          </w:tcPr>
          <w:p w14:paraId="4F4E5FE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1 685</w:t>
            </w:r>
          </w:p>
        </w:tc>
        <w:tc>
          <w:tcPr>
            <w:tcW w:w="1246" w:type="dxa"/>
          </w:tcPr>
          <w:p w14:paraId="0CC1D72B" w14:textId="1E7E87B9"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0368539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545B2F2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1 685</w:t>
            </w:r>
          </w:p>
        </w:tc>
      </w:tr>
      <w:tr w:rsidR="00791BA3" w14:paraId="0CC8766B"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336678CF" w14:textId="77777777" w:rsidR="00791BA3" w:rsidRDefault="00791BA3" w:rsidP="00791BA3">
            <w:pPr>
              <w:spacing w:after="0"/>
            </w:pPr>
            <w:r>
              <w:rPr>
                <w:b/>
              </w:rPr>
              <w:t>Road, infrastructure and earthworks at fair value</w:t>
            </w:r>
          </w:p>
        </w:tc>
        <w:tc>
          <w:tcPr>
            <w:tcW w:w="1759" w:type="dxa"/>
          </w:tcPr>
          <w:p w14:paraId="7D356E0B"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05CB9BD4"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F25C2FE"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6B6863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r>
      <w:tr w:rsidR="00791BA3" w14:paraId="1F92DDD9"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14C184A4" w14:textId="77777777" w:rsidR="00791BA3" w:rsidRDefault="00791BA3" w:rsidP="00791BA3">
            <w:pPr>
              <w:spacing w:after="0"/>
            </w:pPr>
            <w:r>
              <w:t>Road, infrastructure and earthworks at fair value</w:t>
            </w:r>
          </w:p>
        </w:tc>
        <w:tc>
          <w:tcPr>
            <w:tcW w:w="1759" w:type="dxa"/>
            <w:tcBorders>
              <w:bottom w:val="single" w:sz="12" w:space="0" w:color="auto"/>
            </w:tcBorders>
          </w:tcPr>
          <w:p w14:paraId="5F0A385B"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2 257</w:t>
            </w:r>
          </w:p>
        </w:tc>
        <w:tc>
          <w:tcPr>
            <w:tcW w:w="1246" w:type="dxa"/>
            <w:tcBorders>
              <w:bottom w:val="single" w:sz="12" w:space="0" w:color="auto"/>
            </w:tcBorders>
          </w:tcPr>
          <w:p w14:paraId="2620DE6A" w14:textId="772977E8"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56015CCD"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D520B94"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2 257</w:t>
            </w:r>
          </w:p>
        </w:tc>
      </w:tr>
      <w:tr w:rsidR="00791BA3" w14:paraId="4B28D7AD"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60558055" w14:textId="77777777" w:rsidR="00791BA3" w:rsidRDefault="00791BA3" w:rsidP="00791BA3">
            <w:pPr>
              <w:spacing w:after="0"/>
            </w:pPr>
            <w:r>
              <w:rPr>
                <w:b/>
              </w:rPr>
              <w:t>Total of road, infrastructure and earthworks at fair value</w:t>
            </w:r>
          </w:p>
        </w:tc>
        <w:tc>
          <w:tcPr>
            <w:tcW w:w="1759" w:type="dxa"/>
          </w:tcPr>
          <w:p w14:paraId="4B29270D"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2 257</w:t>
            </w:r>
          </w:p>
        </w:tc>
        <w:tc>
          <w:tcPr>
            <w:tcW w:w="1246" w:type="dxa"/>
          </w:tcPr>
          <w:p w14:paraId="04CC0654" w14:textId="0CE9E5DD"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221B6782"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05EB96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2 257</w:t>
            </w:r>
          </w:p>
        </w:tc>
      </w:tr>
      <w:tr w:rsidR="00791BA3" w14:paraId="4CBD7674"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6F3A16F3" w14:textId="77777777" w:rsidR="00791BA3" w:rsidRDefault="00791BA3" w:rsidP="00791BA3">
            <w:pPr>
              <w:spacing w:after="0"/>
            </w:pPr>
            <w:r>
              <w:rPr>
                <w:b/>
              </w:rPr>
              <w:t>Cultural assets at fair value</w:t>
            </w:r>
          </w:p>
        </w:tc>
        <w:tc>
          <w:tcPr>
            <w:tcW w:w="1759" w:type="dxa"/>
          </w:tcPr>
          <w:p w14:paraId="228F61E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71AB13CF"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B23DDF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A06363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r>
      <w:tr w:rsidR="00791BA3" w14:paraId="5FFE7411"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6B7AAE42" w14:textId="77777777" w:rsidR="00791BA3" w:rsidRDefault="00791BA3" w:rsidP="00791BA3">
            <w:pPr>
              <w:spacing w:after="0"/>
            </w:pPr>
            <w:r>
              <w:t>Artworks</w:t>
            </w:r>
          </w:p>
        </w:tc>
        <w:tc>
          <w:tcPr>
            <w:tcW w:w="1759" w:type="dxa"/>
            <w:tcBorders>
              <w:bottom w:val="single" w:sz="12" w:space="0" w:color="auto"/>
            </w:tcBorders>
          </w:tcPr>
          <w:p w14:paraId="5C7C01FA"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2 764</w:t>
            </w:r>
          </w:p>
        </w:tc>
        <w:tc>
          <w:tcPr>
            <w:tcW w:w="1246" w:type="dxa"/>
            <w:tcBorders>
              <w:bottom w:val="single" w:sz="12" w:space="0" w:color="auto"/>
            </w:tcBorders>
          </w:tcPr>
          <w:p w14:paraId="1C64B228" w14:textId="0423F60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5E13764E"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2 764</w:t>
            </w:r>
          </w:p>
        </w:tc>
        <w:tc>
          <w:tcPr>
            <w:tcW w:w="907" w:type="dxa"/>
            <w:tcBorders>
              <w:bottom w:val="single" w:sz="12" w:space="0" w:color="auto"/>
            </w:tcBorders>
          </w:tcPr>
          <w:p w14:paraId="2BAE7D02"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r>
      <w:tr w:rsidR="00791BA3" w14:paraId="1B8212DC"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3FB78ED0" w14:textId="77777777" w:rsidR="00791BA3" w:rsidRDefault="00791BA3" w:rsidP="00791BA3">
            <w:pPr>
              <w:spacing w:after="0"/>
            </w:pPr>
            <w:r>
              <w:rPr>
                <w:b/>
              </w:rPr>
              <w:t>Total of cultural assets at fair value</w:t>
            </w:r>
          </w:p>
        </w:tc>
        <w:tc>
          <w:tcPr>
            <w:tcW w:w="1759" w:type="dxa"/>
          </w:tcPr>
          <w:p w14:paraId="7FEE84D8"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2 764</w:t>
            </w:r>
          </w:p>
        </w:tc>
        <w:tc>
          <w:tcPr>
            <w:tcW w:w="1246" w:type="dxa"/>
          </w:tcPr>
          <w:p w14:paraId="7C6B5703" w14:textId="72A21A7F"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3CF61ABB"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2 764</w:t>
            </w:r>
          </w:p>
        </w:tc>
        <w:tc>
          <w:tcPr>
            <w:tcW w:w="907" w:type="dxa"/>
          </w:tcPr>
          <w:p w14:paraId="486C4F8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w:t>
            </w:r>
          </w:p>
        </w:tc>
      </w:tr>
      <w:tr w:rsidR="00791BA3" w14:paraId="53147DFB"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1FB9869E" w14:textId="77777777" w:rsidR="00791BA3" w:rsidRDefault="00791BA3" w:rsidP="00791BA3">
            <w:pPr>
              <w:spacing w:after="0"/>
            </w:pPr>
            <w:r>
              <w:rPr>
                <w:b/>
              </w:rPr>
              <w:t>Intangible assets at fair value</w:t>
            </w:r>
          </w:p>
        </w:tc>
        <w:tc>
          <w:tcPr>
            <w:tcW w:w="1759" w:type="dxa"/>
          </w:tcPr>
          <w:p w14:paraId="2B6E1E7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1246" w:type="dxa"/>
          </w:tcPr>
          <w:p w14:paraId="3A935E2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28FA402"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B93B027"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p>
        </w:tc>
      </w:tr>
      <w:tr w:rsidR="00791BA3" w14:paraId="739E55FC" w14:textId="77777777" w:rsidTr="00182709">
        <w:tc>
          <w:tcPr>
            <w:cnfStyle w:val="001000000000" w:firstRow="0" w:lastRow="0" w:firstColumn="1" w:lastColumn="0" w:oddVBand="0" w:evenVBand="0" w:oddHBand="0" w:evenHBand="0" w:firstRowFirstColumn="0" w:firstRowLastColumn="0" w:lastRowFirstColumn="0" w:lastRowLastColumn="0"/>
            <w:tcW w:w="4820" w:type="dxa"/>
            <w:tcBorders>
              <w:bottom w:val="single" w:sz="12" w:space="0" w:color="auto"/>
            </w:tcBorders>
          </w:tcPr>
          <w:p w14:paraId="348296EC" w14:textId="77777777" w:rsidR="00791BA3" w:rsidRDefault="00791BA3" w:rsidP="00791BA3">
            <w:pPr>
              <w:spacing w:after="0"/>
            </w:pPr>
            <w:r>
              <w:t>Intellectual property database</w:t>
            </w:r>
          </w:p>
        </w:tc>
        <w:tc>
          <w:tcPr>
            <w:tcW w:w="1759" w:type="dxa"/>
            <w:tcBorders>
              <w:bottom w:val="single" w:sz="12" w:space="0" w:color="auto"/>
            </w:tcBorders>
          </w:tcPr>
          <w:p w14:paraId="10E49C40"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2 000</w:t>
            </w:r>
          </w:p>
        </w:tc>
        <w:tc>
          <w:tcPr>
            <w:tcW w:w="1246" w:type="dxa"/>
            <w:tcBorders>
              <w:bottom w:val="single" w:sz="12" w:space="0" w:color="auto"/>
            </w:tcBorders>
          </w:tcPr>
          <w:p w14:paraId="2D4B05CA" w14:textId="4FDF5D91"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510963">
              <w:t>..</w:t>
            </w:r>
          </w:p>
        </w:tc>
        <w:tc>
          <w:tcPr>
            <w:tcW w:w="907" w:type="dxa"/>
            <w:tcBorders>
              <w:bottom w:val="single" w:sz="12" w:space="0" w:color="auto"/>
            </w:tcBorders>
          </w:tcPr>
          <w:p w14:paraId="3229D540" w14:textId="485F8333"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510963">
              <w:t>..</w:t>
            </w:r>
          </w:p>
        </w:tc>
        <w:tc>
          <w:tcPr>
            <w:tcW w:w="907" w:type="dxa"/>
            <w:tcBorders>
              <w:bottom w:val="single" w:sz="12" w:space="0" w:color="auto"/>
            </w:tcBorders>
          </w:tcPr>
          <w:p w14:paraId="09E6BAF1"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2 000</w:t>
            </w:r>
          </w:p>
        </w:tc>
      </w:tr>
      <w:tr w:rsidR="00791BA3" w14:paraId="1A0A053B" w14:textId="77777777" w:rsidTr="00182709">
        <w:tc>
          <w:tcPr>
            <w:cnfStyle w:val="001000000000" w:firstRow="0" w:lastRow="0" w:firstColumn="1" w:lastColumn="0" w:oddVBand="0" w:evenVBand="0" w:oddHBand="0" w:evenHBand="0" w:firstRowFirstColumn="0" w:firstRowLastColumn="0" w:lastRowFirstColumn="0" w:lastRowLastColumn="0"/>
            <w:tcW w:w="4820" w:type="dxa"/>
          </w:tcPr>
          <w:p w14:paraId="1C55ABB8" w14:textId="77777777" w:rsidR="00791BA3" w:rsidRDefault="00791BA3" w:rsidP="00791BA3">
            <w:pPr>
              <w:spacing w:after="0"/>
            </w:pPr>
            <w:r>
              <w:rPr>
                <w:b/>
              </w:rPr>
              <w:t>Total of intangible assets at fair value</w:t>
            </w:r>
          </w:p>
        </w:tc>
        <w:tc>
          <w:tcPr>
            <w:tcW w:w="1759" w:type="dxa"/>
          </w:tcPr>
          <w:p w14:paraId="1DA97F66"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2 000</w:t>
            </w:r>
          </w:p>
        </w:tc>
        <w:tc>
          <w:tcPr>
            <w:tcW w:w="1246" w:type="dxa"/>
          </w:tcPr>
          <w:p w14:paraId="0A891F76" w14:textId="47155F03"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4988963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7F74CC4"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Pr>
                <w:b/>
              </w:rPr>
              <w:t>2 000</w:t>
            </w:r>
          </w:p>
        </w:tc>
      </w:tr>
    </w:tbl>
    <w:p w14:paraId="534473BB" w14:textId="77777777" w:rsidR="003719CD" w:rsidRDefault="003719CD" w:rsidP="007D536F">
      <w:pPr>
        <w:pStyle w:val="Note"/>
      </w:pPr>
    </w:p>
    <w:tbl>
      <w:tblPr>
        <w:tblStyle w:val="DTFTable"/>
        <w:tblW w:w="9639" w:type="dxa"/>
        <w:tblLayout w:type="fixed"/>
        <w:tblLook w:val="06A0" w:firstRow="1" w:lastRow="0" w:firstColumn="1" w:lastColumn="0" w:noHBand="1" w:noVBand="1"/>
      </w:tblPr>
      <w:tblGrid>
        <w:gridCol w:w="4830"/>
        <w:gridCol w:w="1735"/>
        <w:gridCol w:w="1260"/>
        <w:gridCol w:w="907"/>
        <w:gridCol w:w="907"/>
      </w:tblGrid>
      <w:tr w:rsidR="007616D4" w14:paraId="5F0F6BCF"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30" w:type="dxa"/>
          </w:tcPr>
          <w:p w14:paraId="1F12DC8A" w14:textId="18052F49" w:rsidR="007616D4" w:rsidRDefault="007616D4">
            <w:pPr>
              <w:keepNext/>
              <w:spacing w:after="0"/>
              <w:rPr>
                <w:bCs w:val="0"/>
                <w:i w:val="0"/>
              </w:rPr>
            </w:pPr>
          </w:p>
        </w:tc>
        <w:tc>
          <w:tcPr>
            <w:tcW w:w="1735" w:type="dxa"/>
          </w:tcPr>
          <w:p w14:paraId="31A35D32" w14:textId="5A4F1C06" w:rsidR="007616D4" w:rsidRDefault="007616D4">
            <w:pPr>
              <w:keepNext/>
              <w:spacing w:after="0"/>
              <w:cnfStyle w:val="100000000000" w:firstRow="1" w:lastRow="0" w:firstColumn="0" w:lastColumn="0" w:oddVBand="0" w:evenVBand="0" w:oddHBand="0" w:evenHBand="0" w:firstRowFirstColumn="0" w:firstRowLastColumn="0" w:lastRowFirstColumn="0" w:lastRowLastColumn="0"/>
            </w:pPr>
            <w:r w:rsidRPr="007616D4">
              <w:t>Carrying amount</w:t>
            </w:r>
          </w:p>
        </w:tc>
        <w:tc>
          <w:tcPr>
            <w:tcW w:w="3074" w:type="dxa"/>
            <w:gridSpan w:val="3"/>
            <w:tcBorders>
              <w:bottom w:val="single" w:sz="6" w:space="0" w:color="FFFFFF" w:themeColor="background1"/>
            </w:tcBorders>
          </w:tcPr>
          <w:p w14:paraId="5894C9D2" w14:textId="7148A773" w:rsidR="007616D4" w:rsidRDefault="007616D4" w:rsidP="007616D4">
            <w:pPr>
              <w:keepNext/>
              <w:spacing w:after="0"/>
              <w:jc w:val="center"/>
              <w:cnfStyle w:val="100000000000" w:firstRow="1" w:lastRow="0" w:firstColumn="0" w:lastColumn="0" w:oddVBand="0" w:evenVBand="0" w:oddHBand="0" w:evenHBand="0" w:firstRowFirstColumn="0" w:firstRowLastColumn="0" w:lastRowFirstColumn="0" w:lastRowLastColumn="0"/>
            </w:pPr>
            <w:r w:rsidRPr="007616D4">
              <w:t>Fair value measurement at end of reporting period using:</w:t>
            </w:r>
          </w:p>
        </w:tc>
      </w:tr>
      <w:tr w:rsidR="00182709" w14:paraId="62C7AD9B" w14:textId="77777777" w:rsidTr="007616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30" w:type="dxa"/>
          </w:tcPr>
          <w:p w14:paraId="5455ED5C" w14:textId="49E7E385" w:rsidR="00182709" w:rsidRDefault="00D52471">
            <w:pPr>
              <w:keepNext/>
              <w:spacing w:after="0"/>
            </w:pPr>
            <w:fldSimple w:instr="DOCPROPERTY  YearPrevious  \* MERGEFORMAT">
              <w:r>
                <w:rPr>
                  <w:lang w:val="en-US"/>
                </w:rPr>
                <w:t>20X1</w:t>
              </w:r>
            </w:fldSimple>
          </w:p>
        </w:tc>
        <w:tc>
          <w:tcPr>
            <w:tcW w:w="1735" w:type="dxa"/>
          </w:tcPr>
          <w:p w14:paraId="7F7FC300" w14:textId="0924EF13"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 xml:space="preserve">as at 30 June </w:t>
            </w:r>
            <w:fldSimple w:instr="DOCPROPERTY  YearPrevious  \* MERGEFORMAT">
              <w:r w:rsidR="00D52471" w:rsidRPr="00D52471">
                <w:rPr>
                  <w:lang w:val="en-US"/>
                </w:rPr>
                <w:t>20X1</w:t>
              </w:r>
            </w:fldSimple>
          </w:p>
        </w:tc>
        <w:tc>
          <w:tcPr>
            <w:tcW w:w="1260" w:type="dxa"/>
            <w:tcBorders>
              <w:top w:val="single" w:sz="6" w:space="0" w:color="FFFFFF" w:themeColor="background1"/>
            </w:tcBorders>
          </w:tcPr>
          <w:p w14:paraId="6368DC5F"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48DB0EA4"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(b)</w:t>
            </w:r>
          </w:p>
        </w:tc>
        <w:tc>
          <w:tcPr>
            <w:tcW w:w="907" w:type="dxa"/>
            <w:tcBorders>
              <w:top w:val="single" w:sz="6" w:space="0" w:color="FFFFFF" w:themeColor="background1"/>
            </w:tcBorders>
          </w:tcPr>
          <w:p w14:paraId="16CD7329" w14:textId="77777777" w:rsidR="00182709" w:rsidRDefault="0044097C">
            <w:pPr>
              <w:keepNext/>
              <w:spacing w:after="0"/>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(c)</w:t>
            </w:r>
          </w:p>
        </w:tc>
      </w:tr>
      <w:tr w:rsidR="00182709" w14:paraId="5C9345B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215BF89D" w14:textId="77777777" w:rsidR="00182709" w:rsidRDefault="0044097C">
            <w:pPr>
              <w:spacing w:after="0"/>
            </w:pPr>
            <w:r>
              <w:t>Land at fair value</w:t>
            </w:r>
          </w:p>
        </w:tc>
        <w:tc>
          <w:tcPr>
            <w:tcW w:w="1735" w:type="dxa"/>
          </w:tcPr>
          <w:p w14:paraId="605D68B0"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7A8616F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52C7C5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6ABEC4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27B97C33"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18E7527B" w14:textId="77777777" w:rsidR="00182709" w:rsidRDefault="0044097C">
            <w:pPr>
              <w:spacing w:after="0"/>
            </w:pPr>
            <w:r>
              <w:t>Non‑specialised land</w:t>
            </w:r>
          </w:p>
        </w:tc>
        <w:tc>
          <w:tcPr>
            <w:tcW w:w="1735" w:type="dxa"/>
          </w:tcPr>
          <w:p w14:paraId="7D5404F5"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987</w:t>
            </w:r>
          </w:p>
        </w:tc>
        <w:tc>
          <w:tcPr>
            <w:tcW w:w="1260" w:type="dxa"/>
          </w:tcPr>
          <w:p w14:paraId="1B4F27C3" w14:textId="19EAE00B" w:rsidR="00182709" w:rsidRDefault="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46B527F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987</w:t>
            </w:r>
          </w:p>
        </w:tc>
        <w:tc>
          <w:tcPr>
            <w:tcW w:w="907" w:type="dxa"/>
          </w:tcPr>
          <w:p w14:paraId="2ECA736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182709" w14:paraId="3C53247D"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11DE8533" w14:textId="77777777" w:rsidR="00182709" w:rsidRDefault="0044097C">
            <w:pPr>
              <w:spacing w:after="0"/>
            </w:pPr>
            <w:r>
              <w:t>Specialised land</w:t>
            </w:r>
          </w:p>
        </w:tc>
        <w:tc>
          <w:tcPr>
            <w:tcW w:w="1735" w:type="dxa"/>
            <w:tcBorders>
              <w:bottom w:val="single" w:sz="12" w:space="0" w:color="auto"/>
            </w:tcBorders>
          </w:tcPr>
          <w:p w14:paraId="20A8B2B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2 534</w:t>
            </w:r>
          </w:p>
        </w:tc>
        <w:tc>
          <w:tcPr>
            <w:tcW w:w="1260" w:type="dxa"/>
            <w:tcBorders>
              <w:bottom w:val="single" w:sz="12" w:space="0" w:color="auto"/>
            </w:tcBorders>
          </w:tcPr>
          <w:p w14:paraId="02DE0C3A" w14:textId="62A1B353" w:rsidR="00182709" w:rsidRDefault="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B87C173"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42150AF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2 534</w:t>
            </w:r>
          </w:p>
        </w:tc>
      </w:tr>
      <w:tr w:rsidR="00671D55" w14:paraId="3A0A68EB"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5CAB9910" w14:textId="77777777" w:rsidR="00182709" w:rsidRDefault="0044097C">
            <w:pPr>
              <w:spacing w:after="0"/>
            </w:pPr>
            <w:r>
              <w:rPr>
                <w:b/>
              </w:rPr>
              <w:t>Total of land at fair value</w:t>
            </w:r>
          </w:p>
        </w:tc>
        <w:tc>
          <w:tcPr>
            <w:tcW w:w="1735" w:type="dxa"/>
          </w:tcPr>
          <w:p w14:paraId="3E1BE9D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3 521</w:t>
            </w:r>
          </w:p>
        </w:tc>
        <w:tc>
          <w:tcPr>
            <w:tcW w:w="1260" w:type="dxa"/>
          </w:tcPr>
          <w:p w14:paraId="4FE757BD" w14:textId="7069733B" w:rsidR="00182709" w:rsidRPr="002A2CC4" w:rsidRDefault="00791BA3">
            <w:pPr>
              <w:spacing w:after="0"/>
              <w:cnfStyle w:val="000000000000" w:firstRow="0" w:lastRow="0" w:firstColumn="0" w:lastColumn="0" w:oddVBand="0" w:evenVBand="0" w:oddHBand="0" w:evenHBand="0" w:firstRowFirstColumn="0" w:firstRowLastColumn="0" w:lastRowFirstColumn="0" w:lastRowLastColumn="0"/>
              <w:rPr>
                <w:b/>
                <w:bCs/>
              </w:rPr>
            </w:pPr>
            <w:r w:rsidRPr="002A2CC4">
              <w:rPr>
                <w:b/>
                <w:bCs/>
              </w:rPr>
              <w:t>..</w:t>
            </w:r>
          </w:p>
        </w:tc>
        <w:tc>
          <w:tcPr>
            <w:tcW w:w="907" w:type="dxa"/>
          </w:tcPr>
          <w:p w14:paraId="791DDE0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987</w:t>
            </w:r>
          </w:p>
        </w:tc>
        <w:tc>
          <w:tcPr>
            <w:tcW w:w="907" w:type="dxa"/>
          </w:tcPr>
          <w:p w14:paraId="09DC8440"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2 534</w:t>
            </w:r>
          </w:p>
        </w:tc>
      </w:tr>
      <w:tr w:rsidR="00671D55" w14:paraId="73A66515"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46DB4E01" w14:textId="77777777" w:rsidR="00182709" w:rsidRDefault="0044097C">
            <w:pPr>
              <w:spacing w:after="0"/>
            </w:pPr>
            <w:r>
              <w:t>Buildings at fair value</w:t>
            </w:r>
          </w:p>
        </w:tc>
        <w:tc>
          <w:tcPr>
            <w:tcW w:w="1735" w:type="dxa"/>
          </w:tcPr>
          <w:p w14:paraId="664C524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18FE614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1E71D6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4A5F4012"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791BA3" w14:paraId="2C3ACDCB"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37E85C03" w14:textId="77777777" w:rsidR="00791BA3" w:rsidRDefault="00791BA3" w:rsidP="00791BA3">
            <w:pPr>
              <w:spacing w:after="0"/>
            </w:pPr>
            <w:r>
              <w:t>Non</w:t>
            </w:r>
            <w:r>
              <w:rPr>
                <w:rFonts w:ascii="Cambria Math" w:hAnsi="Cambria Math" w:cs="Cambria Math"/>
              </w:rPr>
              <w:t>‑</w:t>
            </w:r>
            <w:r>
              <w:t>specialised buildings</w:t>
            </w:r>
          </w:p>
        </w:tc>
        <w:tc>
          <w:tcPr>
            <w:tcW w:w="1735" w:type="dxa"/>
          </w:tcPr>
          <w:p w14:paraId="681EAB4A"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2 082</w:t>
            </w:r>
          </w:p>
        </w:tc>
        <w:tc>
          <w:tcPr>
            <w:tcW w:w="1260" w:type="dxa"/>
          </w:tcPr>
          <w:p w14:paraId="7B9E2BAB" w14:textId="187696D9"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B278FD">
              <w:t>..</w:t>
            </w:r>
          </w:p>
        </w:tc>
        <w:tc>
          <w:tcPr>
            <w:tcW w:w="907" w:type="dxa"/>
          </w:tcPr>
          <w:p w14:paraId="7DFE2DA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2 082</w:t>
            </w:r>
          </w:p>
        </w:tc>
        <w:tc>
          <w:tcPr>
            <w:tcW w:w="907" w:type="dxa"/>
          </w:tcPr>
          <w:p w14:paraId="1B29C36C"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r>
      <w:tr w:rsidR="00791BA3" w14:paraId="11BA3491"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66F5AA21" w14:textId="77777777" w:rsidR="00791BA3" w:rsidRDefault="00791BA3" w:rsidP="00791BA3">
            <w:pPr>
              <w:spacing w:after="0"/>
            </w:pPr>
            <w:r>
              <w:t>Specialised buildings</w:t>
            </w:r>
          </w:p>
        </w:tc>
        <w:tc>
          <w:tcPr>
            <w:tcW w:w="1735" w:type="dxa"/>
          </w:tcPr>
          <w:p w14:paraId="798C9578"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63 395</w:t>
            </w:r>
          </w:p>
        </w:tc>
        <w:tc>
          <w:tcPr>
            <w:tcW w:w="1260" w:type="dxa"/>
          </w:tcPr>
          <w:p w14:paraId="214F0280" w14:textId="1885B26A"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B278FD">
              <w:t>..</w:t>
            </w:r>
          </w:p>
        </w:tc>
        <w:tc>
          <w:tcPr>
            <w:tcW w:w="907" w:type="dxa"/>
          </w:tcPr>
          <w:p w14:paraId="6F1F9D2C"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2ADD956D"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63 395</w:t>
            </w:r>
          </w:p>
        </w:tc>
      </w:tr>
      <w:tr w:rsidR="00791BA3" w14:paraId="786B8998"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2F7F5A78" w14:textId="77777777" w:rsidR="00791BA3" w:rsidRDefault="00791BA3" w:rsidP="00791BA3">
            <w:pPr>
              <w:spacing w:after="0"/>
            </w:pPr>
            <w:r>
              <w:t xml:space="preserve">Heritage assets </w:t>
            </w:r>
            <w:r>
              <w:rPr>
                <w:vertAlign w:val="superscript"/>
              </w:rPr>
              <w:t>(b)</w:t>
            </w:r>
          </w:p>
        </w:tc>
        <w:tc>
          <w:tcPr>
            <w:tcW w:w="1735" w:type="dxa"/>
            <w:tcBorders>
              <w:bottom w:val="single" w:sz="12" w:space="0" w:color="auto"/>
            </w:tcBorders>
          </w:tcPr>
          <w:p w14:paraId="43BE857C"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12 553</w:t>
            </w:r>
          </w:p>
        </w:tc>
        <w:tc>
          <w:tcPr>
            <w:tcW w:w="1260" w:type="dxa"/>
            <w:tcBorders>
              <w:bottom w:val="single" w:sz="12" w:space="0" w:color="auto"/>
            </w:tcBorders>
          </w:tcPr>
          <w:p w14:paraId="7F13C25B" w14:textId="5C1A4D18"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B278FD">
              <w:t>..</w:t>
            </w:r>
          </w:p>
        </w:tc>
        <w:tc>
          <w:tcPr>
            <w:tcW w:w="907" w:type="dxa"/>
            <w:tcBorders>
              <w:bottom w:val="single" w:sz="12" w:space="0" w:color="auto"/>
            </w:tcBorders>
          </w:tcPr>
          <w:p w14:paraId="341414DF"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1717393"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12 553</w:t>
            </w:r>
          </w:p>
        </w:tc>
      </w:tr>
      <w:tr w:rsidR="00671D55" w14:paraId="57FAACE6"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508A7917" w14:textId="77777777" w:rsidR="00182709" w:rsidRDefault="0044097C">
            <w:pPr>
              <w:spacing w:after="0"/>
            </w:pPr>
            <w:r>
              <w:rPr>
                <w:b/>
              </w:rPr>
              <w:t>Total of buildings at fair value</w:t>
            </w:r>
          </w:p>
        </w:tc>
        <w:tc>
          <w:tcPr>
            <w:tcW w:w="1735" w:type="dxa"/>
          </w:tcPr>
          <w:p w14:paraId="6B5449E2"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78 030</w:t>
            </w:r>
          </w:p>
        </w:tc>
        <w:tc>
          <w:tcPr>
            <w:tcW w:w="1260" w:type="dxa"/>
          </w:tcPr>
          <w:p w14:paraId="1BA35DD6" w14:textId="780C8195" w:rsidR="00182709" w:rsidRDefault="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6553A29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2 082</w:t>
            </w:r>
          </w:p>
        </w:tc>
        <w:tc>
          <w:tcPr>
            <w:tcW w:w="907" w:type="dxa"/>
          </w:tcPr>
          <w:p w14:paraId="5491A8D7"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75 948</w:t>
            </w:r>
          </w:p>
        </w:tc>
      </w:tr>
      <w:tr w:rsidR="00671D55" w14:paraId="7C27B5F4"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7127F9D8" w14:textId="77777777" w:rsidR="00182709" w:rsidRDefault="0044097C">
            <w:pPr>
              <w:spacing w:after="0"/>
            </w:pPr>
            <w:r>
              <w:t>Plant, equipment and vehicles at fair value</w:t>
            </w:r>
          </w:p>
        </w:tc>
        <w:tc>
          <w:tcPr>
            <w:tcW w:w="1735" w:type="dxa"/>
          </w:tcPr>
          <w:p w14:paraId="25A8C6C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56DED57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DB0759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59C44FA"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791BA3" w14:paraId="7F4A5FC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22EE1EB4" w14:textId="77777777" w:rsidR="00791BA3" w:rsidRDefault="00791BA3" w:rsidP="00791BA3">
            <w:pPr>
              <w:spacing w:after="0"/>
            </w:pPr>
            <w:r>
              <w:t xml:space="preserve">Vehicles </w:t>
            </w:r>
            <w:r>
              <w:rPr>
                <w:vertAlign w:val="superscript"/>
              </w:rPr>
              <w:t>(c)</w:t>
            </w:r>
          </w:p>
        </w:tc>
        <w:tc>
          <w:tcPr>
            <w:tcW w:w="1735" w:type="dxa"/>
          </w:tcPr>
          <w:p w14:paraId="241C9C62"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15 321</w:t>
            </w:r>
          </w:p>
        </w:tc>
        <w:tc>
          <w:tcPr>
            <w:tcW w:w="1260" w:type="dxa"/>
          </w:tcPr>
          <w:p w14:paraId="78A82FE5" w14:textId="12D4389A"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0C72AD">
              <w:t>..</w:t>
            </w:r>
          </w:p>
        </w:tc>
        <w:tc>
          <w:tcPr>
            <w:tcW w:w="907" w:type="dxa"/>
          </w:tcPr>
          <w:p w14:paraId="67424B4A"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Pr>
          <w:p w14:paraId="754F53AF"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15 231</w:t>
            </w:r>
          </w:p>
        </w:tc>
      </w:tr>
      <w:tr w:rsidR="00791BA3" w14:paraId="3B7AC6DB"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634A25CB" w14:textId="77777777" w:rsidR="00791BA3" w:rsidRDefault="00791BA3" w:rsidP="00791BA3">
            <w:pPr>
              <w:spacing w:after="0"/>
            </w:pPr>
            <w:r>
              <w:t>Plant and equipment</w:t>
            </w:r>
          </w:p>
        </w:tc>
        <w:tc>
          <w:tcPr>
            <w:tcW w:w="1735" w:type="dxa"/>
            <w:tcBorders>
              <w:bottom w:val="single" w:sz="12" w:space="0" w:color="auto"/>
            </w:tcBorders>
          </w:tcPr>
          <w:p w14:paraId="2E98D35C"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27 788</w:t>
            </w:r>
          </w:p>
        </w:tc>
        <w:tc>
          <w:tcPr>
            <w:tcW w:w="1260" w:type="dxa"/>
            <w:tcBorders>
              <w:bottom w:val="single" w:sz="12" w:space="0" w:color="auto"/>
            </w:tcBorders>
          </w:tcPr>
          <w:p w14:paraId="37F13881" w14:textId="728C2F01"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rsidRPr="000C72AD">
              <w:t>..</w:t>
            </w:r>
          </w:p>
        </w:tc>
        <w:tc>
          <w:tcPr>
            <w:tcW w:w="907" w:type="dxa"/>
            <w:tcBorders>
              <w:bottom w:val="single" w:sz="12" w:space="0" w:color="auto"/>
            </w:tcBorders>
          </w:tcPr>
          <w:p w14:paraId="3C117CAA"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5E84A65" w14:textId="77777777" w:rsidR="00791BA3" w:rsidRDefault="00791BA3" w:rsidP="00791BA3">
            <w:pPr>
              <w:spacing w:after="0"/>
              <w:cnfStyle w:val="000000000000" w:firstRow="0" w:lastRow="0" w:firstColumn="0" w:lastColumn="0" w:oddVBand="0" w:evenVBand="0" w:oddHBand="0" w:evenHBand="0" w:firstRowFirstColumn="0" w:firstRowLastColumn="0" w:lastRowFirstColumn="0" w:lastRowLastColumn="0"/>
            </w:pPr>
            <w:r>
              <w:t>27 788</w:t>
            </w:r>
          </w:p>
        </w:tc>
      </w:tr>
      <w:tr w:rsidR="00671D55" w14:paraId="2BBEDB6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702B81F1" w14:textId="77777777" w:rsidR="00182709" w:rsidRDefault="0044097C">
            <w:pPr>
              <w:spacing w:after="0"/>
            </w:pPr>
            <w:r>
              <w:rPr>
                <w:b/>
              </w:rPr>
              <w:t>Total of plant, equipment and vehicles at fair value</w:t>
            </w:r>
          </w:p>
        </w:tc>
        <w:tc>
          <w:tcPr>
            <w:tcW w:w="1735" w:type="dxa"/>
          </w:tcPr>
          <w:p w14:paraId="5024F83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43 109</w:t>
            </w:r>
          </w:p>
        </w:tc>
        <w:tc>
          <w:tcPr>
            <w:tcW w:w="1260" w:type="dxa"/>
          </w:tcPr>
          <w:p w14:paraId="3552D442" w14:textId="06F42903" w:rsidR="00182709" w:rsidRDefault="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45A5BAF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0203AC5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43 019</w:t>
            </w:r>
          </w:p>
        </w:tc>
      </w:tr>
      <w:tr w:rsidR="00671D55" w14:paraId="6BAB695A"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10F7CA3C" w14:textId="77777777" w:rsidR="00182709" w:rsidRDefault="0044097C">
            <w:pPr>
              <w:spacing w:after="0"/>
            </w:pPr>
            <w:r>
              <w:rPr>
                <w:b/>
              </w:rPr>
              <w:t>Infrastructure at fair value</w:t>
            </w:r>
          </w:p>
        </w:tc>
        <w:tc>
          <w:tcPr>
            <w:tcW w:w="1735" w:type="dxa"/>
          </w:tcPr>
          <w:p w14:paraId="0D1629C1"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264C8F4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2227408"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ECA48CC"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1AB8F264"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685D9CBD" w14:textId="77777777" w:rsidR="00182709" w:rsidRDefault="0044097C">
            <w:pPr>
              <w:spacing w:after="0"/>
            </w:pPr>
            <w:r>
              <w:t>Infrastructure</w:t>
            </w:r>
          </w:p>
        </w:tc>
        <w:tc>
          <w:tcPr>
            <w:tcW w:w="1735" w:type="dxa"/>
            <w:tcBorders>
              <w:bottom w:val="single" w:sz="12" w:space="0" w:color="auto"/>
            </w:tcBorders>
          </w:tcPr>
          <w:p w14:paraId="6A52F86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4 931</w:t>
            </w:r>
          </w:p>
        </w:tc>
        <w:tc>
          <w:tcPr>
            <w:tcW w:w="1260" w:type="dxa"/>
            <w:tcBorders>
              <w:bottom w:val="single" w:sz="12" w:space="0" w:color="auto"/>
            </w:tcBorders>
          </w:tcPr>
          <w:p w14:paraId="0C110115" w14:textId="5FD5FE14" w:rsidR="00182709" w:rsidRDefault="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03633EC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16CEC7B"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4 931</w:t>
            </w:r>
          </w:p>
        </w:tc>
      </w:tr>
      <w:tr w:rsidR="00671D55" w14:paraId="4F8D2383"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4437B9A6" w14:textId="77777777" w:rsidR="00182709" w:rsidRDefault="0044097C">
            <w:pPr>
              <w:spacing w:after="0"/>
            </w:pPr>
            <w:r>
              <w:rPr>
                <w:b/>
              </w:rPr>
              <w:t>Total of infrastructure at fair value</w:t>
            </w:r>
          </w:p>
        </w:tc>
        <w:tc>
          <w:tcPr>
            <w:tcW w:w="1735" w:type="dxa"/>
          </w:tcPr>
          <w:p w14:paraId="28D9EE8C"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4 931</w:t>
            </w:r>
          </w:p>
        </w:tc>
        <w:tc>
          <w:tcPr>
            <w:tcW w:w="1260" w:type="dxa"/>
          </w:tcPr>
          <w:p w14:paraId="4BA13126" w14:textId="2F8122A1" w:rsidR="00182709" w:rsidRDefault="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01E752C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2604DB4"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4 931</w:t>
            </w:r>
          </w:p>
        </w:tc>
      </w:tr>
      <w:tr w:rsidR="00671D55" w14:paraId="0C49A95B"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67B18602" w14:textId="77777777" w:rsidR="00182709" w:rsidRDefault="0044097C">
            <w:pPr>
              <w:spacing w:after="0"/>
            </w:pPr>
            <w:r>
              <w:rPr>
                <w:b/>
              </w:rPr>
              <w:t>Road, infrastructure and earthworks at fair value</w:t>
            </w:r>
          </w:p>
        </w:tc>
        <w:tc>
          <w:tcPr>
            <w:tcW w:w="1735" w:type="dxa"/>
          </w:tcPr>
          <w:p w14:paraId="206EE9EC"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5A10CB7D"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15B628F"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9E0F439"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5F203422"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2D77B794" w14:textId="77777777" w:rsidR="00182709" w:rsidRDefault="0044097C">
            <w:pPr>
              <w:spacing w:after="0"/>
            </w:pPr>
            <w:r>
              <w:t>Road, infrastructure and earthworks at fair value</w:t>
            </w:r>
          </w:p>
        </w:tc>
        <w:tc>
          <w:tcPr>
            <w:tcW w:w="1735" w:type="dxa"/>
            <w:tcBorders>
              <w:bottom w:val="single" w:sz="12" w:space="0" w:color="auto"/>
            </w:tcBorders>
          </w:tcPr>
          <w:p w14:paraId="64CA866D"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4 993</w:t>
            </w:r>
          </w:p>
        </w:tc>
        <w:tc>
          <w:tcPr>
            <w:tcW w:w="1260" w:type="dxa"/>
            <w:tcBorders>
              <w:bottom w:val="single" w:sz="12" w:space="0" w:color="auto"/>
            </w:tcBorders>
          </w:tcPr>
          <w:p w14:paraId="4893DF62" w14:textId="081A3A68" w:rsidR="00182709" w:rsidRDefault="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6BED9FFF"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161FDAF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4 993</w:t>
            </w:r>
          </w:p>
        </w:tc>
      </w:tr>
      <w:tr w:rsidR="00671D55" w14:paraId="79621BD6"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717CE699" w14:textId="77777777" w:rsidR="00182709" w:rsidRDefault="0044097C">
            <w:pPr>
              <w:spacing w:after="0"/>
            </w:pPr>
            <w:r>
              <w:rPr>
                <w:b/>
              </w:rPr>
              <w:t>Total of road, infrastructure and earthworks at fair value</w:t>
            </w:r>
          </w:p>
        </w:tc>
        <w:tc>
          <w:tcPr>
            <w:tcW w:w="1735" w:type="dxa"/>
          </w:tcPr>
          <w:p w14:paraId="5FA76B2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4 993</w:t>
            </w:r>
          </w:p>
        </w:tc>
        <w:tc>
          <w:tcPr>
            <w:tcW w:w="1260" w:type="dxa"/>
          </w:tcPr>
          <w:p w14:paraId="34C67C7A" w14:textId="713F58EE" w:rsidR="00182709" w:rsidRDefault="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3DA22ED6"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11EB8B6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4 993</w:t>
            </w:r>
          </w:p>
        </w:tc>
      </w:tr>
      <w:tr w:rsidR="00671D55" w14:paraId="0CA1FA7A"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53E1FC3A" w14:textId="77777777" w:rsidR="00182709" w:rsidRDefault="0044097C">
            <w:pPr>
              <w:spacing w:after="0"/>
            </w:pPr>
            <w:r>
              <w:rPr>
                <w:b/>
              </w:rPr>
              <w:t>Cultural assets at fair value</w:t>
            </w:r>
          </w:p>
        </w:tc>
        <w:tc>
          <w:tcPr>
            <w:tcW w:w="1735" w:type="dxa"/>
          </w:tcPr>
          <w:p w14:paraId="1F960F7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1260" w:type="dxa"/>
          </w:tcPr>
          <w:p w14:paraId="5ADD271E"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1329BA3"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D89B214" w14:textId="77777777" w:rsidR="00182709" w:rsidRDefault="00182709">
            <w:pPr>
              <w:spacing w:after="0"/>
              <w:cnfStyle w:val="000000000000" w:firstRow="0" w:lastRow="0" w:firstColumn="0" w:lastColumn="0" w:oddVBand="0" w:evenVBand="0" w:oddHBand="0" w:evenHBand="0" w:firstRowFirstColumn="0" w:firstRowLastColumn="0" w:lastRowFirstColumn="0" w:lastRowLastColumn="0"/>
            </w:pPr>
          </w:p>
        </w:tc>
      </w:tr>
      <w:tr w:rsidR="00182709" w14:paraId="44832FF3" w14:textId="77777777" w:rsidTr="00ED0570">
        <w:tc>
          <w:tcPr>
            <w:cnfStyle w:val="001000000000" w:firstRow="0" w:lastRow="0" w:firstColumn="1" w:lastColumn="0" w:oddVBand="0" w:evenVBand="0" w:oddHBand="0" w:evenHBand="0" w:firstRowFirstColumn="0" w:firstRowLastColumn="0" w:lastRowFirstColumn="0" w:lastRowLastColumn="0"/>
            <w:tcW w:w="4830" w:type="dxa"/>
            <w:tcBorders>
              <w:bottom w:val="single" w:sz="12" w:space="0" w:color="auto"/>
            </w:tcBorders>
          </w:tcPr>
          <w:p w14:paraId="0FF746D9" w14:textId="77777777" w:rsidR="00182709" w:rsidRDefault="0044097C">
            <w:pPr>
              <w:spacing w:after="0"/>
            </w:pPr>
            <w:r>
              <w:t>Artworks</w:t>
            </w:r>
          </w:p>
        </w:tc>
        <w:tc>
          <w:tcPr>
            <w:tcW w:w="1735" w:type="dxa"/>
            <w:tcBorders>
              <w:bottom w:val="single" w:sz="12" w:space="0" w:color="auto"/>
            </w:tcBorders>
          </w:tcPr>
          <w:p w14:paraId="1C65AF9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1260" w:type="dxa"/>
            <w:tcBorders>
              <w:bottom w:val="single" w:sz="12" w:space="0" w:color="auto"/>
            </w:tcBorders>
          </w:tcPr>
          <w:p w14:paraId="040E6657" w14:textId="2643A8A9" w:rsidR="00182709" w:rsidRDefault="00791BA3">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3778BE58"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12" w:space="0" w:color="auto"/>
            </w:tcBorders>
          </w:tcPr>
          <w:p w14:paraId="2E2B0C4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t>..</w:t>
            </w:r>
          </w:p>
        </w:tc>
      </w:tr>
      <w:tr w:rsidR="00671D55" w14:paraId="18A117ED" w14:textId="77777777" w:rsidTr="00ED0570">
        <w:tc>
          <w:tcPr>
            <w:cnfStyle w:val="001000000000" w:firstRow="0" w:lastRow="0" w:firstColumn="1" w:lastColumn="0" w:oddVBand="0" w:evenVBand="0" w:oddHBand="0" w:evenHBand="0" w:firstRowFirstColumn="0" w:firstRowLastColumn="0" w:lastRowFirstColumn="0" w:lastRowLastColumn="0"/>
            <w:tcW w:w="4830" w:type="dxa"/>
          </w:tcPr>
          <w:p w14:paraId="77D35889" w14:textId="77777777" w:rsidR="00182709" w:rsidRDefault="0044097C">
            <w:pPr>
              <w:spacing w:after="0"/>
            </w:pPr>
            <w:r>
              <w:rPr>
                <w:b/>
              </w:rPr>
              <w:t>Total of cultural assets at fair value</w:t>
            </w:r>
          </w:p>
        </w:tc>
        <w:tc>
          <w:tcPr>
            <w:tcW w:w="1735" w:type="dxa"/>
          </w:tcPr>
          <w:p w14:paraId="01F8891E"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1260" w:type="dxa"/>
          </w:tcPr>
          <w:p w14:paraId="36B0F56D" w14:textId="0CAA1B29" w:rsidR="00182709" w:rsidRDefault="00791BA3">
            <w:pPr>
              <w:spacing w:after="0"/>
              <w:cnfStyle w:val="000000000000" w:firstRow="0" w:lastRow="0" w:firstColumn="0" w:lastColumn="0" w:oddVBand="0" w:evenVBand="0" w:oddHBand="0" w:evenHBand="0" w:firstRowFirstColumn="0" w:firstRowLastColumn="0" w:lastRowFirstColumn="0" w:lastRowLastColumn="0"/>
            </w:pPr>
            <w:r w:rsidRPr="004B5561">
              <w:rPr>
                <w:b/>
                <w:bCs/>
              </w:rPr>
              <w:t>..</w:t>
            </w:r>
          </w:p>
        </w:tc>
        <w:tc>
          <w:tcPr>
            <w:tcW w:w="907" w:type="dxa"/>
          </w:tcPr>
          <w:p w14:paraId="3DC432EA"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2AE1FD19" w14:textId="77777777" w:rsidR="00182709" w:rsidRDefault="0044097C">
            <w:pPr>
              <w:spacing w:after="0"/>
              <w:cnfStyle w:val="000000000000" w:firstRow="0" w:lastRow="0" w:firstColumn="0" w:lastColumn="0" w:oddVBand="0" w:evenVBand="0" w:oddHBand="0" w:evenHBand="0" w:firstRowFirstColumn="0" w:firstRowLastColumn="0" w:lastRowFirstColumn="0" w:lastRowLastColumn="0"/>
            </w:pPr>
            <w:r>
              <w:rPr>
                <w:b/>
              </w:rPr>
              <w:t>..</w:t>
            </w:r>
          </w:p>
        </w:tc>
      </w:tr>
    </w:tbl>
    <w:p w14:paraId="17EDADBC" w14:textId="77777777" w:rsidR="003719CD" w:rsidRDefault="003719CD" w:rsidP="007D536F">
      <w:pPr>
        <w:pStyle w:val="Note"/>
      </w:pPr>
      <w:r>
        <w:t>Notes:</w:t>
      </w:r>
    </w:p>
    <w:p w14:paraId="142ECAD5" w14:textId="77777777" w:rsidR="003719CD" w:rsidRDefault="003719CD" w:rsidP="007D536F">
      <w:pPr>
        <w:pStyle w:val="Note"/>
      </w:pPr>
      <w:r>
        <w:t>(a)</w:t>
      </w:r>
      <w:r>
        <w:tab/>
        <w:t>Classified in accordance with the fair value hierarchy.</w:t>
      </w:r>
    </w:p>
    <w:p w14:paraId="6228166F" w14:textId="77777777" w:rsidR="003719CD" w:rsidRDefault="003719CD" w:rsidP="007D536F">
      <w:pPr>
        <w:pStyle w:val="Note"/>
      </w:pPr>
      <w:r>
        <w:t>(b)</w:t>
      </w:r>
      <w:r>
        <w:tab/>
        <w:t>The Department holds $10.6 million worth of properties listed as heritage assets. These heritage assets cannot be modified nor disposed of without formal ministerial approval.</w:t>
      </w:r>
    </w:p>
    <w:p w14:paraId="36F17DFC" w14:textId="77777777" w:rsidR="003719CD" w:rsidRDefault="003719CD" w:rsidP="007D536F">
      <w:pPr>
        <w:pStyle w:val="Note"/>
      </w:pPr>
      <w:r>
        <w:t>(c)</w:t>
      </w:r>
      <w:r>
        <w:tab/>
        <w:t>[Vehicles are categorised to Level 3 assets if the current replacement cost is used in estimating the fair value. However, entities should consult with an independent valuer in determining whether a market approach is appropriate for vehicles with an active resale market available. If yes, a Level 2 categorisation for such vehicles would be appropriate.]</w:t>
      </w:r>
    </w:p>
    <w:p w14:paraId="697B0855" w14:textId="77777777" w:rsidR="003719CD" w:rsidRDefault="003719CD" w:rsidP="00DC39DE">
      <w:r>
        <w:t xml:space="preserve">There have been no transfers between levels during the period. </w:t>
      </w:r>
      <w:r w:rsidRPr="00A57232">
        <w:rPr>
          <w:rStyle w:val="Reference"/>
        </w:rPr>
        <w:t>[AASB 13. 93(c)]</w:t>
      </w:r>
    </w:p>
    <w:p w14:paraId="2FFB9247" w14:textId="77777777" w:rsidR="003719CD" w:rsidRDefault="003719CD" w:rsidP="00DC39DE">
      <w:r w:rsidRPr="00A57232">
        <w:rPr>
          <w:b/>
          <w:bCs/>
        </w:rPr>
        <w:lastRenderedPageBreak/>
        <w:t>Non-specialised land, non-specialised buildings and artworks</w:t>
      </w:r>
      <w:r>
        <w:t xml:space="preserve"> are valued using the market approach, whereby assets are compared to recent comparable sales or sales of comparable assets that are considered to have nominal value. </w:t>
      </w:r>
      <w:r w:rsidRPr="00A57232">
        <w:rPr>
          <w:rStyle w:val="Reference"/>
        </w:rPr>
        <w:t>[AASB 13.93(d)]</w:t>
      </w:r>
    </w:p>
    <w:p w14:paraId="3FEAD8CE" w14:textId="642A3124" w:rsidR="003719CD" w:rsidRPr="00A87414" w:rsidRDefault="003719CD" w:rsidP="00DC39DE">
      <w:pPr>
        <w:rPr>
          <w:rStyle w:val="Reference"/>
          <w:color w:val="auto"/>
          <w:sz w:val="18"/>
        </w:rPr>
      </w:pPr>
      <w:r>
        <w:t xml:space="preserve">An independent valuation was performed by Norton and Paine to determine fair value using the market approach. Valuation of the assets was determined by analysing comparable sales and allowing for share, size, topography, location and other relevant factors specific to the asset being valued. From this analysis, an appropriate rate per square metre has been applied to the subject asset. The effective date of the valuation </w:t>
      </w:r>
      <w:r w:rsidR="00D10637">
        <w:t>wa</w:t>
      </w:r>
      <w:r>
        <w:t xml:space="preserve">s 30 </w:t>
      </w:r>
      <w:r w:rsidRPr="00DD1D6A">
        <w:t xml:space="preserve">June </w:t>
      </w:r>
      <w:r w:rsidR="00F01706">
        <w:t>20X</w:t>
      </w:r>
      <w:r w:rsidR="004D64D4">
        <w:t>0</w:t>
      </w:r>
      <w:r w:rsidR="004F29FC">
        <w:t>.</w:t>
      </w:r>
      <w:r w:rsidR="00A87414">
        <w:t xml:space="preserve"> </w:t>
      </w:r>
      <w:r w:rsidRPr="00A57232">
        <w:rPr>
          <w:rStyle w:val="Reference"/>
        </w:rPr>
        <w:t>[AASB 116.77(a), (b)]</w:t>
      </w:r>
    </w:p>
    <w:p w14:paraId="2F8C3A1E" w14:textId="038B3FFB" w:rsidR="003719CD" w:rsidRDefault="003719CD" w:rsidP="00DC39DE">
      <w:r>
        <w:t>For artwork, valuation of the assets is determined by a comparison to similar examples of the artist’s work in existence throughout Australia and research on recent prices paid for similar examples offered at auction or through art galleries. No revaluation was performed for artwork for the financial period ending at 30 June</w:t>
      </w:r>
      <w:r w:rsidR="00D52471">
        <w:t xml:space="preserve"> </w:t>
      </w:r>
      <w:fldSimple w:instr="DOCPROPERTY  YearCurrent \* MERGEFORMAT">
        <w:r w:rsidR="00F01706">
          <w:t>20X2</w:t>
        </w:r>
      </w:fldSimple>
      <w:r w:rsidR="008E0880">
        <w:t>.</w:t>
      </w:r>
      <w:r>
        <w:t xml:space="preserve"> [Entities should disclose the effective date of revaluation and the fact whether an independent valuer was involved if artwork was revalued during the current financial period].</w:t>
      </w:r>
    </w:p>
    <w:p w14:paraId="319E5E3A" w14:textId="77777777" w:rsidR="003719CD" w:rsidRDefault="003719CD" w:rsidP="00DC39DE">
      <w:r>
        <w:t>To the extent that non-specialised land, non-specialised buildings and artworks do not contain significant, unobservable adjustments, these assets are classified as Level 2 under the market approach.</w:t>
      </w:r>
    </w:p>
    <w:p w14:paraId="23919BEE" w14:textId="77777777" w:rsidR="003719CD" w:rsidRDefault="003719CD" w:rsidP="00DC39DE">
      <w:r w:rsidRPr="00A57232">
        <w:rPr>
          <w:b/>
          <w:bCs/>
        </w:rPr>
        <w:t>Plant and equipment</w:t>
      </w:r>
      <w:r>
        <w:t xml:space="preserve"> is held at fair value. When plant and equipment is specialised in use, such that it is rarely sold other than as part of a going concern, fair value is determined using the current replacement cost method.</w:t>
      </w:r>
    </w:p>
    <w:p w14:paraId="2417D088" w14:textId="3BD65908" w:rsidR="003719CD" w:rsidRDefault="003719CD" w:rsidP="00DC39DE">
      <w:r>
        <w:t xml:space="preserve">There were no changes in valuation techniques throughout the period to 30 </w:t>
      </w:r>
      <w:r w:rsidRPr="00DD1D6A">
        <w:t xml:space="preserve">June </w:t>
      </w:r>
      <w:fldSimple w:instr="DOCPROPERTY  YearCurrent  \* MERGEFORMAT">
        <w:r w:rsidR="00F01706">
          <w:t>20X2</w:t>
        </w:r>
      </w:fldSimple>
      <w:r>
        <w:t xml:space="preserve">. </w:t>
      </w:r>
      <w:r w:rsidRPr="00A57232">
        <w:rPr>
          <w:rStyle w:val="Reference"/>
        </w:rPr>
        <w:t>[AASB 13.66]</w:t>
      </w:r>
    </w:p>
    <w:p w14:paraId="40A7A76E" w14:textId="77777777" w:rsidR="003719CD" w:rsidRDefault="003719CD" w:rsidP="00DC39DE">
      <w:pPr>
        <w:rPr>
          <w:rStyle w:val="Reference"/>
        </w:rPr>
      </w:pPr>
      <w:r>
        <w:t xml:space="preserve">For all assets measured at fair value, the current use is considered the highest and best use. </w:t>
      </w:r>
      <w:r w:rsidRPr="00A57232">
        <w:rPr>
          <w:rStyle w:val="Reference"/>
        </w:rPr>
        <w:t>[AASB 13.93(i)]</w:t>
      </w:r>
    </w:p>
    <w:p w14:paraId="310C40FE" w14:textId="77777777" w:rsidR="0031294A" w:rsidRPr="00003E2B" w:rsidRDefault="0031294A" w:rsidP="0031294A">
      <w:pPr>
        <w:rPr>
          <w:rStyle w:val="Guidance"/>
          <w:i/>
          <w:iCs/>
          <w:color w:val="auto"/>
        </w:rPr>
      </w:pPr>
      <w:r w:rsidRPr="00003E2B">
        <w:rPr>
          <w:rStyle w:val="Guidance"/>
          <w:color w:val="auto"/>
        </w:rPr>
        <w:t xml:space="preserve">AASB 2022-10 </w:t>
      </w:r>
      <w:r w:rsidRPr="00003E2B">
        <w:rPr>
          <w:rStyle w:val="Guidance"/>
          <w:i/>
          <w:iCs/>
          <w:color w:val="auto"/>
        </w:rPr>
        <w:t>Amendments to Australian Accounting Standards –</w:t>
      </w:r>
      <w:r w:rsidRPr="00003E2B">
        <w:rPr>
          <w:rStyle w:val="Guidance"/>
          <w:color w:val="auto"/>
        </w:rPr>
        <w:t xml:space="preserve"> </w:t>
      </w:r>
      <w:r w:rsidRPr="00003E2B">
        <w:rPr>
          <w:rStyle w:val="Guidance"/>
          <w:i/>
          <w:iCs/>
          <w:color w:val="auto"/>
        </w:rPr>
        <w:t>Fair Value Measurement of Non-Financial Assets of Not-for-Profit Public Sector Entities</w:t>
      </w:r>
      <w:r w:rsidRPr="00003E2B">
        <w:rPr>
          <w:rStyle w:val="Guidance"/>
          <w:color w:val="auto"/>
        </w:rPr>
        <w:t xml:space="preserve"> amended AASB 13 by adding Appendix F</w:t>
      </w:r>
      <w:r w:rsidRPr="00003E2B">
        <w:rPr>
          <w:rStyle w:val="Guidance"/>
          <w:i/>
          <w:iCs/>
          <w:color w:val="auto"/>
        </w:rPr>
        <w:t xml:space="preserve"> Australian implementation guidance for not-for-profit public sector entities</w:t>
      </w:r>
      <w:r w:rsidRPr="00003E2B">
        <w:rPr>
          <w:rStyle w:val="Guidance"/>
          <w:color w:val="auto"/>
        </w:rPr>
        <w:t xml:space="preserve">. Appendix F explains and illustrates the application of the principles in AASB 13 on developing unobservable inputs and the application of the cost approach. </w:t>
      </w:r>
      <w:r w:rsidRPr="00003E2B">
        <w:t>These clarifications are mandatorily applicable annual reporting periods beginning on or after 1 January 2024.</w:t>
      </w:r>
    </w:p>
    <w:p w14:paraId="3E262564" w14:textId="76154BFC" w:rsidR="0031294A" w:rsidRPr="00003E2B" w:rsidRDefault="0031294A" w:rsidP="0031294A">
      <w:pPr>
        <w:rPr>
          <w:rStyle w:val="Guidance"/>
          <w:color w:val="auto"/>
        </w:rPr>
      </w:pPr>
      <w:r w:rsidRPr="00003E2B">
        <w:rPr>
          <w:rStyle w:val="Guidance"/>
          <w:color w:val="auto"/>
        </w:rPr>
        <w:t xml:space="preserve">FRD 103 permits Victorian public sector entities to apply Appendix F of AASB 13 in their next scheduled formal asset revaluation or interim revaluation (whichever is earlier). Annual fair value assessments for 30 June 20X2 using indices did not give rise to material changes in </w:t>
      </w:r>
      <w:r w:rsidR="007A223B">
        <w:rPr>
          <w:rStyle w:val="Guidance"/>
          <w:color w:val="auto"/>
        </w:rPr>
        <w:t xml:space="preserve">the </w:t>
      </w:r>
      <w:r w:rsidRPr="00003E2B">
        <w:rPr>
          <w:rStyle w:val="Guidance"/>
          <w:color w:val="auto"/>
        </w:rPr>
        <w:t xml:space="preserve">value of plant and equipment. In accordance with FRD 103, the Department will apply Appendix F of AASB 13 prospectively in its next scheduled formal revaluation in 20X5 or interim revaluation process (whichever is earlier). </w:t>
      </w:r>
      <w:r w:rsidRPr="00432865">
        <w:rPr>
          <w:rStyle w:val="Reference"/>
        </w:rPr>
        <w:t>[FRD 103.4.5A]</w:t>
      </w:r>
      <w:r w:rsidRPr="00432865">
        <w:rPr>
          <w:rStyle w:val="Guidance"/>
          <w:color w:val="C00000"/>
        </w:rPr>
        <w:t xml:space="preserve"> </w:t>
      </w:r>
      <w:r w:rsidRPr="00003E2B">
        <w:rPr>
          <w:rStyle w:val="Guidance"/>
          <w:color w:val="auto"/>
        </w:rPr>
        <w:t xml:space="preserve">The Department does not expect </w:t>
      </w:r>
      <w:r w:rsidR="00BE557B">
        <w:rPr>
          <w:rStyle w:val="Guidance"/>
          <w:color w:val="auto"/>
        </w:rPr>
        <w:t xml:space="preserve">the </w:t>
      </w:r>
      <w:r w:rsidRPr="00003E2B">
        <w:rPr>
          <w:rStyle w:val="Guidance"/>
          <w:color w:val="auto"/>
        </w:rPr>
        <w:t xml:space="preserve">impact to be material to the financial statements. </w:t>
      </w:r>
      <w:r w:rsidRPr="00003E2B">
        <w:t xml:space="preserve">[Entities to tailor as appropriate depending on their next scheduled formal revaluation for the relevant asset classes based on the nature of assets held. Refer to pages 60-61 for further guidance on sample disclosures]. </w:t>
      </w:r>
    </w:p>
    <w:p w14:paraId="7ACEFF60" w14:textId="77777777" w:rsidR="003719CD" w:rsidRDefault="003719CD" w:rsidP="00DC39DE">
      <w:r w:rsidRPr="00A57232">
        <w:rPr>
          <w:b/>
          <w:bCs/>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7227EC99" w14:textId="77777777" w:rsidR="003719CD" w:rsidRDefault="003719CD" w:rsidP="00DC39DE">
      <w:r w:rsidRPr="00A57232">
        <w:rPr>
          <w:b/>
          <w:bCs/>
        </w:rPr>
        <w:t>Specialised land and specialised buildings</w:t>
      </w:r>
      <w:r>
        <w:t xml:space="preserve">: The market approach is also used for specialised land, although is adjusted for the community service obligation (CSO) to reflect the specialised nature of the land being valued. </w:t>
      </w:r>
    </w:p>
    <w:p w14:paraId="00ACAAFD" w14:textId="6AAB0F66" w:rsidR="003719CD" w:rsidRDefault="003719CD" w:rsidP="00DC39DE">
      <w:r>
        <w:t>The CSO adjustment reflects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would be classified as Level 3 assets.</w:t>
      </w:r>
    </w:p>
    <w:p w14:paraId="7B2853B2" w14:textId="63771D9B" w:rsidR="003719CD" w:rsidRDefault="003719CD" w:rsidP="00DC39DE">
      <w:r>
        <w:t xml:space="preserve">For </w:t>
      </w:r>
      <w:r w:rsidR="00D945C9">
        <w:t>the majority of</w:t>
      </w:r>
      <w:r>
        <w:t xml:space="preserve"> the Department’s specialised buildings, the current replacement cost method is used, adjusting for the associated depreciations. As depreciation adjustments are considered as significant, unobservable inputs in nature, specialised buildings are classified as Level 3 fair value measurements. </w:t>
      </w:r>
    </w:p>
    <w:p w14:paraId="551FBED0" w14:textId="190326FC" w:rsidR="003719CD" w:rsidRDefault="003719CD" w:rsidP="00DC39DE">
      <w:r>
        <w:t>An independent valuation of the Department</w:t>
      </w:r>
      <w:r w:rsidR="00614509">
        <w:t>’</w:t>
      </w:r>
      <w:r>
        <w:t>s specialised land and specialised buildings was performed by the Valuer</w:t>
      </w:r>
      <w:r w:rsidR="00614509">
        <w:noBreakHyphen/>
      </w:r>
      <w:r>
        <w:t xml:space="preserve">General Victoria. The valuation was performed using the market approach adjusted for CSO. The effective date of the valuation </w:t>
      </w:r>
      <w:r w:rsidR="003B79D0">
        <w:t>wa</w:t>
      </w:r>
      <w:r>
        <w:t xml:space="preserve">s 30 June </w:t>
      </w:r>
      <w:r w:rsidR="00F01706">
        <w:t>20X</w:t>
      </w:r>
      <w:r w:rsidR="00695DFD">
        <w:t>0</w:t>
      </w:r>
      <w:r>
        <w:t xml:space="preserve">. Service concession assets recognised as required by AASB 1059 were not revalued at this time. </w:t>
      </w:r>
      <w:r w:rsidRPr="00A57232">
        <w:rPr>
          <w:rStyle w:val="Reference"/>
        </w:rPr>
        <w:t>[AASB 116.77(a), (b), AASB 116 Aus77.1]</w:t>
      </w:r>
    </w:p>
    <w:p w14:paraId="3DE80D33" w14:textId="77777777" w:rsidR="003719CD" w:rsidRDefault="003719CD" w:rsidP="00DC39DE">
      <w:r w:rsidRPr="00A57232">
        <w:rPr>
          <w:b/>
          <w:bCs/>
        </w:rPr>
        <w:t>Heritage assets, infrastructure and road infrastructure and earthworks</w:t>
      </w:r>
      <w: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0A4F3CFD" w14:textId="77777777" w:rsidR="003719CD" w:rsidRDefault="003719CD" w:rsidP="00DC39DE">
      <w:r>
        <w:lastRenderedPageBreak/>
        <w:t xml:space="preserve">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 </w:t>
      </w:r>
    </w:p>
    <w:p w14:paraId="1CE37920" w14:textId="61BB5ABD" w:rsidR="003719CD" w:rsidRDefault="003719CD" w:rsidP="00DC39DE">
      <w:r>
        <w:t xml:space="preserve">An independent valuation of the Department’s heritage assets, infrastructure and road infrastructure and earthworks was performed by the Valuer-General Victoria. The valuation was performed based on the current replacement cost of the assets. The effective date of the valuation </w:t>
      </w:r>
      <w:r w:rsidR="00D72B02">
        <w:t>wa</w:t>
      </w:r>
      <w:r>
        <w:t xml:space="preserve">s 30 June </w:t>
      </w:r>
      <w:r w:rsidR="00F01706">
        <w:t>20X0</w:t>
      </w:r>
      <w:r>
        <w:t xml:space="preserve">. </w:t>
      </w:r>
      <w:r w:rsidRPr="00A57232">
        <w:rPr>
          <w:rStyle w:val="Reference"/>
        </w:rPr>
        <w:t>[AASB 116.77(a), (b), AASB 116 Aus77.1]</w:t>
      </w:r>
    </w:p>
    <w:p w14:paraId="5DAA717A" w14:textId="28978B74" w:rsidR="003719CD" w:rsidRDefault="003719CD" w:rsidP="00DC39DE">
      <w:r>
        <w:t xml:space="preserve">For a more detailed analysis of the sensitivity of significant unobservable inputs used in valuation, please refer to table Description of significant unobservable inputs to Level 3 valuation </w:t>
      </w:r>
      <w:r w:rsidRPr="001030DA">
        <w:t xml:space="preserve">on </w:t>
      </w:r>
      <w:r w:rsidRPr="00432865">
        <w:t xml:space="preserve">page </w:t>
      </w:r>
      <w:r w:rsidR="009F6FC0" w:rsidRPr="002A2CC4">
        <w:fldChar w:fldCharType="begin"/>
      </w:r>
      <w:r w:rsidR="009F6FC0" w:rsidRPr="00432865">
        <w:instrText>PAGEREF  unobservable_lv3_valuations  \* MERGEFORMAT</w:instrText>
      </w:r>
      <w:r w:rsidR="009F6FC0" w:rsidRPr="002A2CC4">
        <w:fldChar w:fldCharType="separate"/>
      </w:r>
      <w:r w:rsidR="00D26320" w:rsidRPr="00D26320">
        <w:rPr>
          <w:noProof/>
          <w:lang w:val="en-US"/>
        </w:rPr>
        <w:t>147</w:t>
      </w:r>
      <w:r w:rsidR="009F6FC0" w:rsidRPr="002A2CC4">
        <w:rPr>
          <w:noProof/>
          <w:lang w:val="en-US"/>
        </w:rPr>
        <w:fldChar w:fldCharType="end"/>
      </w:r>
      <w:r w:rsidRPr="001030DA">
        <w:t>.</w:t>
      </w:r>
    </w:p>
    <w:p w14:paraId="6ED03FA4" w14:textId="5702A4A2" w:rsidR="003719CD" w:rsidRPr="005E3F37" w:rsidRDefault="003719CD" w:rsidP="007D536F">
      <w:pPr>
        <w:pStyle w:val="Caption"/>
        <w:rPr>
          <w:b w:val="0"/>
          <w:iCs w:val="0"/>
        </w:rPr>
      </w:pPr>
      <w:r>
        <w:t xml:space="preserve">Reconciliation of Level 3 fair value movements </w:t>
      </w:r>
      <w:r w:rsidRPr="00A57232">
        <w:rPr>
          <w:rStyle w:val="Reference"/>
        </w:rPr>
        <w:t>[AASB 13.93 (e)(f)]</w:t>
      </w:r>
      <w:r>
        <w:tab/>
      </w:r>
      <w:r w:rsidRPr="005E3F37">
        <w:t>($ thousand)</w:t>
      </w:r>
    </w:p>
    <w:tbl>
      <w:tblPr>
        <w:tblStyle w:val="DTFTable"/>
        <w:tblW w:w="9639" w:type="dxa"/>
        <w:tblLayout w:type="fixed"/>
        <w:tblLook w:val="06A0" w:firstRow="1" w:lastRow="0" w:firstColumn="1" w:lastColumn="0" w:noHBand="1" w:noVBand="1"/>
      </w:tblPr>
      <w:tblGrid>
        <w:gridCol w:w="2184"/>
        <w:gridCol w:w="896"/>
        <w:gridCol w:w="966"/>
        <w:gridCol w:w="774"/>
        <w:gridCol w:w="850"/>
        <w:gridCol w:w="881"/>
        <w:gridCol w:w="1106"/>
        <w:gridCol w:w="1075"/>
        <w:gridCol w:w="907"/>
      </w:tblGrid>
      <w:tr w:rsidR="00182709" w14:paraId="3CAC5FF3" w14:textId="77777777" w:rsidTr="00FA63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84" w:type="dxa"/>
          </w:tcPr>
          <w:p w14:paraId="123CDB91" w14:textId="22B36B96" w:rsidR="00182709" w:rsidRPr="00DC7993" w:rsidRDefault="00F01706">
            <w:pPr>
              <w:keepNext/>
              <w:rPr>
                <w:sz w:val="15"/>
                <w:szCs w:val="15"/>
              </w:rPr>
            </w:pPr>
            <w:fldSimple w:instr="DOCPROPERTY  YearCurrent \* MERGEFORMAT">
              <w:r>
                <w:t>20X2</w:t>
              </w:r>
            </w:fldSimple>
          </w:p>
        </w:tc>
        <w:tc>
          <w:tcPr>
            <w:tcW w:w="896" w:type="dxa"/>
          </w:tcPr>
          <w:p w14:paraId="43BFF2E3"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Specialised land</w:t>
            </w:r>
          </w:p>
        </w:tc>
        <w:tc>
          <w:tcPr>
            <w:tcW w:w="966" w:type="dxa"/>
          </w:tcPr>
          <w:p w14:paraId="35D5C48F"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Specialised buildings</w:t>
            </w:r>
          </w:p>
        </w:tc>
        <w:tc>
          <w:tcPr>
            <w:tcW w:w="774" w:type="dxa"/>
          </w:tcPr>
          <w:p w14:paraId="64E27079"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Heritage assets</w:t>
            </w:r>
          </w:p>
        </w:tc>
        <w:tc>
          <w:tcPr>
            <w:tcW w:w="850" w:type="dxa"/>
          </w:tcPr>
          <w:p w14:paraId="5E01B995"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Vehicles</w:t>
            </w:r>
          </w:p>
        </w:tc>
        <w:tc>
          <w:tcPr>
            <w:tcW w:w="881" w:type="dxa"/>
          </w:tcPr>
          <w:p w14:paraId="03396AFD"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Plant and equipment</w:t>
            </w:r>
          </w:p>
        </w:tc>
        <w:tc>
          <w:tcPr>
            <w:tcW w:w="1106" w:type="dxa"/>
          </w:tcPr>
          <w:p w14:paraId="4CCA27ED"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Infrastructure</w:t>
            </w:r>
          </w:p>
        </w:tc>
        <w:tc>
          <w:tcPr>
            <w:tcW w:w="1075" w:type="dxa"/>
          </w:tcPr>
          <w:p w14:paraId="026A9BE6" w14:textId="77777777" w:rsidR="00182709" w:rsidRPr="00DC7993" w:rsidRDefault="0044097C">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Road, infrastructure and earthworks</w:t>
            </w:r>
          </w:p>
        </w:tc>
        <w:tc>
          <w:tcPr>
            <w:tcW w:w="907" w:type="dxa"/>
          </w:tcPr>
          <w:p w14:paraId="4EEB8724" w14:textId="26251011" w:rsidR="00182709" w:rsidRPr="00DC7993" w:rsidRDefault="00742C4F">
            <w:pPr>
              <w:keepNext/>
              <w:cnfStyle w:val="100000000000" w:firstRow="1" w:lastRow="0" w:firstColumn="0" w:lastColumn="0" w:oddVBand="0" w:evenVBand="0" w:oddHBand="0" w:evenHBand="0" w:firstRowFirstColumn="0" w:firstRowLastColumn="0" w:lastRowFirstColumn="0" w:lastRowLastColumn="0"/>
              <w:rPr>
                <w:sz w:val="15"/>
                <w:szCs w:val="15"/>
              </w:rPr>
            </w:pPr>
            <w:r w:rsidRPr="00DC7993">
              <w:rPr>
                <w:sz w:val="15"/>
                <w:szCs w:val="15"/>
              </w:rPr>
              <w:t>Intangible assets</w:t>
            </w:r>
          </w:p>
        </w:tc>
      </w:tr>
      <w:tr w:rsidR="00182709" w14:paraId="1DD484DF"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3BE9BF06" w14:textId="77777777" w:rsidR="00182709" w:rsidRPr="00DC7993" w:rsidRDefault="0044097C" w:rsidP="00DC7993">
            <w:pPr>
              <w:ind w:left="170" w:hanging="170"/>
              <w:rPr>
                <w:sz w:val="15"/>
                <w:szCs w:val="15"/>
              </w:rPr>
            </w:pPr>
            <w:r w:rsidRPr="00DC7993">
              <w:rPr>
                <w:b/>
                <w:sz w:val="15"/>
                <w:szCs w:val="15"/>
              </w:rPr>
              <w:t>Opening balance</w:t>
            </w:r>
          </w:p>
        </w:tc>
        <w:tc>
          <w:tcPr>
            <w:tcW w:w="896" w:type="dxa"/>
            <w:tcBorders>
              <w:bottom w:val="single" w:sz="12" w:space="0" w:color="auto"/>
            </w:tcBorders>
          </w:tcPr>
          <w:p w14:paraId="1152298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2 534</w:t>
            </w:r>
          </w:p>
        </w:tc>
        <w:tc>
          <w:tcPr>
            <w:tcW w:w="966" w:type="dxa"/>
            <w:tcBorders>
              <w:bottom w:val="single" w:sz="12" w:space="0" w:color="auto"/>
            </w:tcBorders>
          </w:tcPr>
          <w:p w14:paraId="18105D3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63 395</w:t>
            </w:r>
          </w:p>
        </w:tc>
        <w:tc>
          <w:tcPr>
            <w:tcW w:w="774" w:type="dxa"/>
            <w:tcBorders>
              <w:bottom w:val="single" w:sz="12" w:space="0" w:color="auto"/>
            </w:tcBorders>
          </w:tcPr>
          <w:p w14:paraId="46D5B9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12 553</w:t>
            </w:r>
          </w:p>
        </w:tc>
        <w:tc>
          <w:tcPr>
            <w:tcW w:w="850" w:type="dxa"/>
            <w:tcBorders>
              <w:bottom w:val="single" w:sz="12" w:space="0" w:color="auto"/>
            </w:tcBorders>
          </w:tcPr>
          <w:p w14:paraId="1032145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15 321</w:t>
            </w:r>
          </w:p>
        </w:tc>
        <w:tc>
          <w:tcPr>
            <w:tcW w:w="881" w:type="dxa"/>
            <w:tcBorders>
              <w:bottom w:val="single" w:sz="12" w:space="0" w:color="auto"/>
            </w:tcBorders>
          </w:tcPr>
          <w:p w14:paraId="6C4319E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27 788</w:t>
            </w:r>
          </w:p>
        </w:tc>
        <w:tc>
          <w:tcPr>
            <w:tcW w:w="1106" w:type="dxa"/>
            <w:tcBorders>
              <w:bottom w:val="single" w:sz="12" w:space="0" w:color="auto"/>
            </w:tcBorders>
          </w:tcPr>
          <w:p w14:paraId="6544C97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4 931</w:t>
            </w:r>
          </w:p>
        </w:tc>
        <w:tc>
          <w:tcPr>
            <w:tcW w:w="1075" w:type="dxa"/>
            <w:tcBorders>
              <w:bottom w:val="single" w:sz="12" w:space="0" w:color="auto"/>
            </w:tcBorders>
          </w:tcPr>
          <w:p w14:paraId="1AF2D14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4 993</w:t>
            </w:r>
          </w:p>
        </w:tc>
        <w:tc>
          <w:tcPr>
            <w:tcW w:w="907" w:type="dxa"/>
            <w:tcBorders>
              <w:bottom w:val="single" w:sz="12" w:space="0" w:color="auto"/>
            </w:tcBorders>
          </w:tcPr>
          <w:p w14:paraId="70523BF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671D55" w14:paraId="136BEA60"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7CFA33C1" w14:textId="77777777" w:rsidR="00182709" w:rsidRPr="00DC7993" w:rsidRDefault="0044097C" w:rsidP="00DC7993">
            <w:pPr>
              <w:ind w:left="170" w:hanging="170"/>
              <w:rPr>
                <w:sz w:val="15"/>
                <w:szCs w:val="15"/>
              </w:rPr>
            </w:pPr>
            <w:r w:rsidRPr="00DC7993">
              <w:rPr>
                <w:sz w:val="15"/>
                <w:szCs w:val="15"/>
              </w:rPr>
              <w:t>Purchases (sales)</w:t>
            </w:r>
          </w:p>
        </w:tc>
        <w:tc>
          <w:tcPr>
            <w:tcW w:w="896" w:type="dxa"/>
          </w:tcPr>
          <w:p w14:paraId="25A05DA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579</w:t>
            </w:r>
          </w:p>
        </w:tc>
        <w:tc>
          <w:tcPr>
            <w:tcW w:w="966" w:type="dxa"/>
          </w:tcPr>
          <w:p w14:paraId="143601A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11 198</w:t>
            </w:r>
          </w:p>
        </w:tc>
        <w:tc>
          <w:tcPr>
            <w:tcW w:w="774" w:type="dxa"/>
          </w:tcPr>
          <w:p w14:paraId="76E919C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479</w:t>
            </w:r>
          </w:p>
        </w:tc>
        <w:tc>
          <w:tcPr>
            <w:tcW w:w="850" w:type="dxa"/>
          </w:tcPr>
          <w:p w14:paraId="67900D5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1 870</w:t>
            </w:r>
          </w:p>
        </w:tc>
        <w:tc>
          <w:tcPr>
            <w:tcW w:w="881" w:type="dxa"/>
          </w:tcPr>
          <w:p w14:paraId="1C5D89A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3 385</w:t>
            </w:r>
          </w:p>
        </w:tc>
        <w:tc>
          <w:tcPr>
            <w:tcW w:w="1106" w:type="dxa"/>
          </w:tcPr>
          <w:p w14:paraId="4B7739A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(2 419)</w:t>
            </w:r>
          </w:p>
        </w:tc>
        <w:tc>
          <w:tcPr>
            <w:tcW w:w="1075" w:type="dxa"/>
          </w:tcPr>
          <w:p w14:paraId="37EB1E3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(1 501)</w:t>
            </w:r>
          </w:p>
        </w:tc>
        <w:tc>
          <w:tcPr>
            <w:tcW w:w="907" w:type="dxa"/>
          </w:tcPr>
          <w:p w14:paraId="51F33BC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2 000</w:t>
            </w:r>
          </w:p>
        </w:tc>
      </w:tr>
      <w:tr w:rsidR="00182709" w14:paraId="4017A47C"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4A27F456" w14:textId="77777777" w:rsidR="00182709" w:rsidRPr="00DC7993" w:rsidRDefault="0044097C" w:rsidP="00DC7993">
            <w:pPr>
              <w:ind w:left="170" w:hanging="170"/>
              <w:rPr>
                <w:sz w:val="15"/>
                <w:szCs w:val="15"/>
              </w:rPr>
            </w:pPr>
            <w:r w:rsidRPr="00DC7993">
              <w:rPr>
                <w:sz w:val="15"/>
                <w:szCs w:val="15"/>
              </w:rPr>
              <w:t>Transfers in (out) of Level 3</w:t>
            </w:r>
          </w:p>
        </w:tc>
        <w:tc>
          <w:tcPr>
            <w:tcW w:w="896" w:type="dxa"/>
          </w:tcPr>
          <w:p w14:paraId="79D55863"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Pr>
          <w:p w14:paraId="08ACC34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774" w:type="dxa"/>
          </w:tcPr>
          <w:p w14:paraId="66CD4C3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50" w:type="dxa"/>
          </w:tcPr>
          <w:p w14:paraId="6CF0F13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81" w:type="dxa"/>
          </w:tcPr>
          <w:p w14:paraId="726340D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Pr>
          <w:p w14:paraId="64BA90C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075" w:type="dxa"/>
          </w:tcPr>
          <w:p w14:paraId="6451101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07" w:type="dxa"/>
          </w:tcPr>
          <w:p w14:paraId="14E213A0"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r>
      <w:tr w:rsidR="00182709" w14:paraId="0702ADF9"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660E0E33" w14:textId="77777777" w:rsidR="00182709" w:rsidRPr="00DC7993" w:rsidRDefault="0044097C" w:rsidP="00FA63D4">
            <w:pPr>
              <w:rPr>
                <w:sz w:val="15"/>
                <w:szCs w:val="15"/>
              </w:rPr>
            </w:pPr>
            <w:r w:rsidRPr="00DC7993">
              <w:rPr>
                <w:sz w:val="15"/>
                <w:szCs w:val="15"/>
              </w:rPr>
              <w:t>Gains or losses recognised in net result</w:t>
            </w:r>
          </w:p>
        </w:tc>
        <w:tc>
          <w:tcPr>
            <w:tcW w:w="896" w:type="dxa"/>
          </w:tcPr>
          <w:p w14:paraId="44439C9C"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70DBDD9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3DD0F0A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13AD07D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7011ABE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70FC81A0"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2205C6B2"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52A45FF9"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5F8AB47F"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0CD8ED1F" w14:textId="77777777" w:rsidR="00182709" w:rsidRPr="00DC7993" w:rsidRDefault="0044097C" w:rsidP="00FA63D4">
            <w:pPr>
              <w:ind w:left="170"/>
              <w:rPr>
                <w:sz w:val="15"/>
                <w:szCs w:val="15"/>
              </w:rPr>
            </w:pPr>
            <w:r w:rsidRPr="00DC7993">
              <w:rPr>
                <w:sz w:val="15"/>
                <w:szCs w:val="15"/>
              </w:rPr>
              <w:t>Depreciation</w:t>
            </w:r>
          </w:p>
        </w:tc>
        <w:tc>
          <w:tcPr>
            <w:tcW w:w="896" w:type="dxa"/>
          </w:tcPr>
          <w:p w14:paraId="790D728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Pr>
          <w:p w14:paraId="13F0CFE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(2 470)</w:t>
            </w:r>
          </w:p>
        </w:tc>
        <w:tc>
          <w:tcPr>
            <w:tcW w:w="774" w:type="dxa"/>
          </w:tcPr>
          <w:p w14:paraId="1864F02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(950)</w:t>
            </w:r>
          </w:p>
        </w:tc>
        <w:tc>
          <w:tcPr>
            <w:tcW w:w="850" w:type="dxa"/>
          </w:tcPr>
          <w:p w14:paraId="735D6E6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(125)</w:t>
            </w:r>
          </w:p>
        </w:tc>
        <w:tc>
          <w:tcPr>
            <w:tcW w:w="881" w:type="dxa"/>
          </w:tcPr>
          <w:p w14:paraId="6260DFF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(238)</w:t>
            </w:r>
          </w:p>
        </w:tc>
        <w:tc>
          <w:tcPr>
            <w:tcW w:w="1106" w:type="dxa"/>
          </w:tcPr>
          <w:p w14:paraId="397C3D3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(200)</w:t>
            </w:r>
          </w:p>
        </w:tc>
        <w:tc>
          <w:tcPr>
            <w:tcW w:w="1075" w:type="dxa"/>
          </w:tcPr>
          <w:p w14:paraId="6E45ACA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(550)</w:t>
            </w:r>
          </w:p>
        </w:tc>
        <w:tc>
          <w:tcPr>
            <w:tcW w:w="907" w:type="dxa"/>
          </w:tcPr>
          <w:p w14:paraId="01FCEFDD" w14:textId="3D9814BC"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182709" w14:paraId="45D2EF43"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673B435B" w14:textId="77777777" w:rsidR="00182709" w:rsidRPr="00DC7993" w:rsidRDefault="0044097C" w:rsidP="00FA63D4">
            <w:pPr>
              <w:ind w:left="170"/>
              <w:rPr>
                <w:sz w:val="15"/>
                <w:szCs w:val="15"/>
              </w:rPr>
            </w:pPr>
            <w:r w:rsidRPr="00DC7993">
              <w:rPr>
                <w:sz w:val="15"/>
                <w:szCs w:val="15"/>
              </w:rPr>
              <w:t>Impairment loss</w:t>
            </w:r>
          </w:p>
        </w:tc>
        <w:tc>
          <w:tcPr>
            <w:tcW w:w="896" w:type="dxa"/>
            <w:tcBorders>
              <w:bottom w:val="single" w:sz="12" w:space="0" w:color="auto"/>
            </w:tcBorders>
          </w:tcPr>
          <w:p w14:paraId="6793D50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66" w:type="dxa"/>
            <w:tcBorders>
              <w:bottom w:val="single" w:sz="12" w:space="0" w:color="auto"/>
            </w:tcBorders>
          </w:tcPr>
          <w:p w14:paraId="2D600E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(55)</w:t>
            </w:r>
          </w:p>
        </w:tc>
        <w:tc>
          <w:tcPr>
            <w:tcW w:w="774" w:type="dxa"/>
            <w:tcBorders>
              <w:bottom w:val="single" w:sz="12" w:space="0" w:color="auto"/>
            </w:tcBorders>
          </w:tcPr>
          <w:p w14:paraId="5910EED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(450)</w:t>
            </w:r>
          </w:p>
        </w:tc>
        <w:tc>
          <w:tcPr>
            <w:tcW w:w="850" w:type="dxa"/>
            <w:tcBorders>
              <w:bottom w:val="single" w:sz="12" w:space="0" w:color="auto"/>
            </w:tcBorders>
          </w:tcPr>
          <w:p w14:paraId="79A6C22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(125)</w:t>
            </w:r>
          </w:p>
        </w:tc>
        <w:tc>
          <w:tcPr>
            <w:tcW w:w="881" w:type="dxa"/>
            <w:tcBorders>
              <w:bottom w:val="single" w:sz="12" w:space="0" w:color="auto"/>
            </w:tcBorders>
          </w:tcPr>
          <w:p w14:paraId="0D72760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Borders>
              <w:bottom w:val="single" w:sz="12" w:space="0" w:color="auto"/>
            </w:tcBorders>
          </w:tcPr>
          <w:p w14:paraId="7B25F4A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(230)</w:t>
            </w:r>
          </w:p>
        </w:tc>
        <w:tc>
          <w:tcPr>
            <w:tcW w:w="1075" w:type="dxa"/>
            <w:tcBorders>
              <w:bottom w:val="single" w:sz="12" w:space="0" w:color="auto"/>
            </w:tcBorders>
          </w:tcPr>
          <w:p w14:paraId="7A289BC3"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(300)</w:t>
            </w:r>
          </w:p>
        </w:tc>
        <w:tc>
          <w:tcPr>
            <w:tcW w:w="907" w:type="dxa"/>
            <w:tcBorders>
              <w:bottom w:val="single" w:sz="12" w:space="0" w:color="auto"/>
            </w:tcBorders>
          </w:tcPr>
          <w:p w14:paraId="02EC7F0E" w14:textId="7BE57A22"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671D55" w14:paraId="7D69A711"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4831B981" w14:textId="77777777" w:rsidR="00182709" w:rsidRPr="00DC7993" w:rsidRDefault="0044097C" w:rsidP="00FA63D4">
            <w:pPr>
              <w:rPr>
                <w:sz w:val="15"/>
                <w:szCs w:val="15"/>
              </w:rPr>
            </w:pPr>
            <w:r w:rsidRPr="00DC7993">
              <w:rPr>
                <w:b/>
                <w:sz w:val="15"/>
                <w:szCs w:val="15"/>
              </w:rPr>
              <w:t>Subtotal</w:t>
            </w:r>
          </w:p>
        </w:tc>
        <w:tc>
          <w:tcPr>
            <w:tcW w:w="896" w:type="dxa"/>
          </w:tcPr>
          <w:p w14:paraId="36A6646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66" w:type="dxa"/>
          </w:tcPr>
          <w:p w14:paraId="2865A0E6"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(2 525)</w:t>
            </w:r>
          </w:p>
        </w:tc>
        <w:tc>
          <w:tcPr>
            <w:tcW w:w="774" w:type="dxa"/>
          </w:tcPr>
          <w:p w14:paraId="5DDA723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(1 400)</w:t>
            </w:r>
          </w:p>
        </w:tc>
        <w:tc>
          <w:tcPr>
            <w:tcW w:w="850" w:type="dxa"/>
          </w:tcPr>
          <w:p w14:paraId="205C9FF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(250)</w:t>
            </w:r>
          </w:p>
        </w:tc>
        <w:tc>
          <w:tcPr>
            <w:tcW w:w="881" w:type="dxa"/>
          </w:tcPr>
          <w:p w14:paraId="1C70B2F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(238)</w:t>
            </w:r>
          </w:p>
        </w:tc>
        <w:tc>
          <w:tcPr>
            <w:tcW w:w="1106" w:type="dxa"/>
          </w:tcPr>
          <w:p w14:paraId="2A8ECCC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(430)</w:t>
            </w:r>
          </w:p>
        </w:tc>
        <w:tc>
          <w:tcPr>
            <w:tcW w:w="1075" w:type="dxa"/>
          </w:tcPr>
          <w:p w14:paraId="4353C63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(850)</w:t>
            </w:r>
          </w:p>
        </w:tc>
        <w:tc>
          <w:tcPr>
            <w:tcW w:w="907" w:type="dxa"/>
          </w:tcPr>
          <w:p w14:paraId="7FE7FB7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671D55" w14:paraId="4FBCD680"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0F0613D9" w14:textId="77777777" w:rsidR="00182709" w:rsidRPr="00DC7993" w:rsidRDefault="0044097C" w:rsidP="00FA63D4">
            <w:pPr>
              <w:rPr>
                <w:sz w:val="15"/>
                <w:szCs w:val="15"/>
              </w:rPr>
            </w:pPr>
            <w:r w:rsidRPr="00DC7993">
              <w:rPr>
                <w:sz w:val="15"/>
                <w:szCs w:val="15"/>
              </w:rPr>
              <w:t>Gains or losses recognised in other economic flows –</w:t>
            </w:r>
          </w:p>
        </w:tc>
        <w:tc>
          <w:tcPr>
            <w:tcW w:w="896" w:type="dxa"/>
          </w:tcPr>
          <w:p w14:paraId="77342CB8"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27A47FBA"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6CC4BB9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525D727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65FCF434"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343158D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642A03CC"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3AE0A53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125B465F"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1EC8CCB4" w14:textId="77777777" w:rsidR="00182709" w:rsidRPr="00DC7993" w:rsidRDefault="0044097C" w:rsidP="00DC7993">
            <w:pPr>
              <w:ind w:left="170" w:hanging="170"/>
              <w:rPr>
                <w:sz w:val="15"/>
                <w:szCs w:val="15"/>
              </w:rPr>
            </w:pPr>
            <w:r w:rsidRPr="00DC7993">
              <w:rPr>
                <w:sz w:val="15"/>
                <w:szCs w:val="15"/>
              </w:rPr>
              <w:t>other comprehensive income</w:t>
            </w:r>
          </w:p>
        </w:tc>
        <w:tc>
          <w:tcPr>
            <w:tcW w:w="896" w:type="dxa"/>
          </w:tcPr>
          <w:p w14:paraId="1861CF03"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66" w:type="dxa"/>
          </w:tcPr>
          <w:p w14:paraId="7B4F73B6"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774" w:type="dxa"/>
          </w:tcPr>
          <w:p w14:paraId="32171437"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50" w:type="dxa"/>
          </w:tcPr>
          <w:p w14:paraId="3A6F48A3"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881" w:type="dxa"/>
          </w:tcPr>
          <w:p w14:paraId="5A427A11"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106" w:type="dxa"/>
          </w:tcPr>
          <w:p w14:paraId="4351CABF"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1075" w:type="dxa"/>
          </w:tcPr>
          <w:p w14:paraId="33DBE2CB"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c>
          <w:tcPr>
            <w:tcW w:w="907" w:type="dxa"/>
          </w:tcPr>
          <w:p w14:paraId="159864AF" w14:textId="77777777" w:rsidR="00182709" w:rsidRPr="00DC7993" w:rsidRDefault="00182709">
            <w:pPr>
              <w:cnfStyle w:val="000000000000" w:firstRow="0" w:lastRow="0" w:firstColumn="0" w:lastColumn="0" w:oddVBand="0" w:evenVBand="0" w:oddHBand="0" w:evenHBand="0" w:firstRowFirstColumn="0" w:firstRowLastColumn="0" w:lastRowFirstColumn="0" w:lastRowLastColumn="0"/>
              <w:rPr>
                <w:sz w:val="15"/>
                <w:szCs w:val="15"/>
              </w:rPr>
            </w:pPr>
          </w:p>
        </w:tc>
      </w:tr>
      <w:tr w:rsidR="00182709" w14:paraId="4B271009" w14:textId="77777777" w:rsidTr="00FA63D4">
        <w:tc>
          <w:tcPr>
            <w:cnfStyle w:val="001000000000" w:firstRow="0" w:lastRow="0" w:firstColumn="1" w:lastColumn="0" w:oddVBand="0" w:evenVBand="0" w:oddHBand="0" w:evenHBand="0" w:firstRowFirstColumn="0" w:firstRowLastColumn="0" w:lastRowFirstColumn="0" w:lastRowLastColumn="0"/>
            <w:tcW w:w="2184" w:type="dxa"/>
            <w:tcBorders>
              <w:bottom w:val="single" w:sz="12" w:space="0" w:color="auto"/>
            </w:tcBorders>
          </w:tcPr>
          <w:p w14:paraId="52A77836" w14:textId="77777777" w:rsidR="00182709" w:rsidRPr="00DC7993" w:rsidRDefault="0044097C" w:rsidP="00FA63D4">
            <w:pPr>
              <w:ind w:left="170"/>
              <w:rPr>
                <w:sz w:val="15"/>
                <w:szCs w:val="15"/>
              </w:rPr>
            </w:pPr>
            <w:r w:rsidRPr="00DC7993">
              <w:rPr>
                <w:sz w:val="15"/>
                <w:szCs w:val="15"/>
              </w:rPr>
              <w:t>Revaluation</w:t>
            </w:r>
          </w:p>
        </w:tc>
        <w:tc>
          <w:tcPr>
            <w:tcW w:w="896" w:type="dxa"/>
            <w:tcBorders>
              <w:bottom w:val="single" w:sz="12" w:space="0" w:color="auto"/>
            </w:tcBorders>
          </w:tcPr>
          <w:p w14:paraId="7DBB975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(329)</w:t>
            </w:r>
          </w:p>
        </w:tc>
        <w:tc>
          <w:tcPr>
            <w:tcW w:w="966" w:type="dxa"/>
            <w:tcBorders>
              <w:bottom w:val="single" w:sz="12" w:space="0" w:color="auto"/>
            </w:tcBorders>
          </w:tcPr>
          <w:p w14:paraId="20A8E74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(89)</w:t>
            </w:r>
          </w:p>
        </w:tc>
        <w:tc>
          <w:tcPr>
            <w:tcW w:w="774" w:type="dxa"/>
            <w:tcBorders>
              <w:bottom w:val="single" w:sz="12" w:space="0" w:color="auto"/>
            </w:tcBorders>
          </w:tcPr>
          <w:p w14:paraId="0ABC609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(1 036)</w:t>
            </w:r>
          </w:p>
        </w:tc>
        <w:tc>
          <w:tcPr>
            <w:tcW w:w="850" w:type="dxa"/>
            <w:tcBorders>
              <w:bottom w:val="single" w:sz="12" w:space="0" w:color="auto"/>
            </w:tcBorders>
          </w:tcPr>
          <w:p w14:paraId="77D2284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81" w:type="dxa"/>
            <w:tcBorders>
              <w:bottom w:val="single" w:sz="12" w:space="0" w:color="auto"/>
            </w:tcBorders>
          </w:tcPr>
          <w:p w14:paraId="545FA75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06" w:type="dxa"/>
            <w:tcBorders>
              <w:bottom w:val="single" w:sz="12" w:space="0" w:color="auto"/>
            </w:tcBorders>
          </w:tcPr>
          <w:p w14:paraId="74A4CC4A"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(397)</w:t>
            </w:r>
          </w:p>
        </w:tc>
        <w:tc>
          <w:tcPr>
            <w:tcW w:w="1075" w:type="dxa"/>
            <w:tcBorders>
              <w:bottom w:val="single" w:sz="12" w:space="0" w:color="auto"/>
            </w:tcBorders>
          </w:tcPr>
          <w:p w14:paraId="713E187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(385)</w:t>
            </w:r>
          </w:p>
        </w:tc>
        <w:tc>
          <w:tcPr>
            <w:tcW w:w="907" w:type="dxa"/>
            <w:tcBorders>
              <w:bottom w:val="single" w:sz="12" w:space="0" w:color="auto"/>
            </w:tcBorders>
          </w:tcPr>
          <w:p w14:paraId="763E3292" w14:textId="4A7708A1" w:rsidR="00182709" w:rsidRPr="00DC7993" w:rsidRDefault="00A95297">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671D55" w14:paraId="69A14192"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349F12FF" w14:textId="77777777" w:rsidR="00182709" w:rsidRPr="00DC7993" w:rsidRDefault="0044097C" w:rsidP="00DC7993">
            <w:pPr>
              <w:ind w:left="170" w:hanging="170"/>
              <w:rPr>
                <w:sz w:val="15"/>
                <w:szCs w:val="15"/>
              </w:rPr>
            </w:pPr>
            <w:r w:rsidRPr="00DC7993">
              <w:rPr>
                <w:b/>
                <w:sz w:val="15"/>
                <w:szCs w:val="15"/>
              </w:rPr>
              <w:t>Subtotal</w:t>
            </w:r>
          </w:p>
        </w:tc>
        <w:tc>
          <w:tcPr>
            <w:tcW w:w="896" w:type="dxa"/>
          </w:tcPr>
          <w:p w14:paraId="55A87F6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(329)</w:t>
            </w:r>
          </w:p>
        </w:tc>
        <w:tc>
          <w:tcPr>
            <w:tcW w:w="966" w:type="dxa"/>
          </w:tcPr>
          <w:p w14:paraId="3C2D5AA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(89)</w:t>
            </w:r>
          </w:p>
        </w:tc>
        <w:tc>
          <w:tcPr>
            <w:tcW w:w="774" w:type="dxa"/>
          </w:tcPr>
          <w:p w14:paraId="32FC962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(1 036)</w:t>
            </w:r>
          </w:p>
        </w:tc>
        <w:tc>
          <w:tcPr>
            <w:tcW w:w="850" w:type="dxa"/>
          </w:tcPr>
          <w:p w14:paraId="1F1876C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81" w:type="dxa"/>
          </w:tcPr>
          <w:p w14:paraId="0891CE18"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06" w:type="dxa"/>
          </w:tcPr>
          <w:p w14:paraId="5C9C36B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(397)</w:t>
            </w:r>
          </w:p>
        </w:tc>
        <w:tc>
          <w:tcPr>
            <w:tcW w:w="1075" w:type="dxa"/>
          </w:tcPr>
          <w:p w14:paraId="6FEC4666"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(385)</w:t>
            </w:r>
          </w:p>
        </w:tc>
        <w:tc>
          <w:tcPr>
            <w:tcW w:w="907" w:type="dxa"/>
          </w:tcPr>
          <w:p w14:paraId="5655A62C"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r w:rsidR="00671D55" w14:paraId="1FCF418D"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34F7BA7F" w14:textId="77777777" w:rsidR="00182709" w:rsidRPr="00DC7993" w:rsidRDefault="0044097C" w:rsidP="00DC7993">
            <w:pPr>
              <w:ind w:left="170" w:hanging="170"/>
              <w:rPr>
                <w:sz w:val="15"/>
                <w:szCs w:val="15"/>
              </w:rPr>
            </w:pPr>
            <w:r w:rsidRPr="00DC7993">
              <w:rPr>
                <w:b/>
                <w:sz w:val="15"/>
                <w:szCs w:val="15"/>
              </w:rPr>
              <w:t>Closing balance</w:t>
            </w:r>
          </w:p>
        </w:tc>
        <w:tc>
          <w:tcPr>
            <w:tcW w:w="896" w:type="dxa"/>
          </w:tcPr>
          <w:p w14:paraId="1EBA5B8D"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2 784</w:t>
            </w:r>
          </w:p>
        </w:tc>
        <w:tc>
          <w:tcPr>
            <w:tcW w:w="966" w:type="dxa"/>
          </w:tcPr>
          <w:p w14:paraId="6E56F9A6" w14:textId="0249304C" w:rsidR="00182709" w:rsidRPr="00DC7993" w:rsidRDefault="00112A46">
            <w:pPr>
              <w:cnfStyle w:val="000000000000" w:firstRow="0" w:lastRow="0" w:firstColumn="0" w:lastColumn="0" w:oddVBand="0" w:evenVBand="0" w:oddHBand="0" w:evenHBand="0" w:firstRowFirstColumn="0" w:firstRowLastColumn="0" w:lastRowFirstColumn="0" w:lastRowLastColumn="0"/>
              <w:rPr>
                <w:sz w:val="15"/>
                <w:szCs w:val="15"/>
              </w:rPr>
            </w:pPr>
            <w:r>
              <w:rPr>
                <w:b/>
                <w:sz w:val="15"/>
                <w:szCs w:val="15"/>
              </w:rPr>
              <w:t>62 115</w:t>
            </w:r>
          </w:p>
        </w:tc>
        <w:tc>
          <w:tcPr>
            <w:tcW w:w="774" w:type="dxa"/>
          </w:tcPr>
          <w:p w14:paraId="19B455CF" w14:textId="4CCE976B"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10 5</w:t>
            </w:r>
            <w:r w:rsidR="00112A46">
              <w:rPr>
                <w:b/>
                <w:sz w:val="15"/>
                <w:szCs w:val="15"/>
              </w:rPr>
              <w:t>4</w:t>
            </w:r>
            <w:r w:rsidRPr="00DC7993">
              <w:rPr>
                <w:b/>
                <w:sz w:val="15"/>
                <w:szCs w:val="15"/>
              </w:rPr>
              <w:t>6</w:t>
            </w:r>
          </w:p>
        </w:tc>
        <w:tc>
          <w:tcPr>
            <w:tcW w:w="850" w:type="dxa"/>
          </w:tcPr>
          <w:p w14:paraId="364CAD7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16 941</w:t>
            </w:r>
          </w:p>
        </w:tc>
        <w:tc>
          <w:tcPr>
            <w:tcW w:w="881" w:type="dxa"/>
          </w:tcPr>
          <w:p w14:paraId="36A73161"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30 935</w:t>
            </w:r>
          </w:p>
        </w:tc>
        <w:tc>
          <w:tcPr>
            <w:tcW w:w="1106" w:type="dxa"/>
          </w:tcPr>
          <w:p w14:paraId="471E21D7"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1 685</w:t>
            </w:r>
          </w:p>
        </w:tc>
        <w:tc>
          <w:tcPr>
            <w:tcW w:w="1075" w:type="dxa"/>
          </w:tcPr>
          <w:p w14:paraId="6A05198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2 257</w:t>
            </w:r>
          </w:p>
        </w:tc>
        <w:tc>
          <w:tcPr>
            <w:tcW w:w="907" w:type="dxa"/>
          </w:tcPr>
          <w:p w14:paraId="60B0795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2 000</w:t>
            </w:r>
          </w:p>
        </w:tc>
      </w:tr>
      <w:tr w:rsidR="00671D55" w14:paraId="7A38B3D2" w14:textId="77777777" w:rsidTr="00FA63D4">
        <w:tc>
          <w:tcPr>
            <w:cnfStyle w:val="001000000000" w:firstRow="0" w:lastRow="0" w:firstColumn="1" w:lastColumn="0" w:oddVBand="0" w:evenVBand="0" w:oddHBand="0" w:evenHBand="0" w:firstRowFirstColumn="0" w:firstRowLastColumn="0" w:lastRowFirstColumn="0" w:lastRowLastColumn="0"/>
            <w:tcW w:w="2184" w:type="dxa"/>
          </w:tcPr>
          <w:p w14:paraId="5671C2EA" w14:textId="77777777" w:rsidR="00182709" w:rsidRPr="00DC7993" w:rsidRDefault="0044097C" w:rsidP="00DC7993">
            <w:pPr>
              <w:ind w:left="170" w:hanging="170"/>
              <w:rPr>
                <w:sz w:val="15"/>
                <w:szCs w:val="15"/>
              </w:rPr>
            </w:pPr>
            <w:r w:rsidRPr="00DC7993">
              <w:rPr>
                <w:b/>
                <w:sz w:val="15"/>
                <w:szCs w:val="15"/>
              </w:rPr>
              <w:t xml:space="preserve">Unrealised gains/(losses) on non‑financial assets </w:t>
            </w:r>
            <w:r w:rsidRPr="00DC7993">
              <w:rPr>
                <w:b/>
                <w:sz w:val="15"/>
                <w:szCs w:val="15"/>
                <w:vertAlign w:val="superscript"/>
              </w:rPr>
              <w:t>(a)</w:t>
            </w:r>
          </w:p>
        </w:tc>
        <w:tc>
          <w:tcPr>
            <w:tcW w:w="896" w:type="dxa"/>
          </w:tcPr>
          <w:p w14:paraId="654F7F5F"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66" w:type="dxa"/>
          </w:tcPr>
          <w:p w14:paraId="35D63CB9"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774" w:type="dxa"/>
          </w:tcPr>
          <w:p w14:paraId="76E45D8B"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50" w:type="dxa"/>
          </w:tcPr>
          <w:p w14:paraId="31E5A39E"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81" w:type="dxa"/>
          </w:tcPr>
          <w:p w14:paraId="51C2C3A2"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06" w:type="dxa"/>
          </w:tcPr>
          <w:p w14:paraId="37D7F28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075" w:type="dxa"/>
          </w:tcPr>
          <w:p w14:paraId="727FBBE5"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07" w:type="dxa"/>
          </w:tcPr>
          <w:p w14:paraId="29582964" w14:textId="77777777" w:rsidR="00182709" w:rsidRPr="00DC7993" w:rsidRDefault="0044097C">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r>
    </w:tbl>
    <w:p w14:paraId="552F2036" w14:textId="77777777" w:rsidR="003719CD" w:rsidRDefault="003719CD" w:rsidP="007D536F">
      <w:pPr>
        <w:pStyle w:val="Note"/>
      </w:pPr>
    </w:p>
    <w:tbl>
      <w:tblPr>
        <w:tblStyle w:val="DTFTable"/>
        <w:tblW w:w="9639" w:type="dxa"/>
        <w:tblLayout w:type="fixed"/>
        <w:tblLook w:val="06A0" w:firstRow="1" w:lastRow="0" w:firstColumn="1" w:lastColumn="0" w:noHBand="1" w:noVBand="1"/>
      </w:tblPr>
      <w:tblGrid>
        <w:gridCol w:w="2198"/>
        <w:gridCol w:w="921"/>
        <w:gridCol w:w="941"/>
        <w:gridCol w:w="784"/>
        <w:gridCol w:w="853"/>
        <w:gridCol w:w="824"/>
        <w:gridCol w:w="1136"/>
        <w:gridCol w:w="1080"/>
        <w:gridCol w:w="902"/>
      </w:tblGrid>
      <w:tr w:rsidR="00245389" w14:paraId="28820C8C" w14:textId="0E582F96" w:rsidTr="00FA63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98" w:type="dxa"/>
          </w:tcPr>
          <w:p w14:paraId="3993B0BE" w14:textId="5A44CA1A" w:rsidR="00245389" w:rsidRPr="00DC7993" w:rsidRDefault="00F01706">
            <w:pPr>
              <w:keepNext/>
              <w:rPr>
                <w:sz w:val="15"/>
                <w:szCs w:val="15"/>
              </w:rPr>
            </w:pPr>
            <w:fldSimple w:instr="DOCPROPERTY  YearPrevious  \* MERGEFORMAT">
              <w:r>
                <w:rPr>
                  <w:lang w:val="en-US"/>
                </w:rPr>
                <w:t>20X1</w:t>
              </w:r>
            </w:fldSimple>
          </w:p>
        </w:tc>
        <w:tc>
          <w:tcPr>
            <w:tcW w:w="921" w:type="dxa"/>
          </w:tcPr>
          <w:p w14:paraId="71F03752" w14:textId="32169D4A"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941" w:type="dxa"/>
          </w:tcPr>
          <w:p w14:paraId="27873DE0" w14:textId="1EDA26FE"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784" w:type="dxa"/>
          </w:tcPr>
          <w:p w14:paraId="0A5D823C" w14:textId="7C6737F2"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853" w:type="dxa"/>
          </w:tcPr>
          <w:p w14:paraId="4059F2B1" w14:textId="3770C5F6"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824" w:type="dxa"/>
          </w:tcPr>
          <w:p w14:paraId="55C0414C" w14:textId="2D0517DA"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1136" w:type="dxa"/>
          </w:tcPr>
          <w:p w14:paraId="4B95E803" w14:textId="259700C4"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1080" w:type="dxa"/>
          </w:tcPr>
          <w:p w14:paraId="50F2880A" w14:textId="06668207"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c>
          <w:tcPr>
            <w:tcW w:w="902" w:type="dxa"/>
          </w:tcPr>
          <w:p w14:paraId="6826417E" w14:textId="06E7D1C1" w:rsidR="00245389" w:rsidRPr="00DC7993" w:rsidRDefault="00245389">
            <w:pPr>
              <w:keepNext/>
              <w:cnfStyle w:val="100000000000" w:firstRow="1" w:lastRow="0" w:firstColumn="0" w:lastColumn="0" w:oddVBand="0" w:evenVBand="0" w:oddHBand="0" w:evenHBand="0" w:firstRowFirstColumn="0" w:firstRowLastColumn="0" w:lastRowFirstColumn="0" w:lastRowLastColumn="0"/>
              <w:rPr>
                <w:sz w:val="15"/>
                <w:szCs w:val="15"/>
              </w:rPr>
            </w:pPr>
          </w:p>
        </w:tc>
      </w:tr>
      <w:tr w:rsidR="00245389" w14:paraId="30BA7B38" w14:textId="052C71DE"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20283160" w14:textId="77777777" w:rsidR="00245389" w:rsidRPr="00DC7993" w:rsidRDefault="00245389" w:rsidP="00DC7993">
            <w:pPr>
              <w:ind w:left="170" w:hanging="170"/>
              <w:rPr>
                <w:sz w:val="15"/>
                <w:szCs w:val="15"/>
              </w:rPr>
            </w:pPr>
            <w:r w:rsidRPr="00DC7993">
              <w:rPr>
                <w:b/>
                <w:sz w:val="15"/>
                <w:szCs w:val="15"/>
              </w:rPr>
              <w:t>Opening balance</w:t>
            </w:r>
          </w:p>
        </w:tc>
        <w:tc>
          <w:tcPr>
            <w:tcW w:w="921" w:type="dxa"/>
            <w:tcBorders>
              <w:bottom w:val="single" w:sz="12" w:space="0" w:color="auto"/>
            </w:tcBorders>
          </w:tcPr>
          <w:p w14:paraId="40FAF38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2 306</w:t>
            </w:r>
          </w:p>
        </w:tc>
        <w:tc>
          <w:tcPr>
            <w:tcW w:w="941" w:type="dxa"/>
            <w:tcBorders>
              <w:bottom w:val="single" w:sz="12" w:space="0" w:color="auto"/>
            </w:tcBorders>
          </w:tcPr>
          <w:p w14:paraId="765DA96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62 494</w:t>
            </w:r>
          </w:p>
        </w:tc>
        <w:tc>
          <w:tcPr>
            <w:tcW w:w="784" w:type="dxa"/>
            <w:tcBorders>
              <w:bottom w:val="single" w:sz="12" w:space="0" w:color="auto"/>
            </w:tcBorders>
          </w:tcPr>
          <w:p w14:paraId="0239D8E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14 943</w:t>
            </w:r>
          </w:p>
        </w:tc>
        <w:tc>
          <w:tcPr>
            <w:tcW w:w="853" w:type="dxa"/>
            <w:tcBorders>
              <w:bottom w:val="single" w:sz="12" w:space="0" w:color="auto"/>
            </w:tcBorders>
          </w:tcPr>
          <w:p w14:paraId="0043A83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13 881</w:t>
            </w:r>
          </w:p>
        </w:tc>
        <w:tc>
          <w:tcPr>
            <w:tcW w:w="824" w:type="dxa"/>
            <w:tcBorders>
              <w:bottom w:val="single" w:sz="12" w:space="0" w:color="auto"/>
            </w:tcBorders>
          </w:tcPr>
          <w:p w14:paraId="3E99B8C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25 016</w:t>
            </w:r>
          </w:p>
        </w:tc>
        <w:tc>
          <w:tcPr>
            <w:tcW w:w="1136" w:type="dxa"/>
            <w:tcBorders>
              <w:bottom w:val="single" w:sz="12" w:space="0" w:color="auto"/>
            </w:tcBorders>
          </w:tcPr>
          <w:p w14:paraId="2A517C0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7 767</w:t>
            </w:r>
          </w:p>
        </w:tc>
        <w:tc>
          <w:tcPr>
            <w:tcW w:w="1080" w:type="dxa"/>
            <w:tcBorders>
              <w:bottom w:val="single" w:sz="12" w:space="0" w:color="auto"/>
            </w:tcBorders>
          </w:tcPr>
          <w:p w14:paraId="130F0F4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8 475</w:t>
            </w:r>
          </w:p>
        </w:tc>
        <w:tc>
          <w:tcPr>
            <w:tcW w:w="902" w:type="dxa"/>
            <w:tcBorders>
              <w:bottom w:val="single" w:sz="12" w:space="0" w:color="auto"/>
            </w:tcBorders>
          </w:tcPr>
          <w:p w14:paraId="151904C1" w14:textId="42DE65F7" w:rsidR="00245389" w:rsidRPr="00DC7993" w:rsidRDefault="00245389">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671D55" w14:paraId="74C58AE1"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727F2A8F" w14:textId="77777777" w:rsidR="00245389" w:rsidRPr="00DC7993" w:rsidRDefault="00245389" w:rsidP="00DC7993">
            <w:pPr>
              <w:ind w:left="170" w:hanging="170"/>
              <w:rPr>
                <w:sz w:val="15"/>
                <w:szCs w:val="15"/>
              </w:rPr>
            </w:pPr>
            <w:r w:rsidRPr="00DC7993">
              <w:rPr>
                <w:sz w:val="15"/>
                <w:szCs w:val="15"/>
              </w:rPr>
              <w:t>Purchases (sales)</w:t>
            </w:r>
          </w:p>
        </w:tc>
        <w:tc>
          <w:tcPr>
            <w:tcW w:w="921" w:type="dxa"/>
          </w:tcPr>
          <w:p w14:paraId="1390A07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527</w:t>
            </w:r>
          </w:p>
        </w:tc>
        <w:tc>
          <w:tcPr>
            <w:tcW w:w="941" w:type="dxa"/>
          </w:tcPr>
          <w:p w14:paraId="2E69D50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1 073</w:t>
            </w:r>
          </w:p>
        </w:tc>
        <w:tc>
          <w:tcPr>
            <w:tcW w:w="784" w:type="dxa"/>
          </w:tcPr>
          <w:p w14:paraId="2D1DF31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570</w:t>
            </w:r>
          </w:p>
        </w:tc>
        <w:tc>
          <w:tcPr>
            <w:tcW w:w="853" w:type="dxa"/>
          </w:tcPr>
          <w:p w14:paraId="71037DC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1 691</w:t>
            </w:r>
          </w:p>
        </w:tc>
        <w:tc>
          <w:tcPr>
            <w:tcW w:w="824" w:type="dxa"/>
          </w:tcPr>
          <w:p w14:paraId="2DFC9BD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3 041</w:t>
            </w:r>
          </w:p>
        </w:tc>
        <w:tc>
          <w:tcPr>
            <w:tcW w:w="1136" w:type="dxa"/>
          </w:tcPr>
          <w:p w14:paraId="4EF2BC6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(986)</w:t>
            </w:r>
          </w:p>
        </w:tc>
        <w:tc>
          <w:tcPr>
            <w:tcW w:w="1080" w:type="dxa"/>
          </w:tcPr>
          <w:p w14:paraId="51329196"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(749)</w:t>
            </w:r>
          </w:p>
        </w:tc>
        <w:tc>
          <w:tcPr>
            <w:tcW w:w="902" w:type="dxa"/>
          </w:tcPr>
          <w:p w14:paraId="7DAD28F9" w14:textId="1E5D045F"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440F6A1C" w14:textId="62D3CC24" w:rsidTr="00FA63D4">
        <w:tc>
          <w:tcPr>
            <w:cnfStyle w:val="001000000000" w:firstRow="0" w:lastRow="0" w:firstColumn="1" w:lastColumn="0" w:oddVBand="0" w:evenVBand="0" w:oddHBand="0" w:evenHBand="0" w:firstRowFirstColumn="0" w:firstRowLastColumn="0" w:lastRowFirstColumn="0" w:lastRowLastColumn="0"/>
            <w:tcW w:w="2198" w:type="dxa"/>
          </w:tcPr>
          <w:p w14:paraId="6C905BF4" w14:textId="77777777" w:rsidR="00245389" w:rsidRPr="00DC7993" w:rsidRDefault="00245389" w:rsidP="00DC7993">
            <w:pPr>
              <w:ind w:left="170" w:hanging="170"/>
              <w:rPr>
                <w:sz w:val="15"/>
                <w:szCs w:val="15"/>
              </w:rPr>
            </w:pPr>
            <w:r w:rsidRPr="00DC7993">
              <w:rPr>
                <w:sz w:val="15"/>
                <w:szCs w:val="15"/>
              </w:rPr>
              <w:t>Transfers in (out) of Level 3</w:t>
            </w:r>
          </w:p>
        </w:tc>
        <w:tc>
          <w:tcPr>
            <w:tcW w:w="921" w:type="dxa"/>
          </w:tcPr>
          <w:p w14:paraId="79247E9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Pr>
          <w:p w14:paraId="0818ACA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784" w:type="dxa"/>
          </w:tcPr>
          <w:p w14:paraId="35A3BDF6"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53" w:type="dxa"/>
          </w:tcPr>
          <w:p w14:paraId="65BB4A8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24" w:type="dxa"/>
          </w:tcPr>
          <w:p w14:paraId="5D27E84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Pr>
          <w:p w14:paraId="5F07AD1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080" w:type="dxa"/>
          </w:tcPr>
          <w:p w14:paraId="4487FA0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02" w:type="dxa"/>
          </w:tcPr>
          <w:p w14:paraId="724B6AB9" w14:textId="6F173010"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60ABE19A" w14:textId="1C4794D9" w:rsidTr="00FA63D4">
        <w:tc>
          <w:tcPr>
            <w:cnfStyle w:val="001000000000" w:firstRow="0" w:lastRow="0" w:firstColumn="1" w:lastColumn="0" w:oddVBand="0" w:evenVBand="0" w:oddHBand="0" w:evenHBand="0" w:firstRowFirstColumn="0" w:firstRowLastColumn="0" w:lastRowFirstColumn="0" w:lastRowLastColumn="0"/>
            <w:tcW w:w="2198" w:type="dxa"/>
          </w:tcPr>
          <w:p w14:paraId="1E6690C9" w14:textId="77777777" w:rsidR="00245389" w:rsidRPr="00DC7993" w:rsidRDefault="00245389" w:rsidP="00FA63D4">
            <w:pPr>
              <w:rPr>
                <w:sz w:val="15"/>
                <w:szCs w:val="15"/>
              </w:rPr>
            </w:pPr>
            <w:r w:rsidRPr="00DC7993">
              <w:rPr>
                <w:sz w:val="15"/>
                <w:szCs w:val="15"/>
              </w:rPr>
              <w:t>Gains or losses recognised in net result</w:t>
            </w:r>
          </w:p>
        </w:tc>
        <w:tc>
          <w:tcPr>
            <w:tcW w:w="921" w:type="dxa"/>
          </w:tcPr>
          <w:p w14:paraId="5FCD35F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41" w:type="dxa"/>
          </w:tcPr>
          <w:p w14:paraId="5E9C922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784" w:type="dxa"/>
          </w:tcPr>
          <w:p w14:paraId="37A0F12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53" w:type="dxa"/>
          </w:tcPr>
          <w:p w14:paraId="345094C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24" w:type="dxa"/>
          </w:tcPr>
          <w:p w14:paraId="12694D5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136" w:type="dxa"/>
          </w:tcPr>
          <w:p w14:paraId="6CC81C4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080" w:type="dxa"/>
          </w:tcPr>
          <w:p w14:paraId="53F0BEC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02" w:type="dxa"/>
          </w:tcPr>
          <w:p w14:paraId="0126024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r>
      <w:tr w:rsidR="00245389" w14:paraId="54846D2C" w14:textId="39FEFCDE" w:rsidTr="00FA63D4">
        <w:tc>
          <w:tcPr>
            <w:cnfStyle w:val="001000000000" w:firstRow="0" w:lastRow="0" w:firstColumn="1" w:lastColumn="0" w:oddVBand="0" w:evenVBand="0" w:oddHBand="0" w:evenHBand="0" w:firstRowFirstColumn="0" w:firstRowLastColumn="0" w:lastRowFirstColumn="0" w:lastRowLastColumn="0"/>
            <w:tcW w:w="2198" w:type="dxa"/>
          </w:tcPr>
          <w:p w14:paraId="3CFAAA2F" w14:textId="77777777" w:rsidR="00245389" w:rsidRPr="00DC7993" w:rsidRDefault="00245389" w:rsidP="00FA63D4">
            <w:pPr>
              <w:ind w:left="340" w:hanging="170"/>
              <w:rPr>
                <w:sz w:val="15"/>
                <w:szCs w:val="15"/>
              </w:rPr>
            </w:pPr>
            <w:r w:rsidRPr="00DC7993">
              <w:rPr>
                <w:sz w:val="15"/>
                <w:szCs w:val="15"/>
              </w:rPr>
              <w:t>Depreciation</w:t>
            </w:r>
          </w:p>
        </w:tc>
        <w:tc>
          <w:tcPr>
            <w:tcW w:w="921" w:type="dxa"/>
          </w:tcPr>
          <w:p w14:paraId="775FB3B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Pr>
          <w:p w14:paraId="2D7EBA9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(56)</w:t>
            </w:r>
          </w:p>
        </w:tc>
        <w:tc>
          <w:tcPr>
            <w:tcW w:w="784" w:type="dxa"/>
          </w:tcPr>
          <w:p w14:paraId="71C817F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(1 131)</w:t>
            </w:r>
          </w:p>
        </w:tc>
        <w:tc>
          <w:tcPr>
            <w:tcW w:w="853" w:type="dxa"/>
          </w:tcPr>
          <w:p w14:paraId="244CC0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(138)</w:t>
            </w:r>
          </w:p>
        </w:tc>
        <w:tc>
          <w:tcPr>
            <w:tcW w:w="824" w:type="dxa"/>
          </w:tcPr>
          <w:p w14:paraId="2F89FFB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(269)</w:t>
            </w:r>
          </w:p>
        </w:tc>
        <w:tc>
          <w:tcPr>
            <w:tcW w:w="1136" w:type="dxa"/>
          </w:tcPr>
          <w:p w14:paraId="5C2454D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(585)</w:t>
            </w:r>
          </w:p>
        </w:tc>
        <w:tc>
          <w:tcPr>
            <w:tcW w:w="1080" w:type="dxa"/>
          </w:tcPr>
          <w:p w14:paraId="78D7A6E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(1 217)</w:t>
            </w:r>
          </w:p>
        </w:tc>
        <w:tc>
          <w:tcPr>
            <w:tcW w:w="902" w:type="dxa"/>
          </w:tcPr>
          <w:p w14:paraId="06379DDE" w14:textId="00CA6FA2"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245389" w14:paraId="33486F68" w14:textId="1EE4A2D3"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775D0726" w14:textId="77777777" w:rsidR="00245389" w:rsidRPr="00DC7993" w:rsidRDefault="00245389" w:rsidP="00FA63D4">
            <w:pPr>
              <w:ind w:left="340" w:hanging="170"/>
              <w:rPr>
                <w:sz w:val="15"/>
                <w:szCs w:val="15"/>
              </w:rPr>
            </w:pPr>
            <w:r w:rsidRPr="00DC7993">
              <w:rPr>
                <w:sz w:val="15"/>
                <w:szCs w:val="15"/>
              </w:rPr>
              <w:t>Impairment loss</w:t>
            </w:r>
          </w:p>
        </w:tc>
        <w:tc>
          <w:tcPr>
            <w:tcW w:w="921" w:type="dxa"/>
            <w:tcBorders>
              <w:bottom w:val="single" w:sz="12" w:space="0" w:color="auto"/>
            </w:tcBorders>
          </w:tcPr>
          <w:p w14:paraId="46E838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941" w:type="dxa"/>
            <w:tcBorders>
              <w:bottom w:val="single" w:sz="12" w:space="0" w:color="auto"/>
            </w:tcBorders>
          </w:tcPr>
          <w:p w14:paraId="55D28EF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(44)</w:t>
            </w:r>
          </w:p>
        </w:tc>
        <w:tc>
          <w:tcPr>
            <w:tcW w:w="784" w:type="dxa"/>
            <w:tcBorders>
              <w:bottom w:val="single" w:sz="12" w:space="0" w:color="auto"/>
            </w:tcBorders>
          </w:tcPr>
          <w:p w14:paraId="09C3CF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(536)</w:t>
            </w:r>
          </w:p>
        </w:tc>
        <w:tc>
          <w:tcPr>
            <w:tcW w:w="853" w:type="dxa"/>
            <w:tcBorders>
              <w:bottom w:val="single" w:sz="12" w:space="0" w:color="auto"/>
            </w:tcBorders>
          </w:tcPr>
          <w:p w14:paraId="38023AC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(113)</w:t>
            </w:r>
          </w:p>
        </w:tc>
        <w:tc>
          <w:tcPr>
            <w:tcW w:w="824" w:type="dxa"/>
            <w:tcBorders>
              <w:bottom w:val="single" w:sz="12" w:space="0" w:color="auto"/>
            </w:tcBorders>
          </w:tcPr>
          <w:p w14:paraId="4895702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Borders>
              <w:bottom w:val="single" w:sz="12" w:space="0" w:color="auto"/>
            </w:tcBorders>
          </w:tcPr>
          <w:p w14:paraId="27FB96A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(673)</w:t>
            </w:r>
          </w:p>
        </w:tc>
        <w:tc>
          <w:tcPr>
            <w:tcW w:w="1080" w:type="dxa"/>
            <w:tcBorders>
              <w:bottom w:val="single" w:sz="12" w:space="0" w:color="auto"/>
            </w:tcBorders>
          </w:tcPr>
          <w:p w14:paraId="79CF576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(664)</w:t>
            </w:r>
          </w:p>
        </w:tc>
        <w:tc>
          <w:tcPr>
            <w:tcW w:w="902" w:type="dxa"/>
            <w:tcBorders>
              <w:bottom w:val="single" w:sz="12" w:space="0" w:color="auto"/>
            </w:tcBorders>
          </w:tcPr>
          <w:p w14:paraId="4447302D" w14:textId="73E56A9B"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671D55" w14:paraId="6374A525"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7CE6C0BE" w14:textId="77777777" w:rsidR="00245389" w:rsidRPr="00DC7993" w:rsidRDefault="00245389" w:rsidP="00DC7993">
            <w:pPr>
              <w:ind w:left="170" w:hanging="170"/>
              <w:rPr>
                <w:sz w:val="15"/>
                <w:szCs w:val="15"/>
              </w:rPr>
            </w:pPr>
            <w:r w:rsidRPr="00DC7993">
              <w:rPr>
                <w:b/>
                <w:sz w:val="15"/>
                <w:szCs w:val="15"/>
              </w:rPr>
              <w:t>Subtotal</w:t>
            </w:r>
          </w:p>
        </w:tc>
        <w:tc>
          <w:tcPr>
            <w:tcW w:w="921" w:type="dxa"/>
          </w:tcPr>
          <w:p w14:paraId="3B7D42A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41" w:type="dxa"/>
          </w:tcPr>
          <w:p w14:paraId="4F736785"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(100)</w:t>
            </w:r>
          </w:p>
        </w:tc>
        <w:tc>
          <w:tcPr>
            <w:tcW w:w="784" w:type="dxa"/>
          </w:tcPr>
          <w:p w14:paraId="19574B8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(1 667)</w:t>
            </w:r>
          </w:p>
        </w:tc>
        <w:tc>
          <w:tcPr>
            <w:tcW w:w="853" w:type="dxa"/>
          </w:tcPr>
          <w:p w14:paraId="44F88D2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(251)</w:t>
            </w:r>
          </w:p>
        </w:tc>
        <w:tc>
          <w:tcPr>
            <w:tcW w:w="824" w:type="dxa"/>
          </w:tcPr>
          <w:p w14:paraId="0E4CADC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(269)</w:t>
            </w:r>
          </w:p>
        </w:tc>
        <w:tc>
          <w:tcPr>
            <w:tcW w:w="1136" w:type="dxa"/>
          </w:tcPr>
          <w:p w14:paraId="2EB24D4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(1 258)</w:t>
            </w:r>
          </w:p>
        </w:tc>
        <w:tc>
          <w:tcPr>
            <w:tcW w:w="1080" w:type="dxa"/>
          </w:tcPr>
          <w:p w14:paraId="094B954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(1 881)</w:t>
            </w:r>
          </w:p>
        </w:tc>
        <w:tc>
          <w:tcPr>
            <w:tcW w:w="902" w:type="dxa"/>
          </w:tcPr>
          <w:p w14:paraId="13C0EA70" w14:textId="6C4C8AD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671D55" w14:paraId="7DC89BB1"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1DC73FB3" w14:textId="262F6A58" w:rsidR="00245389" w:rsidRPr="00DC7993" w:rsidRDefault="00245389" w:rsidP="00FA63D4">
            <w:pPr>
              <w:rPr>
                <w:sz w:val="15"/>
                <w:szCs w:val="15"/>
              </w:rPr>
            </w:pPr>
            <w:r w:rsidRPr="00DC7993">
              <w:rPr>
                <w:sz w:val="15"/>
                <w:szCs w:val="15"/>
              </w:rPr>
              <w:t>Gains or losses recognised in other economic flows –</w:t>
            </w:r>
            <w:r w:rsidR="00FA63D4">
              <w:rPr>
                <w:sz w:val="15"/>
                <w:szCs w:val="15"/>
              </w:rPr>
              <w:t xml:space="preserve"> </w:t>
            </w:r>
            <w:r w:rsidR="00FA63D4" w:rsidRPr="00FA63D4">
              <w:rPr>
                <w:sz w:val="15"/>
                <w:szCs w:val="15"/>
              </w:rPr>
              <w:t>other comprehensive income</w:t>
            </w:r>
          </w:p>
        </w:tc>
        <w:tc>
          <w:tcPr>
            <w:tcW w:w="921" w:type="dxa"/>
          </w:tcPr>
          <w:p w14:paraId="7FE36CD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41" w:type="dxa"/>
          </w:tcPr>
          <w:p w14:paraId="52D4A5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784" w:type="dxa"/>
          </w:tcPr>
          <w:p w14:paraId="42E63D5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53" w:type="dxa"/>
          </w:tcPr>
          <w:p w14:paraId="15CB0C1E"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824" w:type="dxa"/>
          </w:tcPr>
          <w:p w14:paraId="299C9D83"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136" w:type="dxa"/>
          </w:tcPr>
          <w:p w14:paraId="7853706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1080" w:type="dxa"/>
          </w:tcPr>
          <w:p w14:paraId="340CC42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c>
          <w:tcPr>
            <w:tcW w:w="902" w:type="dxa"/>
          </w:tcPr>
          <w:p w14:paraId="2E81192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p>
        </w:tc>
      </w:tr>
      <w:tr w:rsidR="00245389" w14:paraId="738FAABF" w14:textId="614EC7B8" w:rsidTr="00FA63D4">
        <w:tc>
          <w:tcPr>
            <w:cnfStyle w:val="001000000000" w:firstRow="0" w:lastRow="0" w:firstColumn="1" w:lastColumn="0" w:oddVBand="0" w:evenVBand="0" w:oddHBand="0" w:evenHBand="0" w:firstRowFirstColumn="0" w:firstRowLastColumn="0" w:lastRowFirstColumn="0" w:lastRowLastColumn="0"/>
            <w:tcW w:w="2198" w:type="dxa"/>
            <w:tcBorders>
              <w:bottom w:val="single" w:sz="12" w:space="0" w:color="auto"/>
            </w:tcBorders>
          </w:tcPr>
          <w:p w14:paraId="78E8BE39" w14:textId="77777777" w:rsidR="00245389" w:rsidRPr="00DC7993" w:rsidRDefault="00245389" w:rsidP="00FA63D4">
            <w:pPr>
              <w:ind w:left="340" w:hanging="170"/>
              <w:rPr>
                <w:sz w:val="15"/>
                <w:szCs w:val="15"/>
              </w:rPr>
            </w:pPr>
            <w:r w:rsidRPr="00DC7993">
              <w:rPr>
                <w:sz w:val="15"/>
                <w:szCs w:val="15"/>
              </w:rPr>
              <w:t>Revaluation</w:t>
            </w:r>
          </w:p>
        </w:tc>
        <w:tc>
          <w:tcPr>
            <w:tcW w:w="921" w:type="dxa"/>
            <w:tcBorders>
              <w:bottom w:val="single" w:sz="12" w:space="0" w:color="auto"/>
            </w:tcBorders>
          </w:tcPr>
          <w:p w14:paraId="13D699D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(299)</w:t>
            </w:r>
          </w:p>
        </w:tc>
        <w:tc>
          <w:tcPr>
            <w:tcW w:w="941" w:type="dxa"/>
            <w:tcBorders>
              <w:bottom w:val="single" w:sz="12" w:space="0" w:color="auto"/>
            </w:tcBorders>
          </w:tcPr>
          <w:p w14:paraId="2AD81D1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(72)</w:t>
            </w:r>
          </w:p>
        </w:tc>
        <w:tc>
          <w:tcPr>
            <w:tcW w:w="784" w:type="dxa"/>
            <w:tcBorders>
              <w:bottom w:val="single" w:sz="12" w:space="0" w:color="auto"/>
            </w:tcBorders>
          </w:tcPr>
          <w:p w14:paraId="3FE0518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(1 293)</w:t>
            </w:r>
          </w:p>
        </w:tc>
        <w:tc>
          <w:tcPr>
            <w:tcW w:w="853" w:type="dxa"/>
            <w:tcBorders>
              <w:bottom w:val="single" w:sz="12" w:space="0" w:color="auto"/>
            </w:tcBorders>
          </w:tcPr>
          <w:p w14:paraId="1BA5341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824" w:type="dxa"/>
            <w:tcBorders>
              <w:bottom w:val="single" w:sz="12" w:space="0" w:color="auto"/>
            </w:tcBorders>
          </w:tcPr>
          <w:p w14:paraId="2BCB193D"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w:t>
            </w:r>
          </w:p>
        </w:tc>
        <w:tc>
          <w:tcPr>
            <w:tcW w:w="1136" w:type="dxa"/>
            <w:tcBorders>
              <w:bottom w:val="single" w:sz="12" w:space="0" w:color="auto"/>
            </w:tcBorders>
          </w:tcPr>
          <w:p w14:paraId="2994015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(592)</w:t>
            </w:r>
          </w:p>
        </w:tc>
        <w:tc>
          <w:tcPr>
            <w:tcW w:w="1080" w:type="dxa"/>
            <w:tcBorders>
              <w:bottom w:val="single" w:sz="12" w:space="0" w:color="auto"/>
            </w:tcBorders>
          </w:tcPr>
          <w:p w14:paraId="2E03573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sz w:val="15"/>
                <w:szCs w:val="15"/>
              </w:rPr>
              <w:t>(852)</w:t>
            </w:r>
          </w:p>
        </w:tc>
        <w:tc>
          <w:tcPr>
            <w:tcW w:w="902" w:type="dxa"/>
            <w:tcBorders>
              <w:bottom w:val="single" w:sz="12" w:space="0" w:color="auto"/>
            </w:tcBorders>
          </w:tcPr>
          <w:p w14:paraId="2650D116" w14:textId="6AD190EC" w:rsidR="00245389" w:rsidRPr="00DC7993" w:rsidRDefault="00FA63D4">
            <w:pPr>
              <w:cnfStyle w:val="000000000000" w:firstRow="0" w:lastRow="0" w:firstColumn="0" w:lastColumn="0" w:oddVBand="0" w:evenVBand="0" w:oddHBand="0" w:evenHBand="0" w:firstRowFirstColumn="0" w:firstRowLastColumn="0" w:lastRowFirstColumn="0" w:lastRowLastColumn="0"/>
              <w:rPr>
                <w:sz w:val="15"/>
                <w:szCs w:val="15"/>
              </w:rPr>
            </w:pPr>
            <w:r>
              <w:rPr>
                <w:sz w:val="15"/>
                <w:szCs w:val="15"/>
              </w:rPr>
              <w:t>..</w:t>
            </w:r>
          </w:p>
        </w:tc>
      </w:tr>
      <w:tr w:rsidR="00671D55" w14:paraId="58142A66"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6996469D" w14:textId="77777777" w:rsidR="00245389" w:rsidRPr="00DC7993" w:rsidRDefault="00245389" w:rsidP="00DC7993">
            <w:pPr>
              <w:ind w:left="170" w:hanging="170"/>
              <w:rPr>
                <w:sz w:val="15"/>
                <w:szCs w:val="15"/>
              </w:rPr>
            </w:pPr>
            <w:r w:rsidRPr="00DC7993">
              <w:rPr>
                <w:b/>
                <w:sz w:val="15"/>
                <w:szCs w:val="15"/>
              </w:rPr>
              <w:t>Subtotal</w:t>
            </w:r>
          </w:p>
        </w:tc>
        <w:tc>
          <w:tcPr>
            <w:tcW w:w="921" w:type="dxa"/>
          </w:tcPr>
          <w:p w14:paraId="451FDE2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(299)</w:t>
            </w:r>
          </w:p>
        </w:tc>
        <w:tc>
          <w:tcPr>
            <w:tcW w:w="941" w:type="dxa"/>
          </w:tcPr>
          <w:p w14:paraId="729A9EA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(72)</w:t>
            </w:r>
          </w:p>
        </w:tc>
        <w:tc>
          <w:tcPr>
            <w:tcW w:w="784" w:type="dxa"/>
          </w:tcPr>
          <w:p w14:paraId="30C5BC7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(1 293)</w:t>
            </w:r>
          </w:p>
        </w:tc>
        <w:tc>
          <w:tcPr>
            <w:tcW w:w="853" w:type="dxa"/>
          </w:tcPr>
          <w:p w14:paraId="2CDB2F6A"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24" w:type="dxa"/>
          </w:tcPr>
          <w:p w14:paraId="6FB6D2B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36" w:type="dxa"/>
          </w:tcPr>
          <w:p w14:paraId="53BEB52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(592)</w:t>
            </w:r>
          </w:p>
        </w:tc>
        <w:tc>
          <w:tcPr>
            <w:tcW w:w="1080" w:type="dxa"/>
          </w:tcPr>
          <w:p w14:paraId="5639ABE8"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(852)</w:t>
            </w:r>
          </w:p>
        </w:tc>
        <w:tc>
          <w:tcPr>
            <w:tcW w:w="902" w:type="dxa"/>
          </w:tcPr>
          <w:p w14:paraId="5E7EDFA8" w14:textId="10E8002B"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671D55" w14:paraId="05C86EA6"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4EA35977" w14:textId="77777777" w:rsidR="00245389" w:rsidRPr="00DC7993" w:rsidRDefault="00245389" w:rsidP="00DC7993">
            <w:pPr>
              <w:ind w:left="170" w:hanging="170"/>
              <w:rPr>
                <w:sz w:val="15"/>
                <w:szCs w:val="15"/>
              </w:rPr>
            </w:pPr>
            <w:r w:rsidRPr="00DC7993">
              <w:rPr>
                <w:b/>
                <w:sz w:val="15"/>
                <w:szCs w:val="15"/>
              </w:rPr>
              <w:t>Closing balance</w:t>
            </w:r>
          </w:p>
        </w:tc>
        <w:tc>
          <w:tcPr>
            <w:tcW w:w="921" w:type="dxa"/>
          </w:tcPr>
          <w:p w14:paraId="6BAC162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2 534</w:t>
            </w:r>
          </w:p>
        </w:tc>
        <w:tc>
          <w:tcPr>
            <w:tcW w:w="941" w:type="dxa"/>
          </w:tcPr>
          <w:p w14:paraId="43D9B90B"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63 395</w:t>
            </w:r>
          </w:p>
        </w:tc>
        <w:tc>
          <w:tcPr>
            <w:tcW w:w="784" w:type="dxa"/>
          </w:tcPr>
          <w:p w14:paraId="129CB8BC"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12 553</w:t>
            </w:r>
          </w:p>
        </w:tc>
        <w:tc>
          <w:tcPr>
            <w:tcW w:w="853" w:type="dxa"/>
          </w:tcPr>
          <w:p w14:paraId="2167C0B1"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15 321</w:t>
            </w:r>
          </w:p>
        </w:tc>
        <w:tc>
          <w:tcPr>
            <w:tcW w:w="824" w:type="dxa"/>
          </w:tcPr>
          <w:p w14:paraId="2458093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27 788</w:t>
            </w:r>
          </w:p>
        </w:tc>
        <w:tc>
          <w:tcPr>
            <w:tcW w:w="1136" w:type="dxa"/>
          </w:tcPr>
          <w:p w14:paraId="60663E52"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4 931</w:t>
            </w:r>
          </w:p>
        </w:tc>
        <w:tc>
          <w:tcPr>
            <w:tcW w:w="1080" w:type="dxa"/>
          </w:tcPr>
          <w:p w14:paraId="4D71CA9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4 993</w:t>
            </w:r>
          </w:p>
        </w:tc>
        <w:tc>
          <w:tcPr>
            <w:tcW w:w="902" w:type="dxa"/>
          </w:tcPr>
          <w:p w14:paraId="630A8B04" w14:textId="6950B49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r w:rsidR="00671D55" w14:paraId="1ECD8B23" w14:textId="77777777" w:rsidTr="00FA63D4">
        <w:tc>
          <w:tcPr>
            <w:cnfStyle w:val="001000000000" w:firstRow="0" w:lastRow="0" w:firstColumn="1" w:lastColumn="0" w:oddVBand="0" w:evenVBand="0" w:oddHBand="0" w:evenHBand="0" w:firstRowFirstColumn="0" w:firstRowLastColumn="0" w:lastRowFirstColumn="0" w:lastRowLastColumn="0"/>
            <w:tcW w:w="2198" w:type="dxa"/>
          </w:tcPr>
          <w:p w14:paraId="2CC82CF7" w14:textId="77777777" w:rsidR="00245389" w:rsidRPr="00DC7993" w:rsidRDefault="00245389" w:rsidP="00DC7993">
            <w:pPr>
              <w:ind w:left="170" w:hanging="170"/>
              <w:rPr>
                <w:sz w:val="15"/>
                <w:szCs w:val="15"/>
              </w:rPr>
            </w:pPr>
            <w:r w:rsidRPr="00DC7993">
              <w:rPr>
                <w:b/>
                <w:sz w:val="15"/>
                <w:szCs w:val="15"/>
              </w:rPr>
              <w:t xml:space="preserve">Unrealised gains/(losses) on non‑financial assets </w:t>
            </w:r>
            <w:r w:rsidRPr="00DC7993">
              <w:rPr>
                <w:b/>
                <w:sz w:val="15"/>
                <w:szCs w:val="15"/>
                <w:vertAlign w:val="superscript"/>
              </w:rPr>
              <w:t>(a)</w:t>
            </w:r>
          </w:p>
        </w:tc>
        <w:tc>
          <w:tcPr>
            <w:tcW w:w="921" w:type="dxa"/>
          </w:tcPr>
          <w:p w14:paraId="1671BC80"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41" w:type="dxa"/>
          </w:tcPr>
          <w:p w14:paraId="245939E4"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784" w:type="dxa"/>
          </w:tcPr>
          <w:p w14:paraId="0E0EACEF"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53" w:type="dxa"/>
          </w:tcPr>
          <w:p w14:paraId="640CFCC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824" w:type="dxa"/>
          </w:tcPr>
          <w:p w14:paraId="614A41B9"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136" w:type="dxa"/>
          </w:tcPr>
          <w:p w14:paraId="78C83177" w14:textId="77777777"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1080" w:type="dxa"/>
          </w:tcPr>
          <w:p w14:paraId="331EAB93" w14:textId="4BDC264E" w:rsidR="00245389" w:rsidRPr="00DC7993" w:rsidRDefault="00245389">
            <w:pPr>
              <w:cnfStyle w:val="000000000000" w:firstRow="0" w:lastRow="0" w:firstColumn="0" w:lastColumn="0" w:oddVBand="0" w:evenVBand="0" w:oddHBand="0" w:evenHBand="0" w:firstRowFirstColumn="0" w:firstRowLastColumn="0" w:lastRowFirstColumn="0" w:lastRowLastColumn="0"/>
              <w:rPr>
                <w:sz w:val="15"/>
                <w:szCs w:val="15"/>
              </w:rPr>
            </w:pPr>
            <w:r w:rsidRPr="00DC7993">
              <w:rPr>
                <w:b/>
                <w:sz w:val="15"/>
                <w:szCs w:val="15"/>
              </w:rPr>
              <w:t>..</w:t>
            </w:r>
          </w:p>
        </w:tc>
        <w:tc>
          <w:tcPr>
            <w:tcW w:w="902" w:type="dxa"/>
          </w:tcPr>
          <w:p w14:paraId="52938D7B" w14:textId="5013052E" w:rsidR="00245389" w:rsidRPr="00DC7993" w:rsidRDefault="00FA63D4">
            <w:pPr>
              <w:cnfStyle w:val="000000000000" w:firstRow="0" w:lastRow="0" w:firstColumn="0" w:lastColumn="0" w:oddVBand="0" w:evenVBand="0" w:oddHBand="0" w:evenHBand="0" w:firstRowFirstColumn="0" w:firstRowLastColumn="0" w:lastRowFirstColumn="0" w:lastRowLastColumn="0"/>
              <w:rPr>
                <w:b/>
                <w:sz w:val="15"/>
                <w:szCs w:val="15"/>
              </w:rPr>
            </w:pPr>
            <w:r>
              <w:rPr>
                <w:b/>
                <w:sz w:val="15"/>
                <w:szCs w:val="15"/>
              </w:rPr>
              <w:t>..</w:t>
            </w:r>
          </w:p>
        </w:tc>
      </w:tr>
    </w:tbl>
    <w:p w14:paraId="4821A347" w14:textId="77777777" w:rsidR="003719CD" w:rsidRDefault="003719CD" w:rsidP="007D536F">
      <w:pPr>
        <w:pStyle w:val="Note"/>
      </w:pPr>
      <w:r>
        <w:t>Note:</w:t>
      </w:r>
    </w:p>
    <w:p w14:paraId="4D81B202" w14:textId="0FC9AED3" w:rsidR="003719CD" w:rsidRDefault="003719CD" w:rsidP="007D536F">
      <w:pPr>
        <w:pStyle w:val="Note"/>
      </w:pPr>
      <w:r>
        <w:t>(a)</w:t>
      </w:r>
      <w:r>
        <w:tab/>
      </w:r>
      <w:r w:rsidRPr="00A57232">
        <w:rPr>
          <w:rStyle w:val="Guidance"/>
        </w:rPr>
        <w:t xml:space="preserve">[Please note AASB 13 </w:t>
      </w:r>
      <w:r w:rsidRPr="00A57232">
        <w:rPr>
          <w:rStyle w:val="Guidance"/>
          <w:i w:val="0"/>
          <w:iCs/>
        </w:rPr>
        <w:t>Fair Value Measurement</w:t>
      </w:r>
      <w:r w:rsidRPr="00A57232">
        <w:rPr>
          <w:rStyle w:val="Guidance"/>
        </w:rPr>
        <w:t xml:space="preserve"> provides an exemption for not</w:t>
      </w:r>
      <w:r w:rsidR="00BB43EE">
        <w:rPr>
          <w:rStyle w:val="Guidance"/>
        </w:rPr>
        <w:t>-</w:t>
      </w:r>
      <w:r w:rsidRPr="00A57232">
        <w:rPr>
          <w:rStyle w:val="Guidance"/>
        </w:rPr>
        <w:t>for-profit public sector entities from disclosing ‘unrealised gains/(losses) on non-financial assets’ if the assets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the information.]</w:t>
      </w:r>
    </w:p>
    <w:p w14:paraId="06888D21" w14:textId="77777777" w:rsidR="00DD1D6A" w:rsidRDefault="00DD1D6A">
      <w:pPr>
        <w:keepLines w:val="0"/>
        <w:rPr>
          <w:b/>
          <w:iCs/>
          <w:color w:val="404040" w:themeColor="text1" w:themeTint="BF"/>
        </w:rPr>
      </w:pPr>
      <w:r>
        <w:br w:type="page"/>
      </w:r>
    </w:p>
    <w:p w14:paraId="0396E10E" w14:textId="207012A8" w:rsidR="003719CD" w:rsidRDefault="003719CD" w:rsidP="007D536F">
      <w:pPr>
        <w:pStyle w:val="Caption"/>
      </w:pPr>
      <w:r>
        <w:lastRenderedPageBreak/>
        <w:t xml:space="preserve">Description of significant unobservable inputs to Level 3 valuations </w:t>
      </w:r>
      <w:r w:rsidRPr="00A57232">
        <w:rPr>
          <w:rStyle w:val="Reference"/>
        </w:rPr>
        <w:t>[AASB 13.93 (h)(i)]</w:t>
      </w:r>
      <w:bookmarkStart w:id="128" w:name="unobservable_lv3_valuations"/>
      <w:bookmarkEnd w:id="128"/>
    </w:p>
    <w:p w14:paraId="4E447FE5" w14:textId="77777777" w:rsidR="003719CD" w:rsidRDefault="003719CD" w:rsidP="007D536F">
      <w:pPr>
        <w:pStyle w:val="Note"/>
        <w:jc w:val="right"/>
        <w:rPr>
          <w:b/>
          <w:i w:val="0"/>
          <w:iCs/>
          <w:color w:val="404040" w:themeColor="text1" w:themeTint="BF"/>
          <w:sz w:val="18"/>
        </w:rPr>
      </w:pPr>
      <w:r w:rsidRPr="005E3F37">
        <w:rPr>
          <w:b/>
          <w:i w:val="0"/>
          <w:iCs/>
          <w:color w:val="404040" w:themeColor="text1" w:themeTint="BF"/>
          <w:sz w:val="18"/>
        </w:rPr>
        <w:t>($ thousand)</w:t>
      </w:r>
    </w:p>
    <w:tbl>
      <w:tblPr>
        <w:tblStyle w:val="DTFTextTable"/>
        <w:tblW w:w="9637" w:type="dxa"/>
        <w:tblLayout w:type="fixed"/>
        <w:tblLook w:val="06A0" w:firstRow="1" w:lastRow="0" w:firstColumn="1" w:lastColumn="0" w:noHBand="1" w:noVBand="1"/>
      </w:tblPr>
      <w:tblGrid>
        <w:gridCol w:w="1560"/>
        <w:gridCol w:w="1559"/>
        <w:gridCol w:w="1843"/>
        <w:gridCol w:w="1559"/>
        <w:gridCol w:w="3116"/>
      </w:tblGrid>
      <w:tr w:rsidR="003719CD" w:rsidRPr="00940E38" w14:paraId="32A4A362" w14:textId="77777777" w:rsidTr="00DD1D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34EB5BAB" w14:textId="0912736A" w:rsidR="003719CD" w:rsidRPr="00940E38" w:rsidRDefault="000911E0" w:rsidP="007D536F">
            <w:fldSimple w:instr="DOCPROPERTY  YearPrevious  \* MERGEFORMAT">
              <w:r>
                <w:t>20X1</w:t>
              </w:r>
            </w:fldSimple>
            <w:r w:rsidR="00A95297">
              <w:t xml:space="preserve"> </w:t>
            </w:r>
            <w:r w:rsidR="003719CD" w:rsidRPr="00940E38">
              <w:t xml:space="preserve">and </w:t>
            </w:r>
            <w:r>
              <w:fldChar w:fldCharType="begin"/>
            </w:r>
            <w:r>
              <w:rPr>
                <w:bCs w:val="0"/>
                <w:i w:val="0"/>
              </w:rPr>
              <w:instrText xml:space="preserve"> DOCPROPERTY  YearCurrent  \* MERGEFORMAT </w:instrText>
            </w:r>
            <w:r>
              <w:fldChar w:fldCharType="separate"/>
            </w:r>
            <w:r>
              <w:rPr>
                <w:bCs w:val="0"/>
                <w:i w:val="0"/>
              </w:rPr>
              <w:t>20X2</w:t>
            </w:r>
            <w:r>
              <w:fldChar w:fldCharType="end"/>
            </w:r>
          </w:p>
        </w:tc>
        <w:tc>
          <w:tcPr>
            <w:tcW w:w="1559" w:type="dxa"/>
          </w:tcPr>
          <w:p w14:paraId="4428830A"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Valuation technique </w:t>
            </w:r>
            <w:r w:rsidRPr="00940E38">
              <w:rPr>
                <w:vertAlign w:val="superscript"/>
              </w:rPr>
              <w:t>(a)</w:t>
            </w:r>
          </w:p>
        </w:tc>
        <w:tc>
          <w:tcPr>
            <w:tcW w:w="1843" w:type="dxa"/>
          </w:tcPr>
          <w:p w14:paraId="61380141" w14:textId="37B49252"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Significant </w:t>
            </w:r>
            <w:r w:rsidRPr="00940E38">
              <w:br/>
              <w:t xml:space="preserve">unobservable </w:t>
            </w:r>
            <w:r w:rsidRPr="00940E38">
              <w:br/>
              <w:t xml:space="preserve">inputs </w:t>
            </w:r>
            <w:r w:rsidRPr="00940E38">
              <w:rPr>
                <w:vertAlign w:val="superscript"/>
              </w:rPr>
              <w:t>(a)</w:t>
            </w:r>
            <w:r w:rsidR="004E2DA8">
              <w:rPr>
                <w:vertAlign w:val="superscript"/>
              </w:rPr>
              <w:t>(d)</w:t>
            </w:r>
          </w:p>
        </w:tc>
        <w:tc>
          <w:tcPr>
            <w:tcW w:w="1559" w:type="dxa"/>
          </w:tcPr>
          <w:p w14:paraId="3C9506A9"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Range </w:t>
            </w:r>
            <w:r w:rsidRPr="00940E38">
              <w:br/>
              <w:t xml:space="preserve">(weighted average) </w:t>
            </w:r>
            <w:r w:rsidRPr="00940E38">
              <w:rPr>
                <w:vertAlign w:val="superscript"/>
              </w:rPr>
              <w:t>(a)</w:t>
            </w:r>
          </w:p>
        </w:tc>
        <w:tc>
          <w:tcPr>
            <w:tcW w:w="3116" w:type="dxa"/>
          </w:tcPr>
          <w:p w14:paraId="3C2D5863" w14:textId="77777777" w:rsidR="003719CD" w:rsidRPr="00940E38" w:rsidRDefault="003719CD" w:rsidP="007D536F">
            <w:pPr>
              <w:cnfStyle w:val="100000000000" w:firstRow="1" w:lastRow="0" w:firstColumn="0" w:lastColumn="0" w:oddVBand="0" w:evenVBand="0" w:oddHBand="0" w:evenHBand="0" w:firstRowFirstColumn="0" w:firstRowLastColumn="0" w:lastRowFirstColumn="0" w:lastRowLastColumn="0"/>
            </w:pPr>
            <w:r w:rsidRPr="00940E38">
              <w:t xml:space="preserve">Sensitivity of fair value measurement to changes in significant unobservable inputs </w:t>
            </w:r>
            <w:r w:rsidRPr="00940E38">
              <w:rPr>
                <w:vertAlign w:val="superscript"/>
              </w:rPr>
              <w:t>(a)</w:t>
            </w:r>
          </w:p>
        </w:tc>
      </w:tr>
      <w:tr w:rsidR="003719CD" w:rsidRPr="00940E38" w14:paraId="7A2BA7C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bottom w:val="single" w:sz="6" w:space="0" w:color="auto"/>
            </w:tcBorders>
          </w:tcPr>
          <w:p w14:paraId="711CC323" w14:textId="77777777" w:rsidR="003719CD" w:rsidRPr="00940E38" w:rsidRDefault="003719CD" w:rsidP="007D536F">
            <w:pPr>
              <w:spacing w:before="40" w:after="40"/>
              <w:rPr>
                <w:rFonts w:cstheme="majorHAnsi"/>
                <w:b w:val="0"/>
                <w:sz w:val="17"/>
              </w:rPr>
            </w:pPr>
            <w:r w:rsidRPr="00940E38">
              <w:rPr>
                <w:rFonts w:cstheme="majorHAnsi"/>
                <w:sz w:val="17"/>
              </w:rPr>
              <w:t>Specialised land</w:t>
            </w:r>
          </w:p>
        </w:tc>
        <w:tc>
          <w:tcPr>
            <w:tcW w:w="1559" w:type="dxa"/>
            <w:tcBorders>
              <w:bottom w:val="single" w:sz="6" w:space="0" w:color="auto"/>
            </w:tcBorders>
          </w:tcPr>
          <w:p w14:paraId="7776FC1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Market approach</w:t>
            </w:r>
          </w:p>
        </w:tc>
        <w:tc>
          <w:tcPr>
            <w:tcW w:w="1843" w:type="dxa"/>
            <w:tcBorders>
              <w:bottom w:val="single" w:sz="6" w:space="0" w:color="auto"/>
            </w:tcBorders>
          </w:tcPr>
          <w:p w14:paraId="2AB0F6D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Community service obligation (CSO) adjustment</w:t>
            </w:r>
          </w:p>
        </w:tc>
        <w:tc>
          <w:tcPr>
            <w:tcW w:w="1559" w:type="dxa"/>
            <w:tcBorders>
              <w:bottom w:val="single" w:sz="6" w:space="0" w:color="auto"/>
            </w:tcBorders>
          </w:tcPr>
          <w:p w14:paraId="61F94CE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50-70</w:t>
            </w:r>
            <w:r>
              <w:rPr>
                <w:rFonts w:cstheme="majorHAnsi"/>
                <w:sz w:val="17"/>
              </w:rPr>
              <w:t xml:space="preserve"> per cent</w:t>
            </w:r>
            <w:r w:rsidRPr="00940E38">
              <w:rPr>
                <w:rFonts w:cstheme="majorHAnsi"/>
                <w:sz w:val="17"/>
              </w:rPr>
              <w:t xml:space="preserve"> </w:t>
            </w:r>
          </w:p>
          <w:p w14:paraId="3408DEE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w:t>
            </w:r>
            <w:r>
              <w:rPr>
                <w:rFonts w:cstheme="majorHAnsi"/>
                <w:sz w:val="17"/>
              </w:rPr>
              <w:t xml:space="preserve"> per cent</w:t>
            </w:r>
            <w:r w:rsidRPr="00940E38">
              <w:rPr>
                <w:rFonts w:cstheme="majorHAnsi"/>
                <w:sz w:val="17"/>
              </w:rPr>
              <w:t xml:space="preserve">) </w:t>
            </w:r>
            <w:r w:rsidRPr="00940E38">
              <w:rPr>
                <w:rFonts w:cstheme="majorHAnsi"/>
                <w:sz w:val="17"/>
                <w:vertAlign w:val="superscript"/>
              </w:rPr>
              <w:t>(b)</w:t>
            </w:r>
          </w:p>
        </w:tc>
        <w:tc>
          <w:tcPr>
            <w:tcW w:w="3116" w:type="dxa"/>
            <w:tcBorders>
              <w:bottom w:val="single" w:sz="6" w:space="0" w:color="auto"/>
            </w:tcBorders>
          </w:tcPr>
          <w:p w14:paraId="535B8C8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CSO adjustment would result in a significantly lower (higher) fair value.</w:t>
            </w:r>
          </w:p>
        </w:tc>
      </w:tr>
      <w:tr w:rsidR="003719CD" w:rsidRPr="00940E38" w14:paraId="4A4AA184"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77D08416" w14:textId="77777777" w:rsidR="003719CD" w:rsidRPr="00940E38" w:rsidRDefault="003719CD" w:rsidP="007D536F">
            <w:pPr>
              <w:spacing w:before="40" w:after="40"/>
              <w:rPr>
                <w:rFonts w:cstheme="majorHAnsi"/>
                <w:b w:val="0"/>
                <w:sz w:val="17"/>
              </w:rPr>
            </w:pPr>
            <w:r w:rsidRPr="00940E38">
              <w:rPr>
                <w:rFonts w:cstheme="majorHAnsi"/>
                <w:sz w:val="17"/>
              </w:rPr>
              <w:t>Specialised buildings</w:t>
            </w:r>
          </w:p>
        </w:tc>
        <w:tc>
          <w:tcPr>
            <w:tcW w:w="1559" w:type="dxa"/>
            <w:tcBorders>
              <w:top w:val="single" w:sz="6" w:space="0" w:color="auto"/>
              <w:bottom w:val="nil"/>
            </w:tcBorders>
          </w:tcPr>
          <w:p w14:paraId="1568378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5A261EE9"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1559" w:type="dxa"/>
            <w:tcBorders>
              <w:top w:val="single" w:sz="6" w:space="0" w:color="auto"/>
              <w:bottom w:val="nil"/>
            </w:tcBorders>
          </w:tcPr>
          <w:p w14:paraId="037CC2B0" w14:textId="00A0CDA3"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vertAlign w:val="superscript"/>
              </w:rPr>
            </w:pPr>
            <w:r w:rsidRPr="00940E38">
              <w:rPr>
                <w:rFonts w:cstheme="majorHAnsi"/>
                <w:sz w:val="17"/>
              </w:rPr>
              <w:t>$1 000</w:t>
            </w:r>
            <w:r w:rsidR="00E5675C">
              <w:rPr>
                <w:rFonts w:cstheme="majorHAnsi"/>
                <w:sz w:val="17"/>
              </w:rPr>
              <w:t>–</w:t>
            </w:r>
            <w:r w:rsidRPr="00940E38">
              <w:rPr>
                <w:rFonts w:cstheme="majorHAnsi"/>
                <w:sz w:val="17"/>
              </w:rPr>
              <w:t>$1 500/m</w:t>
            </w:r>
            <w:r w:rsidRPr="00940E38">
              <w:rPr>
                <w:rFonts w:cstheme="majorHAnsi"/>
                <w:sz w:val="17"/>
                <w:vertAlign w:val="superscript"/>
              </w:rPr>
              <w:t>2</w:t>
            </w:r>
          </w:p>
          <w:p w14:paraId="64459EF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($1 300)</w:t>
            </w:r>
          </w:p>
        </w:tc>
        <w:tc>
          <w:tcPr>
            <w:tcW w:w="3116" w:type="dxa"/>
            <w:tcBorders>
              <w:top w:val="single" w:sz="6" w:space="0" w:color="auto"/>
              <w:bottom w:val="nil"/>
            </w:tcBorders>
          </w:tcPr>
          <w:p w14:paraId="5DEF8EE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3719CD" w:rsidRPr="00940E38" w14:paraId="6248A292"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2C231E1F"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5A47449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B1EE03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specialised buildings</w:t>
            </w:r>
          </w:p>
        </w:tc>
        <w:tc>
          <w:tcPr>
            <w:tcW w:w="1559" w:type="dxa"/>
            <w:tcBorders>
              <w:top w:val="nil"/>
              <w:bottom w:val="single" w:sz="6" w:space="0" w:color="auto"/>
            </w:tcBorders>
          </w:tcPr>
          <w:p w14:paraId="6A8D9BB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30-60 years </w:t>
            </w:r>
          </w:p>
          <w:p w14:paraId="559C8D2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(45 years)</w:t>
            </w:r>
          </w:p>
        </w:tc>
        <w:tc>
          <w:tcPr>
            <w:tcW w:w="3116" w:type="dxa"/>
            <w:tcBorders>
              <w:top w:val="nil"/>
              <w:bottom w:val="single" w:sz="6" w:space="0" w:color="auto"/>
            </w:tcBorders>
          </w:tcPr>
          <w:p w14:paraId="71E110A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5D0FE28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17919508" w14:textId="77777777" w:rsidR="003719CD" w:rsidRPr="00940E38" w:rsidRDefault="003719CD" w:rsidP="007D536F">
            <w:pPr>
              <w:spacing w:before="40" w:after="40"/>
              <w:rPr>
                <w:rFonts w:cstheme="majorHAnsi"/>
                <w:b w:val="0"/>
                <w:sz w:val="17"/>
              </w:rPr>
            </w:pPr>
            <w:r w:rsidRPr="00940E38">
              <w:rPr>
                <w:rFonts w:cstheme="majorHAnsi"/>
                <w:sz w:val="17"/>
              </w:rPr>
              <w:t>Heritage assets</w:t>
            </w:r>
          </w:p>
        </w:tc>
        <w:tc>
          <w:tcPr>
            <w:tcW w:w="1559" w:type="dxa"/>
            <w:tcBorders>
              <w:top w:val="single" w:sz="6" w:space="0" w:color="auto"/>
              <w:bottom w:val="nil"/>
            </w:tcBorders>
          </w:tcPr>
          <w:p w14:paraId="470F0D2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 xml:space="preserve">Current replacement cost </w:t>
            </w:r>
            <w:r w:rsidRPr="00940E38">
              <w:rPr>
                <w:rFonts w:cstheme="majorHAnsi"/>
                <w:sz w:val="17"/>
                <w:vertAlign w:val="superscript"/>
              </w:rPr>
              <w:t>(c)</w:t>
            </w:r>
          </w:p>
        </w:tc>
        <w:tc>
          <w:tcPr>
            <w:tcW w:w="1843" w:type="dxa"/>
            <w:tcBorders>
              <w:top w:val="single" w:sz="6" w:space="0" w:color="auto"/>
              <w:bottom w:val="nil"/>
            </w:tcBorders>
          </w:tcPr>
          <w:p w14:paraId="2778625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Direct cost per square metre</w:t>
            </w:r>
          </w:p>
        </w:tc>
        <w:tc>
          <w:tcPr>
            <w:tcW w:w="1559" w:type="dxa"/>
            <w:tcBorders>
              <w:top w:val="single" w:sz="6" w:space="0" w:color="auto"/>
              <w:bottom w:val="nil"/>
            </w:tcBorders>
          </w:tcPr>
          <w:p w14:paraId="50608C66" w14:textId="7A0569F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w:t>
            </w:r>
            <w:r w:rsidR="00E5675C">
              <w:rPr>
                <w:rFonts w:cstheme="majorHAnsi"/>
                <w:sz w:val="17"/>
              </w:rPr>
              <w:t>–</w:t>
            </w:r>
            <w:r w:rsidRPr="00940E38">
              <w:rPr>
                <w:rFonts w:cstheme="majorHAnsi"/>
                <w:sz w:val="17"/>
              </w:rPr>
              <w:t>$900/m</w:t>
            </w:r>
            <w:r w:rsidRPr="00940E38">
              <w:rPr>
                <w:rFonts w:cstheme="majorHAnsi"/>
                <w:sz w:val="17"/>
                <w:vertAlign w:val="superscript"/>
              </w:rPr>
              <w:t>2</w:t>
            </w:r>
            <w:r w:rsidRPr="00940E38">
              <w:rPr>
                <w:rFonts w:cstheme="majorHAnsi"/>
                <w:sz w:val="17"/>
              </w:rPr>
              <w:t xml:space="preserve"> </w:t>
            </w:r>
          </w:p>
          <w:p w14:paraId="22F7102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($800)</w:t>
            </w:r>
          </w:p>
        </w:tc>
        <w:tc>
          <w:tcPr>
            <w:tcW w:w="3116" w:type="dxa"/>
            <w:tcBorders>
              <w:top w:val="single" w:sz="6" w:space="0" w:color="auto"/>
              <w:bottom w:val="nil"/>
            </w:tcBorders>
          </w:tcPr>
          <w:p w14:paraId="7B328B1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direct cost per square metre adjustment would result in a significantly higher or lower fair value.</w:t>
            </w:r>
          </w:p>
        </w:tc>
      </w:tr>
      <w:tr w:rsidR="003719CD" w:rsidRPr="00940E38" w14:paraId="373637FE"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45722CC9"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482CE96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E02A16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heritage assets</w:t>
            </w:r>
          </w:p>
        </w:tc>
        <w:tc>
          <w:tcPr>
            <w:tcW w:w="1559" w:type="dxa"/>
            <w:tcBorders>
              <w:top w:val="nil"/>
              <w:bottom w:val="single" w:sz="6" w:space="0" w:color="auto"/>
            </w:tcBorders>
          </w:tcPr>
          <w:p w14:paraId="45F5F05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75-95 years</w:t>
            </w:r>
          </w:p>
          <w:p w14:paraId="0711F4E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(85 years)</w:t>
            </w:r>
          </w:p>
        </w:tc>
        <w:tc>
          <w:tcPr>
            <w:tcW w:w="3116" w:type="dxa"/>
            <w:tcBorders>
              <w:top w:val="nil"/>
              <w:bottom w:val="single" w:sz="6" w:space="0" w:color="auto"/>
            </w:tcBorders>
          </w:tcPr>
          <w:p w14:paraId="56EC02D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7974ABAA"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360EDA19" w14:textId="77777777" w:rsidR="003719CD" w:rsidRPr="00940E38" w:rsidRDefault="003719CD" w:rsidP="007D536F">
            <w:pPr>
              <w:spacing w:before="40" w:after="40"/>
              <w:rPr>
                <w:rFonts w:cstheme="majorHAnsi"/>
                <w:b w:val="0"/>
                <w:sz w:val="17"/>
              </w:rPr>
            </w:pPr>
            <w:r w:rsidRPr="00940E38">
              <w:rPr>
                <w:rFonts w:cstheme="majorHAnsi"/>
                <w:sz w:val="17"/>
              </w:rPr>
              <w:t>Vehicles</w:t>
            </w:r>
          </w:p>
        </w:tc>
        <w:tc>
          <w:tcPr>
            <w:tcW w:w="1559" w:type="dxa"/>
            <w:tcBorders>
              <w:top w:val="single" w:sz="6" w:space="0" w:color="auto"/>
              <w:bottom w:val="nil"/>
            </w:tcBorders>
          </w:tcPr>
          <w:p w14:paraId="72D1CE3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75E10BB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558B4F82" w14:textId="4C1D52C1"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$9 000</w:t>
            </w:r>
            <w:r w:rsidR="00E5675C">
              <w:rPr>
                <w:rFonts w:cstheme="majorHAnsi"/>
                <w:sz w:val="17"/>
              </w:rPr>
              <w:t>–</w:t>
            </w:r>
            <w:r w:rsidRPr="00940E38">
              <w:rPr>
                <w:rFonts w:cstheme="majorHAnsi"/>
                <w:sz w:val="17"/>
              </w:rPr>
              <w:t>$10 000 per unit</w:t>
            </w:r>
          </w:p>
          <w:p w14:paraId="5C761AF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($9 500 per unit)</w:t>
            </w:r>
          </w:p>
        </w:tc>
        <w:tc>
          <w:tcPr>
            <w:tcW w:w="3116" w:type="dxa"/>
            <w:tcBorders>
              <w:top w:val="single" w:sz="6" w:space="0" w:color="auto"/>
              <w:bottom w:val="nil"/>
            </w:tcBorders>
          </w:tcPr>
          <w:p w14:paraId="39F4A54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6362A4C8"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0BEA9F08"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42E3BC9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35C5C52B"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vehicles</w:t>
            </w:r>
          </w:p>
        </w:tc>
        <w:tc>
          <w:tcPr>
            <w:tcW w:w="1559" w:type="dxa"/>
            <w:tcBorders>
              <w:top w:val="nil"/>
              <w:bottom w:val="single" w:sz="6" w:space="0" w:color="auto"/>
            </w:tcBorders>
          </w:tcPr>
          <w:p w14:paraId="7F29C8D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3-5 years </w:t>
            </w:r>
          </w:p>
          <w:p w14:paraId="010A4E6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years)</w:t>
            </w:r>
          </w:p>
        </w:tc>
        <w:tc>
          <w:tcPr>
            <w:tcW w:w="3116" w:type="dxa"/>
            <w:tcBorders>
              <w:top w:val="nil"/>
              <w:bottom w:val="single" w:sz="6" w:space="0" w:color="auto"/>
            </w:tcBorders>
          </w:tcPr>
          <w:p w14:paraId="036F642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2E78621B"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5A5865DA" w14:textId="77777777" w:rsidR="003719CD" w:rsidRPr="00940E38" w:rsidRDefault="003719CD" w:rsidP="007D536F">
            <w:pPr>
              <w:spacing w:before="40" w:after="40"/>
              <w:rPr>
                <w:rFonts w:cstheme="majorHAnsi"/>
                <w:b w:val="0"/>
                <w:sz w:val="17"/>
              </w:rPr>
            </w:pPr>
            <w:r w:rsidRPr="00940E38">
              <w:rPr>
                <w:rFonts w:cstheme="majorHAnsi"/>
                <w:sz w:val="17"/>
              </w:rPr>
              <w:t>Plant and equipment</w:t>
            </w:r>
          </w:p>
        </w:tc>
        <w:tc>
          <w:tcPr>
            <w:tcW w:w="1559" w:type="dxa"/>
            <w:tcBorders>
              <w:top w:val="single" w:sz="6" w:space="0" w:color="auto"/>
              <w:bottom w:val="nil"/>
            </w:tcBorders>
          </w:tcPr>
          <w:p w14:paraId="0C484AF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4C6FC4D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76E0066F" w14:textId="2310C8EF"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$3 000</w:t>
            </w:r>
            <w:r w:rsidR="00E5675C">
              <w:rPr>
                <w:rFonts w:cstheme="majorHAnsi"/>
                <w:sz w:val="17"/>
              </w:rPr>
              <w:t>–</w:t>
            </w:r>
            <w:r w:rsidRPr="00940E38">
              <w:rPr>
                <w:rFonts w:cstheme="majorHAnsi"/>
                <w:sz w:val="17"/>
              </w:rPr>
              <w:t xml:space="preserve">$4 000 per unit </w:t>
            </w:r>
          </w:p>
          <w:p w14:paraId="0B63BA5A"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($3 500 per unit)</w:t>
            </w:r>
          </w:p>
        </w:tc>
        <w:tc>
          <w:tcPr>
            <w:tcW w:w="3116" w:type="dxa"/>
            <w:tcBorders>
              <w:top w:val="single" w:sz="6" w:space="0" w:color="auto"/>
              <w:bottom w:val="nil"/>
            </w:tcBorders>
          </w:tcPr>
          <w:p w14:paraId="0BF0C313"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113D17E0"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5B58741B"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6B6B28E4"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090CA10D"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plant and equipment</w:t>
            </w:r>
          </w:p>
        </w:tc>
        <w:tc>
          <w:tcPr>
            <w:tcW w:w="1559" w:type="dxa"/>
            <w:tcBorders>
              <w:top w:val="nil"/>
              <w:bottom w:val="single" w:sz="6" w:space="0" w:color="auto"/>
            </w:tcBorders>
          </w:tcPr>
          <w:p w14:paraId="448B2AB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5-10 years </w:t>
            </w:r>
          </w:p>
          <w:p w14:paraId="29F1A04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years)</w:t>
            </w:r>
          </w:p>
        </w:tc>
        <w:tc>
          <w:tcPr>
            <w:tcW w:w="3116" w:type="dxa"/>
            <w:tcBorders>
              <w:top w:val="nil"/>
              <w:bottom w:val="single" w:sz="6" w:space="0" w:color="auto"/>
            </w:tcBorders>
          </w:tcPr>
          <w:p w14:paraId="359E33FC"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21464AC3"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6FC9B13B" w14:textId="77777777" w:rsidR="003719CD" w:rsidRPr="00940E38" w:rsidRDefault="003719CD" w:rsidP="007D536F">
            <w:pPr>
              <w:spacing w:before="40" w:after="40"/>
              <w:rPr>
                <w:rFonts w:cstheme="majorHAnsi"/>
                <w:b w:val="0"/>
                <w:sz w:val="17"/>
              </w:rPr>
            </w:pPr>
            <w:r w:rsidRPr="00940E38">
              <w:rPr>
                <w:rFonts w:cstheme="majorHAnsi"/>
                <w:sz w:val="17"/>
              </w:rPr>
              <w:t>Infrastructure</w:t>
            </w:r>
          </w:p>
        </w:tc>
        <w:tc>
          <w:tcPr>
            <w:tcW w:w="1559" w:type="dxa"/>
            <w:tcBorders>
              <w:top w:val="single" w:sz="6" w:space="0" w:color="auto"/>
              <w:bottom w:val="nil"/>
            </w:tcBorders>
          </w:tcPr>
          <w:p w14:paraId="27A121D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6B9CF7D2"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unit</w:t>
            </w:r>
          </w:p>
        </w:tc>
        <w:tc>
          <w:tcPr>
            <w:tcW w:w="1559" w:type="dxa"/>
            <w:tcBorders>
              <w:top w:val="single" w:sz="6" w:space="0" w:color="auto"/>
              <w:bottom w:val="nil"/>
            </w:tcBorders>
          </w:tcPr>
          <w:p w14:paraId="7FDC19A3" w14:textId="5E4F72E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$5 000</w:t>
            </w:r>
            <w:r w:rsidR="00E5675C">
              <w:rPr>
                <w:rFonts w:cstheme="majorHAnsi"/>
                <w:sz w:val="17"/>
              </w:rPr>
              <w:t>–</w:t>
            </w:r>
            <w:r w:rsidRPr="00940E38">
              <w:rPr>
                <w:rFonts w:cstheme="majorHAnsi"/>
                <w:sz w:val="17"/>
              </w:rPr>
              <w:t>$8 000 per unit</w:t>
            </w:r>
          </w:p>
          <w:p w14:paraId="39D0873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($7 000 per unit)</w:t>
            </w:r>
          </w:p>
        </w:tc>
        <w:tc>
          <w:tcPr>
            <w:tcW w:w="3116" w:type="dxa"/>
            <w:tcBorders>
              <w:top w:val="single" w:sz="6" w:space="0" w:color="auto"/>
              <w:bottom w:val="nil"/>
            </w:tcBorders>
          </w:tcPr>
          <w:p w14:paraId="0FE00C58"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unit would result in a significantly higher or lower fair value.</w:t>
            </w:r>
          </w:p>
        </w:tc>
      </w:tr>
      <w:tr w:rsidR="003719CD" w:rsidRPr="00940E38" w14:paraId="7519493D"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6" w:space="0" w:color="auto"/>
            </w:tcBorders>
          </w:tcPr>
          <w:p w14:paraId="20AED68F" w14:textId="77777777" w:rsidR="003719CD" w:rsidRPr="00940E38" w:rsidRDefault="003719CD" w:rsidP="007D536F">
            <w:pPr>
              <w:spacing w:before="40" w:after="40"/>
              <w:rPr>
                <w:rFonts w:cstheme="majorHAnsi"/>
                <w:b w:val="0"/>
                <w:sz w:val="17"/>
              </w:rPr>
            </w:pPr>
          </w:p>
        </w:tc>
        <w:tc>
          <w:tcPr>
            <w:tcW w:w="1559" w:type="dxa"/>
            <w:tcBorders>
              <w:top w:val="nil"/>
              <w:bottom w:val="single" w:sz="6" w:space="0" w:color="auto"/>
            </w:tcBorders>
          </w:tcPr>
          <w:p w14:paraId="6E69FCDF"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bottom w:val="single" w:sz="6" w:space="0" w:color="auto"/>
            </w:tcBorders>
          </w:tcPr>
          <w:p w14:paraId="7316D771"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Useful life of the infrastructure</w:t>
            </w:r>
          </w:p>
        </w:tc>
        <w:tc>
          <w:tcPr>
            <w:tcW w:w="1559" w:type="dxa"/>
            <w:tcBorders>
              <w:top w:val="nil"/>
              <w:bottom w:val="single" w:sz="6" w:space="0" w:color="auto"/>
            </w:tcBorders>
          </w:tcPr>
          <w:p w14:paraId="4E54019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10 to 32 years </w:t>
            </w:r>
          </w:p>
          <w:p w14:paraId="07CCC05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(15 years)</w:t>
            </w:r>
          </w:p>
        </w:tc>
        <w:tc>
          <w:tcPr>
            <w:tcW w:w="3116" w:type="dxa"/>
            <w:tcBorders>
              <w:top w:val="nil"/>
              <w:bottom w:val="single" w:sz="6" w:space="0" w:color="auto"/>
            </w:tcBorders>
          </w:tcPr>
          <w:p w14:paraId="54FC7B76"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r w:rsidR="003719CD" w:rsidRPr="00940E38" w14:paraId="3106AA43"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single" w:sz="6" w:space="0" w:color="auto"/>
              <w:bottom w:val="nil"/>
            </w:tcBorders>
          </w:tcPr>
          <w:p w14:paraId="661B8E29" w14:textId="77777777" w:rsidR="003719CD" w:rsidRPr="00940E38" w:rsidRDefault="003719CD" w:rsidP="007D536F">
            <w:pPr>
              <w:spacing w:before="40" w:after="40"/>
              <w:rPr>
                <w:rFonts w:cstheme="majorBidi"/>
                <w:b w:val="0"/>
                <w:sz w:val="17"/>
                <w:szCs w:val="17"/>
              </w:rPr>
            </w:pPr>
            <w:r w:rsidRPr="46DFB224">
              <w:rPr>
                <w:rFonts w:cstheme="majorBidi"/>
                <w:sz w:val="17"/>
                <w:szCs w:val="17"/>
              </w:rPr>
              <w:t>Road, infrastructure and earthworks</w:t>
            </w:r>
          </w:p>
        </w:tc>
        <w:tc>
          <w:tcPr>
            <w:tcW w:w="1559" w:type="dxa"/>
            <w:tcBorders>
              <w:top w:val="single" w:sz="6" w:space="0" w:color="auto"/>
              <w:bottom w:val="nil"/>
            </w:tcBorders>
          </w:tcPr>
          <w:p w14:paraId="4A29B567"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pPr>
            <w:r w:rsidRPr="00940E38">
              <w:rPr>
                <w:rFonts w:cstheme="majorHAnsi"/>
                <w:sz w:val="17"/>
              </w:rPr>
              <w:t>Current replacement cost</w:t>
            </w:r>
          </w:p>
        </w:tc>
        <w:tc>
          <w:tcPr>
            <w:tcW w:w="1843" w:type="dxa"/>
            <w:tcBorders>
              <w:top w:val="single" w:sz="6" w:space="0" w:color="auto"/>
              <w:bottom w:val="nil"/>
            </w:tcBorders>
          </w:tcPr>
          <w:p w14:paraId="3D210995"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Cost per metre</w:t>
            </w:r>
          </w:p>
        </w:tc>
        <w:tc>
          <w:tcPr>
            <w:tcW w:w="1559" w:type="dxa"/>
            <w:tcBorders>
              <w:top w:val="single" w:sz="6" w:space="0" w:color="auto"/>
              <w:bottom w:val="nil"/>
            </w:tcBorders>
          </w:tcPr>
          <w:p w14:paraId="377978D0" w14:textId="7DF14E72"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$500</w:t>
            </w:r>
            <w:r w:rsidR="00E5675C">
              <w:rPr>
                <w:rFonts w:cstheme="majorHAnsi"/>
                <w:sz w:val="17"/>
              </w:rPr>
              <w:t>–</w:t>
            </w:r>
            <w:r w:rsidRPr="00940E38">
              <w:rPr>
                <w:rFonts w:cstheme="majorHAnsi"/>
                <w:sz w:val="17"/>
              </w:rPr>
              <w:t>$650 per metre</w:t>
            </w:r>
          </w:p>
          <w:p w14:paraId="4A1C9BA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($600 per metre)</w:t>
            </w:r>
          </w:p>
        </w:tc>
        <w:tc>
          <w:tcPr>
            <w:tcW w:w="3116" w:type="dxa"/>
            <w:tcBorders>
              <w:top w:val="single" w:sz="6" w:space="0" w:color="auto"/>
              <w:bottom w:val="nil"/>
            </w:tcBorders>
          </w:tcPr>
          <w:p w14:paraId="468D2D1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cost per metre would result in a significantly higher or lower fair value.</w:t>
            </w:r>
          </w:p>
        </w:tc>
      </w:tr>
      <w:tr w:rsidR="003719CD" w:rsidRPr="00940E38" w14:paraId="627CD8E7" w14:textId="77777777" w:rsidTr="00DD1D6A">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67BE91F2" w14:textId="77777777" w:rsidR="003719CD" w:rsidRPr="00940E38" w:rsidRDefault="003719CD" w:rsidP="007D536F">
            <w:pPr>
              <w:spacing w:before="40" w:after="40"/>
              <w:rPr>
                <w:rFonts w:cstheme="majorHAnsi"/>
                <w:b w:val="0"/>
                <w:bCs w:val="0"/>
                <w:sz w:val="17"/>
              </w:rPr>
            </w:pPr>
          </w:p>
        </w:tc>
        <w:tc>
          <w:tcPr>
            <w:tcW w:w="1559" w:type="dxa"/>
            <w:tcBorders>
              <w:top w:val="nil"/>
            </w:tcBorders>
          </w:tcPr>
          <w:p w14:paraId="14F1E74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p>
        </w:tc>
        <w:tc>
          <w:tcPr>
            <w:tcW w:w="1843" w:type="dxa"/>
            <w:tcBorders>
              <w:top w:val="nil"/>
            </w:tcBorders>
          </w:tcPr>
          <w:p w14:paraId="1F434E84"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Bidi"/>
                <w:sz w:val="17"/>
                <w:szCs w:val="17"/>
              </w:rPr>
            </w:pPr>
            <w:r w:rsidRPr="46DFB224">
              <w:rPr>
                <w:rFonts w:cstheme="majorBidi"/>
                <w:sz w:val="17"/>
                <w:szCs w:val="17"/>
              </w:rPr>
              <w:t>Useful life of the road, infrastructure and earthworks</w:t>
            </w:r>
          </w:p>
        </w:tc>
        <w:tc>
          <w:tcPr>
            <w:tcW w:w="1559" w:type="dxa"/>
            <w:tcBorders>
              <w:top w:val="nil"/>
            </w:tcBorders>
          </w:tcPr>
          <w:p w14:paraId="7427D3C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 xml:space="preserve">60 to 90 years </w:t>
            </w:r>
          </w:p>
          <w:p w14:paraId="36F356A0"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(75 years)</w:t>
            </w:r>
          </w:p>
        </w:tc>
        <w:tc>
          <w:tcPr>
            <w:tcW w:w="3116" w:type="dxa"/>
            <w:tcBorders>
              <w:top w:val="nil"/>
            </w:tcBorders>
          </w:tcPr>
          <w:p w14:paraId="304F04EE" w14:textId="77777777" w:rsidR="003719CD" w:rsidRPr="00940E38" w:rsidRDefault="003719CD" w:rsidP="007D536F">
            <w:pPr>
              <w:spacing w:before="40" w:after="40"/>
              <w:cnfStyle w:val="000000000000" w:firstRow="0" w:lastRow="0" w:firstColumn="0" w:lastColumn="0" w:oddVBand="0" w:evenVBand="0" w:oddHBand="0" w:evenHBand="0" w:firstRowFirstColumn="0" w:firstRowLastColumn="0" w:lastRowFirstColumn="0" w:lastRowLastColumn="0"/>
              <w:rPr>
                <w:rFonts w:cstheme="majorHAnsi"/>
                <w:sz w:val="17"/>
              </w:rPr>
            </w:pPr>
            <w:r w:rsidRPr="00940E38">
              <w:rPr>
                <w:rFonts w:cstheme="majorHAnsi"/>
                <w:sz w:val="17"/>
              </w:rPr>
              <w:t>A significant increase or decrease in the estimated useful life of the asset would result in a significantly higher or lower valuation.</w:t>
            </w:r>
          </w:p>
        </w:tc>
      </w:tr>
    </w:tbl>
    <w:p w14:paraId="4229F825" w14:textId="77777777" w:rsidR="003719CD" w:rsidRDefault="003719CD" w:rsidP="007D536F">
      <w:pPr>
        <w:pStyle w:val="Note"/>
      </w:pPr>
      <w:r>
        <w:t>Notes:</w:t>
      </w:r>
    </w:p>
    <w:p w14:paraId="5F2180F3" w14:textId="2D12B58C" w:rsidR="003719CD" w:rsidRPr="00A57232" w:rsidRDefault="003719CD" w:rsidP="007D536F">
      <w:pPr>
        <w:pStyle w:val="Note"/>
        <w:rPr>
          <w:rStyle w:val="Guidance"/>
        </w:rPr>
      </w:pPr>
      <w:r>
        <w:t>(a)</w:t>
      </w:r>
      <w:r>
        <w:tab/>
      </w:r>
      <w:r w:rsidRPr="00A57232">
        <w:rPr>
          <w:rStyle w:val="Guidance"/>
        </w:rPr>
        <w:t xml:space="preserve">[Illustrations on the valuation techniques and significant unobservable inputs are indicative and should not be directly used without consultation with entities’ independent valuer. Please note AASB 13 </w:t>
      </w:r>
      <w:r w:rsidRPr="00495F84">
        <w:rPr>
          <w:rStyle w:val="Guidance"/>
          <w:i w:val="0"/>
          <w:iCs/>
        </w:rPr>
        <w:t>Fair Value Measurement</w:t>
      </w:r>
      <w:r w:rsidRPr="00A57232">
        <w:rPr>
          <w:rStyle w:val="Guidance"/>
        </w:rPr>
        <w:t xml:space="preserve"> provides an exemption for not</w:t>
      </w:r>
      <w:r w:rsidR="00BB43EE">
        <w:rPr>
          <w:rStyle w:val="Guidance"/>
        </w:rPr>
        <w:t>-</w:t>
      </w:r>
      <w:r w:rsidRPr="00A57232">
        <w:rPr>
          <w:rStyle w:val="Guidance"/>
        </w:rPr>
        <w:t>for-profit public sector entities from disclosing ‘unrealised gains/(losses) on non-financial assets’ if the assets are held primarily for their current service potential rather than to generate net cash inflows. As this exemption is not applicable for assets that are held for cash generating purposes, not</w:t>
      </w:r>
      <w:r w:rsidR="00F13289">
        <w:rPr>
          <w:rStyle w:val="Guidance"/>
        </w:rPr>
        <w:noBreakHyphen/>
      </w:r>
      <w:r w:rsidRPr="00A57232">
        <w:rPr>
          <w:rStyle w:val="Guidance"/>
        </w:rPr>
        <w:t>for</w:t>
      </w:r>
      <w:r w:rsidR="00F13289">
        <w:rPr>
          <w:rStyle w:val="Guidance"/>
        </w:rPr>
        <w:noBreakHyphen/>
      </w:r>
      <w:r w:rsidRPr="00A57232">
        <w:rPr>
          <w:rStyle w:val="Guidance"/>
        </w:rPr>
        <w:t>profit entities that have assets generating net cash inflows will still need to disclose the information.]</w:t>
      </w:r>
    </w:p>
    <w:p w14:paraId="235CDE7E" w14:textId="77777777" w:rsidR="003719CD" w:rsidRDefault="003719CD" w:rsidP="007D536F">
      <w:pPr>
        <w:pStyle w:val="Note"/>
      </w:pPr>
      <w:r>
        <w:t>(b)</w:t>
      </w:r>
      <w:r>
        <w:tab/>
        <w:t>CSO adjustments ranging from 50 per cent to 70 per cent were applied to reduce the market approach value for the Department’s specialised land, with the weighted average 60 per cent reduction applied.</w:t>
      </w:r>
    </w:p>
    <w:p w14:paraId="3CD0570C" w14:textId="77777777" w:rsidR="003719CD" w:rsidRDefault="003719CD" w:rsidP="007D536F">
      <w:pPr>
        <w:pStyle w:val="Note"/>
      </w:pPr>
      <w:r>
        <w:t>(c)</w:t>
      </w:r>
      <w:r>
        <w:tab/>
        <w:t>For some heritage and iconic assets, cost may be the reproduction cost of the asset rather than the replacement cost if their service potential could only be replaced by reproducing them with the same materials.</w:t>
      </w:r>
    </w:p>
    <w:p w14:paraId="797FEC07" w14:textId="60FDF656" w:rsidR="004E2DA8" w:rsidRDefault="004E2DA8" w:rsidP="007D536F">
      <w:pPr>
        <w:pStyle w:val="Note"/>
      </w:pPr>
      <w:r>
        <w:t>(d)</w:t>
      </w:r>
      <w:r>
        <w:tab/>
      </w:r>
      <w:r w:rsidR="00DF5195">
        <w:t>Entities to consider updating where appropriate following AASB 13 amendments.</w:t>
      </w:r>
    </w:p>
    <w:p w14:paraId="2AC33A56" w14:textId="77777777" w:rsidR="00DF5195" w:rsidRDefault="00DF5195" w:rsidP="00DC39DE"/>
    <w:p w14:paraId="15DCC790" w14:textId="1678939A" w:rsidR="003719CD" w:rsidRDefault="003719CD" w:rsidP="00DC39DE">
      <w:r>
        <w:t xml:space="preserve">Significant unobservable inputs have remained unchanged since June </w:t>
      </w:r>
      <w:fldSimple w:instr="DOCPROPERTY  YearPrevious  \* MERGEFORMAT">
        <w:r w:rsidR="0099659E">
          <w:t>20X1</w:t>
        </w:r>
      </w:fldSimple>
      <w:r>
        <w:t>.</w:t>
      </w:r>
    </w:p>
    <w:p w14:paraId="31438BD9" w14:textId="44B847F4" w:rsidR="003719CD" w:rsidRDefault="003719CD" w:rsidP="007D536F">
      <w:pPr>
        <w:pStyle w:val="Caption"/>
      </w:pPr>
      <w:r>
        <w:lastRenderedPageBreak/>
        <w:t xml:space="preserve">Investment properties measured at fair value and their categorisation in the fair value hierarchy </w:t>
      </w:r>
      <w:r>
        <w:br/>
      </w:r>
      <w:r w:rsidRPr="002C133B">
        <w:rPr>
          <w:rStyle w:val="Reference"/>
        </w:rPr>
        <w:t>[AASB 13.93 (a)(b)]</w:t>
      </w:r>
      <w:r>
        <w:tab/>
        <w:t>($ thousand)</w:t>
      </w:r>
    </w:p>
    <w:tbl>
      <w:tblPr>
        <w:tblStyle w:val="DTFTable"/>
        <w:tblW w:w="9639" w:type="dxa"/>
        <w:tblLayout w:type="fixed"/>
        <w:tblLook w:val="06A0" w:firstRow="1" w:lastRow="0" w:firstColumn="1" w:lastColumn="0" w:noHBand="1" w:noVBand="1"/>
      </w:tblPr>
      <w:tblGrid>
        <w:gridCol w:w="4962"/>
        <w:gridCol w:w="1559"/>
        <w:gridCol w:w="1304"/>
        <w:gridCol w:w="907"/>
        <w:gridCol w:w="907"/>
      </w:tblGrid>
      <w:tr w:rsidR="00182709" w14:paraId="57E7D201" w14:textId="77777777" w:rsidTr="00A952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5ACEC265" w14:textId="77777777" w:rsidR="00182709" w:rsidRDefault="00182709">
            <w:pPr>
              <w:keepNext/>
            </w:pPr>
          </w:p>
        </w:tc>
        <w:tc>
          <w:tcPr>
            <w:tcW w:w="1559" w:type="dxa"/>
          </w:tcPr>
          <w:p w14:paraId="4904878A"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18" w:type="dxa"/>
            <w:gridSpan w:val="3"/>
            <w:tcBorders>
              <w:bottom w:val="single" w:sz="6" w:space="0" w:color="FFFFFF" w:themeColor="background1"/>
            </w:tcBorders>
          </w:tcPr>
          <w:p w14:paraId="4DD0A21B"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37DE312B" w14:textId="77777777" w:rsidTr="00A9529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62" w:type="dxa"/>
          </w:tcPr>
          <w:p w14:paraId="7370554A" w14:textId="13CE9FE0" w:rsidR="00182709" w:rsidRDefault="00E5675C">
            <w:pPr>
              <w:keepNext/>
            </w:pPr>
            <w:fldSimple w:instr="DOCPROPERTY  YearCurrent \* MERGEFORMAT">
              <w:r>
                <w:t>20X2</w:t>
              </w:r>
            </w:fldSimple>
          </w:p>
        </w:tc>
        <w:tc>
          <w:tcPr>
            <w:tcW w:w="1559" w:type="dxa"/>
          </w:tcPr>
          <w:p w14:paraId="3784EB6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w:t>
            </w:r>
          </w:p>
        </w:tc>
        <w:tc>
          <w:tcPr>
            <w:tcW w:w="1304" w:type="dxa"/>
            <w:tcBorders>
              <w:top w:val="single" w:sz="6" w:space="0" w:color="FFFFFF" w:themeColor="background1"/>
            </w:tcBorders>
          </w:tcPr>
          <w:p w14:paraId="01486BAD"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52576C5E"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7EE5258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1F58DF63" w14:textId="77777777" w:rsidTr="00182709">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62111935" w14:textId="77777777" w:rsidR="00182709" w:rsidRDefault="0044097C">
            <w:r>
              <w:t>Investment properties</w:t>
            </w:r>
          </w:p>
        </w:tc>
        <w:tc>
          <w:tcPr>
            <w:tcW w:w="1559" w:type="dxa"/>
            <w:tcBorders>
              <w:bottom w:val="single" w:sz="12" w:space="0" w:color="auto"/>
            </w:tcBorders>
          </w:tcPr>
          <w:p w14:paraId="4500F73F" w14:textId="77777777" w:rsidR="00182709" w:rsidRDefault="0044097C">
            <w:pPr>
              <w:cnfStyle w:val="000000000000" w:firstRow="0" w:lastRow="0" w:firstColumn="0" w:lastColumn="0" w:oddVBand="0" w:evenVBand="0" w:oddHBand="0" w:evenHBand="0" w:firstRowFirstColumn="0" w:firstRowLastColumn="0" w:lastRowFirstColumn="0" w:lastRowLastColumn="0"/>
            </w:pPr>
            <w:r>
              <w:t>2 354</w:t>
            </w:r>
          </w:p>
        </w:tc>
        <w:tc>
          <w:tcPr>
            <w:tcW w:w="1304" w:type="dxa"/>
            <w:tcBorders>
              <w:bottom w:val="single" w:sz="12" w:space="0" w:color="auto"/>
            </w:tcBorders>
          </w:tcPr>
          <w:p w14:paraId="511A026E"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6DDC07EE" w14:textId="77777777" w:rsidR="00182709" w:rsidRDefault="0044097C">
            <w:pPr>
              <w:cnfStyle w:val="000000000000" w:firstRow="0" w:lastRow="0" w:firstColumn="0" w:lastColumn="0" w:oddVBand="0" w:evenVBand="0" w:oddHBand="0" w:evenHBand="0" w:firstRowFirstColumn="0" w:firstRowLastColumn="0" w:lastRowFirstColumn="0" w:lastRowLastColumn="0"/>
            </w:pPr>
            <w:r>
              <w:t>2 354</w:t>
            </w:r>
          </w:p>
        </w:tc>
        <w:tc>
          <w:tcPr>
            <w:tcW w:w="907" w:type="dxa"/>
            <w:tcBorders>
              <w:bottom w:val="single" w:sz="12" w:space="0" w:color="auto"/>
            </w:tcBorders>
          </w:tcPr>
          <w:p w14:paraId="2D292AB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3F04B0C8" w14:textId="77777777" w:rsidTr="00A95297">
        <w:tc>
          <w:tcPr>
            <w:cnfStyle w:val="001000000000" w:firstRow="0" w:lastRow="0" w:firstColumn="1" w:lastColumn="0" w:oddVBand="0" w:evenVBand="0" w:oddHBand="0" w:evenHBand="0" w:firstRowFirstColumn="0" w:firstRowLastColumn="0" w:lastRowFirstColumn="0" w:lastRowLastColumn="0"/>
            <w:tcW w:w="4962" w:type="dxa"/>
          </w:tcPr>
          <w:p w14:paraId="2F7EAD30" w14:textId="77777777" w:rsidR="00182709" w:rsidRDefault="00182709"/>
        </w:tc>
        <w:tc>
          <w:tcPr>
            <w:tcW w:w="1559" w:type="dxa"/>
          </w:tcPr>
          <w:p w14:paraId="29C6C43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04" w:type="dxa"/>
          </w:tcPr>
          <w:p w14:paraId="496200D1"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4FC62A6A"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00561235"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A95297" w:rsidRPr="00A95297" w14:paraId="6CCF9068" w14:textId="77777777" w:rsidTr="00A95297">
        <w:tc>
          <w:tcPr>
            <w:cnfStyle w:val="001000000000" w:firstRow="0" w:lastRow="0" w:firstColumn="1" w:lastColumn="0" w:oddVBand="0" w:evenVBand="0" w:oddHBand="0" w:evenHBand="0" w:firstRowFirstColumn="0" w:firstRowLastColumn="0" w:lastRowFirstColumn="0" w:lastRowLastColumn="0"/>
            <w:tcW w:w="4962" w:type="dxa"/>
            <w:tcBorders>
              <w:bottom w:val="nil"/>
            </w:tcBorders>
            <w:shd w:val="clear" w:color="auto" w:fill="000000" w:themeFill="text1"/>
          </w:tcPr>
          <w:p w14:paraId="2F865C0D" w14:textId="485DD50C" w:rsidR="00A95297" w:rsidRPr="00E5675C" w:rsidRDefault="00E5675C">
            <w:pPr>
              <w:rPr>
                <w:i/>
                <w:iCs/>
              </w:rPr>
            </w:pPr>
            <w:r w:rsidRPr="00E5675C">
              <w:rPr>
                <w:i/>
                <w:iCs/>
              </w:rPr>
              <w:fldChar w:fldCharType="begin"/>
            </w:r>
            <w:r w:rsidRPr="00E5675C">
              <w:rPr>
                <w:i/>
                <w:iCs/>
              </w:rPr>
              <w:instrText>DOCPROPERTY  YearPrevious  \* MERGEFORMAT</w:instrText>
            </w:r>
            <w:r w:rsidRPr="00E5675C">
              <w:rPr>
                <w:i/>
                <w:iCs/>
              </w:rPr>
              <w:fldChar w:fldCharType="separate"/>
            </w:r>
            <w:r w:rsidRPr="00E5675C">
              <w:rPr>
                <w:i/>
                <w:iCs/>
                <w:lang w:val="en-US"/>
              </w:rPr>
              <w:t>20X1</w:t>
            </w:r>
            <w:r w:rsidRPr="00E5675C">
              <w:rPr>
                <w:i/>
                <w:iCs/>
              </w:rPr>
              <w:fldChar w:fldCharType="end"/>
            </w:r>
          </w:p>
        </w:tc>
        <w:tc>
          <w:tcPr>
            <w:tcW w:w="1559" w:type="dxa"/>
            <w:tcBorders>
              <w:bottom w:val="nil"/>
            </w:tcBorders>
            <w:shd w:val="clear" w:color="auto" w:fill="000000" w:themeFill="text1"/>
          </w:tcPr>
          <w:p w14:paraId="50863078"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c>
          <w:tcPr>
            <w:tcW w:w="1304" w:type="dxa"/>
            <w:tcBorders>
              <w:bottom w:val="nil"/>
            </w:tcBorders>
            <w:shd w:val="clear" w:color="auto" w:fill="000000" w:themeFill="text1"/>
          </w:tcPr>
          <w:p w14:paraId="46FE4BF4"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24B499BF"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3F7B0084" w14:textId="77777777" w:rsidR="00A95297" w:rsidRPr="00A95297" w:rsidRDefault="00A95297">
            <w:pPr>
              <w:cnfStyle w:val="000000000000" w:firstRow="0" w:lastRow="0" w:firstColumn="0" w:lastColumn="0" w:oddVBand="0" w:evenVBand="0" w:oddHBand="0" w:evenHBand="0" w:firstRowFirstColumn="0" w:firstRowLastColumn="0" w:lastRowFirstColumn="0" w:lastRowLastColumn="0"/>
              <w:rPr>
                <w:i/>
                <w:iCs/>
              </w:rPr>
            </w:pPr>
          </w:p>
        </w:tc>
      </w:tr>
      <w:tr w:rsidR="00182709" w14:paraId="44A632E8" w14:textId="77777777" w:rsidTr="00A95297">
        <w:tc>
          <w:tcPr>
            <w:cnfStyle w:val="001000000000" w:firstRow="0" w:lastRow="0" w:firstColumn="1" w:lastColumn="0" w:oddVBand="0" w:evenVBand="0" w:oddHBand="0" w:evenHBand="0" w:firstRowFirstColumn="0" w:firstRowLastColumn="0" w:lastRowFirstColumn="0" w:lastRowLastColumn="0"/>
            <w:tcW w:w="4962" w:type="dxa"/>
            <w:tcBorders>
              <w:top w:val="nil"/>
            </w:tcBorders>
          </w:tcPr>
          <w:p w14:paraId="3E6B92C8" w14:textId="77777777" w:rsidR="00182709" w:rsidRDefault="0044097C">
            <w:r>
              <w:t>Investment properties</w:t>
            </w:r>
          </w:p>
        </w:tc>
        <w:tc>
          <w:tcPr>
            <w:tcW w:w="1559" w:type="dxa"/>
            <w:tcBorders>
              <w:top w:val="nil"/>
            </w:tcBorders>
          </w:tcPr>
          <w:p w14:paraId="3FEACF72" w14:textId="77777777" w:rsidR="00182709" w:rsidRDefault="0044097C">
            <w:pPr>
              <w:cnfStyle w:val="000000000000" w:firstRow="0" w:lastRow="0" w:firstColumn="0" w:lastColumn="0" w:oddVBand="0" w:evenVBand="0" w:oddHBand="0" w:evenHBand="0" w:firstRowFirstColumn="0" w:firstRowLastColumn="0" w:lastRowFirstColumn="0" w:lastRowLastColumn="0"/>
            </w:pPr>
            <w:r>
              <w:t>5 029</w:t>
            </w:r>
          </w:p>
        </w:tc>
        <w:tc>
          <w:tcPr>
            <w:tcW w:w="1304" w:type="dxa"/>
            <w:tcBorders>
              <w:top w:val="nil"/>
            </w:tcBorders>
          </w:tcPr>
          <w:p w14:paraId="2E251DD5"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top w:val="nil"/>
            </w:tcBorders>
          </w:tcPr>
          <w:p w14:paraId="60F650EA" w14:textId="77777777" w:rsidR="00182709" w:rsidRDefault="0044097C">
            <w:pPr>
              <w:cnfStyle w:val="000000000000" w:firstRow="0" w:lastRow="0" w:firstColumn="0" w:lastColumn="0" w:oddVBand="0" w:evenVBand="0" w:oddHBand="0" w:evenHBand="0" w:firstRowFirstColumn="0" w:firstRowLastColumn="0" w:lastRowFirstColumn="0" w:lastRowLastColumn="0"/>
            </w:pPr>
            <w:r>
              <w:t>5 029</w:t>
            </w:r>
          </w:p>
        </w:tc>
        <w:tc>
          <w:tcPr>
            <w:tcW w:w="907" w:type="dxa"/>
            <w:tcBorders>
              <w:top w:val="nil"/>
            </w:tcBorders>
          </w:tcPr>
          <w:p w14:paraId="648B075C"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p w14:paraId="293BA460" w14:textId="03F789B9" w:rsidR="003719CD" w:rsidRDefault="007D7B02" w:rsidP="007D536F">
      <w:pPr>
        <w:pStyle w:val="Note"/>
      </w:pPr>
      <w:r>
        <w:t xml:space="preserve"> </w:t>
      </w:r>
      <w:r w:rsidR="003719CD">
        <w:t>Note:</w:t>
      </w:r>
    </w:p>
    <w:p w14:paraId="701DADA5" w14:textId="77777777" w:rsidR="003719CD" w:rsidRDefault="003719CD" w:rsidP="007D536F">
      <w:pPr>
        <w:pStyle w:val="Note"/>
      </w:pPr>
      <w:r>
        <w:t>(a)</w:t>
      </w:r>
      <w:r>
        <w:tab/>
        <w:t>Classified in accordance with the fair value hierarchy.</w:t>
      </w:r>
    </w:p>
    <w:p w14:paraId="3D9B8AAD" w14:textId="77777777" w:rsidR="003719CD" w:rsidRDefault="003719CD" w:rsidP="00DC39DE"/>
    <w:p w14:paraId="1323F2E1" w14:textId="63DC65FA" w:rsidR="003719CD" w:rsidRDefault="003719CD" w:rsidP="00DC39DE">
      <w:r>
        <w:t xml:space="preserve">There have been no transfers between levels during the period. There were no changes in valuation techniques throughout the period to 30 June </w:t>
      </w:r>
      <w:fldSimple w:instr="DOCPROPERTY  YearCurrent  \* MERGEFORMAT">
        <w:r w:rsidR="00A545BA">
          <w:t>20X2</w:t>
        </w:r>
      </w:fldSimple>
      <w:r>
        <w:t xml:space="preserve">. </w:t>
      </w:r>
      <w:r w:rsidRPr="00D81ADA">
        <w:rPr>
          <w:rStyle w:val="Reference"/>
        </w:rPr>
        <w:t>[AASB 13.93(c), AASB 13.66]</w:t>
      </w:r>
      <w:r>
        <w:t xml:space="preserve"> </w:t>
      </w:r>
    </w:p>
    <w:p w14:paraId="65296805" w14:textId="77777777" w:rsidR="003719CD" w:rsidRDefault="003719CD" w:rsidP="00DC39DE">
      <w:r>
        <w:t xml:space="preserve">For investment properties measured at fair value, the current use of the asset is considered the highest and best use. </w:t>
      </w:r>
      <w:r w:rsidRPr="00D81ADA">
        <w:rPr>
          <w:rStyle w:val="Reference"/>
        </w:rPr>
        <w:t>[AASB 13.93(i)]</w:t>
      </w:r>
    </w:p>
    <w:p w14:paraId="00887032" w14:textId="2ECA8140" w:rsidR="003719CD" w:rsidRDefault="003719CD" w:rsidP="00DC39DE">
      <w:r>
        <w:t xml:space="preserve">The fair value of the Department’s investment properties at 30 June </w:t>
      </w:r>
      <w:fldSimple w:instr="DOCPROPERTY  YearCurrent  \* MERGEFORMAT">
        <w:r w:rsidR="00A545BA">
          <w:t>20X2</w:t>
        </w:r>
      </w:fldSimple>
      <w:r>
        <w:t xml:space="preserve"> have been arrived at on the basis of an independent valuation carried out by independent valuers, Norton and Prime Pty Ltd.</w:t>
      </w:r>
    </w:p>
    <w:p w14:paraId="0D44E29E" w14:textId="77777777" w:rsidR="003719CD" w:rsidRDefault="003719CD" w:rsidP="00DC39DE">
      <w:r>
        <w:t xml:space="preserve">The valuation was determined by reference to market evidence of transaction prices for similar properties with no significant unobservable adjustments, in the same location and condition and subject to similar lease and other contracts. </w:t>
      </w:r>
      <w:r w:rsidRPr="00D81ADA">
        <w:rPr>
          <w:rStyle w:val="Reference"/>
        </w:rPr>
        <w:t>[AASB 13.93(d)]</w:t>
      </w:r>
    </w:p>
    <w:p w14:paraId="26B68092" w14:textId="77777777" w:rsidR="003719CD" w:rsidRDefault="003719CD" w:rsidP="00DC39DE">
      <w:r>
        <w:t>Norton and Prime Pty Ltd has more than 20 years’ experience valuing similar commercial properties in Melbourne’s CBD.</w:t>
      </w:r>
    </w:p>
    <w:p w14:paraId="426F36B8" w14:textId="77777777" w:rsidR="003719CD" w:rsidRDefault="003719CD" w:rsidP="00DC39DE"/>
    <w:p w14:paraId="3F931297" w14:textId="5DDA05DD" w:rsidR="003719CD" w:rsidRDefault="003719CD" w:rsidP="007D536F">
      <w:pPr>
        <w:pStyle w:val="GuidanceBlockHeading"/>
      </w:pPr>
      <w:r>
        <w:t>Guidance – Fair value determination: Non-financial physical assets [AASB 13.83]</w:t>
      </w:r>
      <w:r w:rsidR="006F7811" w:rsidRPr="00226C59">
        <w:t xml:space="preserve"> [REVISED]</w:t>
      </w:r>
    </w:p>
    <w:p w14:paraId="083CEFA5" w14:textId="77777777" w:rsidR="003719CD" w:rsidRPr="00D81ADA" w:rsidRDefault="003719CD" w:rsidP="007D536F">
      <w:pPr>
        <w:rPr>
          <w:rStyle w:val="Guidance"/>
        </w:rPr>
      </w:pPr>
      <w:r w:rsidRPr="00D81ADA">
        <w:rPr>
          <w:rStyle w:val="Guidance"/>
        </w:rPr>
        <w:t xml:space="preserve">AASB 13 acknowledges that, unlike a Level 1 input, adjustments to Level 2 inputs may be more common, but will vary depending on the factors specific to the asset or liability. </w:t>
      </w:r>
    </w:p>
    <w:p w14:paraId="24C236AE" w14:textId="77777777" w:rsidR="003719CD" w:rsidRPr="00D81ADA" w:rsidRDefault="003719CD" w:rsidP="007D536F">
      <w:pPr>
        <w:rPr>
          <w:rStyle w:val="Guidance"/>
        </w:rPr>
      </w:pPr>
      <w:r w:rsidRPr="00D81ADA">
        <w:rPr>
          <w:rStyle w:val="Guidance"/>
        </w:rPr>
        <w:t>There are a number of reasons why an entity may need to make adjustments to Level 2 inputs. Adjustments to observable data from inactive markets, for example, might be required for timing differences between the transaction date and the measurement date, or differences between the asset being measured and a similar asset that was the subject of the transaction. In addition, factors such as the condition or location of an asset should also be considered when determining if adjustments to Level 2 inputs are warranted.</w:t>
      </w:r>
    </w:p>
    <w:p w14:paraId="49B86B5B" w14:textId="77777777" w:rsidR="003719CD" w:rsidRPr="00D81ADA" w:rsidRDefault="003719CD" w:rsidP="007D536F">
      <w:pPr>
        <w:rPr>
          <w:rStyle w:val="Guidance"/>
        </w:rPr>
      </w:pPr>
      <w:r w:rsidRPr="00D81ADA">
        <w:rPr>
          <w:rStyle w:val="Guidance"/>
        </w:rPr>
        <w:t>If an adjustment to a Level 2 input is significant to the entire fair value measurement, it may affect the fair value measurement’s categorisation within the fair value hierarchy for disclosure purposes. If the adjustment uses significant unobservable inputs, it would need to be categorised within Level 3 of the hierarchy.</w:t>
      </w:r>
    </w:p>
    <w:p w14:paraId="42FB5A19" w14:textId="77777777" w:rsidR="003719CD" w:rsidRPr="00D81ADA" w:rsidRDefault="003719CD" w:rsidP="007D536F">
      <w:pPr>
        <w:rPr>
          <w:rStyle w:val="Guidance"/>
        </w:rPr>
      </w:pPr>
      <w:r w:rsidRPr="00D81ADA">
        <w:rPr>
          <w:rStyle w:val="Guidance"/>
        </w:rPr>
        <w:t>For example, in the tables in note 8.3.2, the ‘specialised land’ has been categorised within Level 3 of the fair value hierarchy. This was a direct result of the significant adjustment to Level 2 inputs (observable indirectly through corroboration with market data) for community service obligation (CSO), which was derived based on significant unobservable inputs. This can be contrasted with categorisation of ‘non-specialised land’, where no significant adjustments in similar vein to CSO were made to Level 2 inputs.</w:t>
      </w:r>
    </w:p>
    <w:p w14:paraId="3FBC5B55" w14:textId="532EDE52" w:rsidR="003719CD" w:rsidRPr="00D81ADA" w:rsidRDefault="003719CD" w:rsidP="007D536F">
      <w:pPr>
        <w:pStyle w:val="GuidanceHeading"/>
        <w:rPr>
          <w:rStyle w:val="Guidance"/>
        </w:rPr>
      </w:pPr>
      <w:r w:rsidRPr="0012220D">
        <w:rPr>
          <w:rStyle w:val="Guidance"/>
        </w:rPr>
        <w:t>Leasing transactions within the scope of AASB 16</w:t>
      </w:r>
      <w:r w:rsidRPr="00D81ADA">
        <w:rPr>
          <w:rStyle w:val="Guidance"/>
        </w:rPr>
        <w:t xml:space="preserve"> </w:t>
      </w:r>
    </w:p>
    <w:p w14:paraId="4BC6CA5D" w14:textId="515C7D0B" w:rsidR="00AD3EC3" w:rsidRDefault="00AD3EC3" w:rsidP="00DD51FB">
      <w:pPr>
        <w:rPr>
          <w:rStyle w:val="Guidance"/>
        </w:rPr>
      </w:pPr>
      <w:r>
        <w:rPr>
          <w:rStyle w:val="Guidance"/>
        </w:rPr>
        <w:t xml:space="preserve">As Right-of-use Assets are carried at fair value </w:t>
      </w:r>
      <w:r w:rsidR="000D704B">
        <w:rPr>
          <w:rStyle w:val="Guidance"/>
        </w:rPr>
        <w:t>and are c</w:t>
      </w:r>
      <w:r w:rsidR="001B4D65">
        <w:rPr>
          <w:rStyle w:val="Guidance"/>
        </w:rPr>
        <w:t xml:space="preserve">lassified as property, </w:t>
      </w:r>
      <w:r w:rsidR="00232F70">
        <w:rPr>
          <w:rStyle w:val="Guidance"/>
        </w:rPr>
        <w:t>plant,</w:t>
      </w:r>
      <w:r w:rsidR="001B4D65">
        <w:rPr>
          <w:rStyle w:val="Guidance"/>
        </w:rPr>
        <w:t xml:space="preserve"> and equipment as part of the notes, </w:t>
      </w:r>
      <w:r w:rsidR="00600945">
        <w:rPr>
          <w:rStyle w:val="Guidance"/>
        </w:rPr>
        <w:t>the</w:t>
      </w:r>
      <w:r w:rsidR="00232F70">
        <w:rPr>
          <w:rStyle w:val="Guidance"/>
        </w:rPr>
        <w:t xml:space="preserve"> disclosure requirements of AASB 116 are </w:t>
      </w:r>
      <w:r w:rsidR="00232F70" w:rsidRPr="007E3E50">
        <w:rPr>
          <w:rStyle w:val="Guidance"/>
          <w:b/>
          <w:bCs/>
        </w:rPr>
        <w:t xml:space="preserve">not </w:t>
      </w:r>
      <w:r w:rsidR="00232F70">
        <w:rPr>
          <w:rStyle w:val="Guidance"/>
        </w:rPr>
        <w:t>excluded from AASB 13 as noted below.</w:t>
      </w:r>
    </w:p>
    <w:p w14:paraId="3102D8BA" w14:textId="68F0AC51" w:rsidR="00DD51FB" w:rsidRPr="00DD51FB" w:rsidRDefault="00DD51FB" w:rsidP="00DD51FB">
      <w:pPr>
        <w:rPr>
          <w:rStyle w:val="Guidance"/>
        </w:rPr>
      </w:pPr>
      <w:r w:rsidRPr="00DD51FB">
        <w:rPr>
          <w:rStyle w:val="Guidance"/>
        </w:rPr>
        <w:t>AASB 16</w:t>
      </w:r>
      <w:r w:rsidR="00096388">
        <w:rPr>
          <w:rStyle w:val="Guidance"/>
        </w:rPr>
        <w:t xml:space="preserve"> paragraph 57</w:t>
      </w:r>
      <w:r w:rsidRPr="00DD51FB">
        <w:rPr>
          <w:rStyle w:val="Guidance"/>
        </w:rPr>
        <w:t xml:space="preserve"> indicates that </w:t>
      </w:r>
      <w:r w:rsidR="003416A4">
        <w:rPr>
          <w:rStyle w:val="Guidance"/>
        </w:rPr>
        <w:t>‘</w:t>
      </w:r>
      <w:r w:rsidR="002E1B3D">
        <w:rPr>
          <w:rStyle w:val="Guidance"/>
        </w:rPr>
        <w:t>I</w:t>
      </w:r>
      <w:r w:rsidRPr="00DD51FB">
        <w:rPr>
          <w:rStyle w:val="Guidance"/>
        </w:rPr>
        <w:t>f a lessee measures right-of-use assets at revalued amounts applying AASB</w:t>
      </w:r>
      <w:r w:rsidR="00483A30">
        <w:rPr>
          <w:rStyle w:val="Guidance"/>
        </w:rPr>
        <w:t> </w:t>
      </w:r>
      <w:r w:rsidRPr="00DD51FB">
        <w:rPr>
          <w:rStyle w:val="Guidance"/>
        </w:rPr>
        <w:t>116, the lessee shall disclose the information required by paragraph 77 of AASB 116 for those right-of-use assets</w:t>
      </w:r>
      <w:r w:rsidR="002E1B3D">
        <w:rPr>
          <w:rStyle w:val="Guidance"/>
        </w:rPr>
        <w:t>’.</w:t>
      </w:r>
    </w:p>
    <w:p w14:paraId="15552BB0" w14:textId="77777777" w:rsidR="00C35C9E" w:rsidRDefault="00C35C9E">
      <w:pPr>
        <w:keepLines w:val="0"/>
        <w:rPr>
          <w:rStyle w:val="Guidance"/>
        </w:rPr>
      </w:pPr>
      <w:r>
        <w:rPr>
          <w:rStyle w:val="Guidance"/>
        </w:rPr>
        <w:br w:type="page"/>
      </w:r>
    </w:p>
    <w:p w14:paraId="7E5CDED4" w14:textId="77777777" w:rsidR="002E1B3D" w:rsidRDefault="00E53448" w:rsidP="00C35C9E">
      <w:pPr>
        <w:keepNext/>
        <w:rPr>
          <w:rStyle w:val="Guidance"/>
        </w:rPr>
      </w:pPr>
      <w:r>
        <w:rPr>
          <w:rStyle w:val="Guidance"/>
        </w:rPr>
        <w:lastRenderedPageBreak/>
        <w:t xml:space="preserve">AASB 116 </w:t>
      </w:r>
      <w:r w:rsidR="00DD51FB" w:rsidRPr="00DD51FB">
        <w:rPr>
          <w:rStyle w:val="Guidance"/>
        </w:rPr>
        <w:t>applies to property, plant and equipment carried at fair value</w:t>
      </w:r>
      <w:r w:rsidR="00864382">
        <w:rPr>
          <w:rStyle w:val="Guidance"/>
        </w:rPr>
        <w:t xml:space="preserve"> which notes:</w:t>
      </w:r>
    </w:p>
    <w:p w14:paraId="3D42E6A9" w14:textId="70FBE284" w:rsidR="00DD51FB" w:rsidRPr="00DD51FB" w:rsidRDefault="002E1B3D" w:rsidP="00DD51FB">
      <w:pPr>
        <w:rPr>
          <w:rStyle w:val="Guidance"/>
        </w:rPr>
      </w:pPr>
      <w:r>
        <w:rPr>
          <w:rStyle w:val="Guidance"/>
        </w:rPr>
        <w:t>‘</w:t>
      </w:r>
      <w:r w:rsidR="00573E66">
        <w:rPr>
          <w:rStyle w:val="Guidance"/>
        </w:rPr>
        <w:t>I</w:t>
      </w:r>
      <w:r w:rsidR="00DD51FB" w:rsidRPr="00DD51FB">
        <w:rPr>
          <w:rStyle w:val="Guidance"/>
        </w:rPr>
        <w:t xml:space="preserve">f items of property, plant and equipment are stated at revalued amounts, the following shall be disclosed in addition to the disclosures required by AASB 13: </w:t>
      </w:r>
    </w:p>
    <w:p w14:paraId="0F333142" w14:textId="1C42D4A1" w:rsidR="49224681" w:rsidRDefault="49224681" w:rsidP="00432865">
      <w:pPr>
        <w:pStyle w:val="ListBullet"/>
        <w:rPr>
          <w:rStyle w:val="Guidance"/>
        </w:rPr>
      </w:pPr>
      <w:r w:rsidRPr="49D7517C">
        <w:rPr>
          <w:color w:val="4472C4" w:themeColor="accent1"/>
        </w:rPr>
        <w:t xml:space="preserve">the effective date of the revaluation </w:t>
      </w:r>
    </w:p>
    <w:p w14:paraId="16F1B78E" w14:textId="4263EC34" w:rsidR="49224681" w:rsidRDefault="49224681" w:rsidP="00432865">
      <w:pPr>
        <w:pStyle w:val="ListBullet"/>
        <w:rPr>
          <w:rStyle w:val="Guidance"/>
        </w:rPr>
      </w:pPr>
      <w:r w:rsidRPr="49D7517C">
        <w:rPr>
          <w:color w:val="4472C4" w:themeColor="accent1"/>
        </w:rPr>
        <w:t>whether an independent valuer was involved</w:t>
      </w:r>
    </w:p>
    <w:p w14:paraId="09F335EF" w14:textId="6338B70D" w:rsidR="00DD51FB" w:rsidRPr="00432865" w:rsidRDefault="0BEE08F5" w:rsidP="00432865">
      <w:pPr>
        <w:pStyle w:val="ListBullet"/>
      </w:pPr>
      <w:r w:rsidRPr="00432865">
        <w:t xml:space="preserve">for each revalued class of property, plant and equipment, the carrying amount that would have been recognised had the assets been carried under the cost model </w:t>
      </w:r>
    </w:p>
    <w:p w14:paraId="5268B723" w14:textId="0A379F7A" w:rsidR="00DD51FB" w:rsidRPr="00432865" w:rsidRDefault="0BEE08F5" w:rsidP="00432865">
      <w:pPr>
        <w:pStyle w:val="ListBullet"/>
      </w:pPr>
      <w:r w:rsidRPr="00432865">
        <w:t>the revaluation surplus, indicating the change for the period and any restrictions on the distribution of the balance to shareholders.</w:t>
      </w:r>
    </w:p>
    <w:p w14:paraId="616492E6" w14:textId="11D35859" w:rsidR="00237AD0" w:rsidRDefault="00DD51FB" w:rsidP="00237AD0">
      <w:pPr>
        <w:rPr>
          <w:rStyle w:val="Guidance"/>
        </w:rPr>
      </w:pPr>
      <w:r w:rsidRPr="00DD51FB">
        <w:rPr>
          <w:rStyle w:val="Guidance"/>
        </w:rPr>
        <w:t>Aus77.1 Notwithstanding paragraph 77(e), in respect of not-for-profit entities, for each revalued class of property, plant and equipment, the requirement to disclose the carrying amount that would have been recognised had the assets been carried under the cost model does not apply.</w:t>
      </w:r>
      <w:r w:rsidR="002E1B3D">
        <w:rPr>
          <w:rStyle w:val="Guidance"/>
        </w:rPr>
        <w:t>’</w:t>
      </w:r>
    </w:p>
    <w:p w14:paraId="3C4C323A" w14:textId="70129DBD" w:rsidR="003719CD" w:rsidRPr="00D81ADA" w:rsidRDefault="003719CD" w:rsidP="007D536F">
      <w:pPr>
        <w:pStyle w:val="GuidanceHeading"/>
        <w:rPr>
          <w:rStyle w:val="Guidance"/>
        </w:rPr>
      </w:pPr>
      <w:r w:rsidRPr="00D81ADA">
        <w:rPr>
          <w:rStyle w:val="Guidance"/>
        </w:rPr>
        <w:t>Exemption from disclosing quantitative information of Level 3 inputs</w:t>
      </w:r>
      <w:r w:rsidRPr="00D81ADA">
        <w:rPr>
          <w:rStyle w:val="Reference"/>
        </w:rPr>
        <w:t xml:space="preserve"> [AASB 13. Aus93.1]</w:t>
      </w:r>
    </w:p>
    <w:p w14:paraId="522FAE9D" w14:textId="77777777" w:rsidR="003719CD" w:rsidRDefault="003719CD" w:rsidP="007D536F">
      <w:pPr>
        <w:rPr>
          <w:rStyle w:val="Guidance"/>
        </w:rPr>
      </w:pPr>
      <w:r w:rsidRPr="00D81ADA">
        <w:rPr>
          <w:rStyle w:val="Guidance"/>
        </w:rPr>
        <w:t>AASB 13 provides an exemption for not-for-profit public sector entities from disclosing quantitative information of Level</w:t>
      </w:r>
      <w:r>
        <w:rPr>
          <w:rStyle w:val="Guidance"/>
        </w:rPr>
        <w:t> </w:t>
      </w:r>
      <w:r w:rsidRPr="00D81ADA">
        <w:rPr>
          <w:rStyle w:val="Guidance"/>
        </w:rPr>
        <w:t>3 inputs in relation to assets that are held primarily for their current service potential rather than to generate net cash inflows. As this exemption is not applicable for assets that are held for cash generating purposes, not-for-profit entities that have assets generating net cash inflows will still need to disclose quantitative information about the significant unobservable inputs used in the fair value measurements categorised within Level 3 of the fair value hierarchy.</w:t>
      </w:r>
    </w:p>
    <w:p w14:paraId="0A4AAB2F" w14:textId="77777777" w:rsidR="003719CD" w:rsidRPr="00D81ADA" w:rsidRDefault="003719CD" w:rsidP="007D536F">
      <w:pPr>
        <w:rPr>
          <w:rStyle w:val="Guidance"/>
        </w:rPr>
      </w:pPr>
      <w:r w:rsidRPr="00D81ADA">
        <w:rPr>
          <w:rStyle w:val="Guidance"/>
        </w:rPr>
        <w:t>Specifically, paragraph Aus93.1 exempts not-for-profit public sector entities from applying the requirements in AASB</w:t>
      </w:r>
      <w:r>
        <w:rPr>
          <w:rStyle w:val="Guidance"/>
        </w:rPr>
        <w:t> </w:t>
      </w:r>
      <w:r w:rsidRPr="00D81ADA">
        <w:rPr>
          <w:rStyle w:val="Guidance"/>
        </w:rPr>
        <w:t xml:space="preserve">13.93(d) if the entity has assets within the scope of AASB 116 </w:t>
      </w:r>
      <w:r w:rsidRPr="00495F84">
        <w:rPr>
          <w:rStyle w:val="Guidance"/>
          <w:i/>
          <w:iCs/>
        </w:rPr>
        <w:t>Property, Plant and Equipment</w:t>
      </w:r>
      <w:r w:rsidRPr="00D81ADA">
        <w:rPr>
          <w:rStyle w:val="Guidance"/>
        </w:rPr>
        <w:t xml:space="preserve"> for which the future economic benefits are not primarily dependent on the asset’s ability to generate net cash flows. Specifically, for fair value measurements that have been categorised within Level 3 of the fair value hierarchy, the entity will no longer be required to provide quantitative information about the ‘significant unobservable inputs’ used in the fair value measurement. </w:t>
      </w:r>
    </w:p>
    <w:p w14:paraId="6D95DDFF" w14:textId="77777777" w:rsidR="003719CD" w:rsidRPr="00D81ADA" w:rsidRDefault="003719CD" w:rsidP="007D536F">
      <w:pPr>
        <w:rPr>
          <w:rStyle w:val="Guidance"/>
        </w:rPr>
      </w:pPr>
      <w:r w:rsidRPr="00D81ADA">
        <w:rPr>
          <w:rStyle w:val="Guidance"/>
        </w:rPr>
        <w:t>However, it is important to note entities will still be required to provide a description of the valuation techniques and the input used in the fair value measurement.</w:t>
      </w:r>
    </w:p>
    <w:p w14:paraId="29727B1F" w14:textId="77777777" w:rsidR="003719CD" w:rsidRPr="00D81ADA" w:rsidRDefault="003719CD" w:rsidP="007D536F">
      <w:pPr>
        <w:pStyle w:val="GuidanceHeading"/>
        <w:rPr>
          <w:rStyle w:val="Guidance"/>
        </w:rPr>
      </w:pPr>
      <w:r w:rsidRPr="00D81ADA">
        <w:rPr>
          <w:rStyle w:val="Guidance"/>
        </w:rPr>
        <w:t xml:space="preserve">Changes in valuation techniques </w:t>
      </w:r>
      <w:r w:rsidRPr="00D81ADA">
        <w:rPr>
          <w:rStyle w:val="Reference"/>
        </w:rPr>
        <w:t>[AASB 13.66]</w:t>
      </w:r>
    </w:p>
    <w:p w14:paraId="27EA14ED" w14:textId="77777777" w:rsidR="003719CD" w:rsidRPr="00D81ADA" w:rsidRDefault="003719CD" w:rsidP="007D536F">
      <w:pPr>
        <w:rPr>
          <w:rStyle w:val="Guidance"/>
        </w:rPr>
      </w:pPr>
      <w:r w:rsidRPr="00D81ADA">
        <w:rPr>
          <w:rStyle w:val="Guidance"/>
        </w:rPr>
        <w:t>Revisions resulting from a change in the valuation technique or its application shall be accounted for as a change in accounting estimate in accordance with AASB 108. However, entities are exempted from the disclosure requirements in paragraphs 39 and 40 of AASB 108 for changes in valuation techniques.</w:t>
      </w:r>
    </w:p>
    <w:p w14:paraId="5A319892" w14:textId="77777777" w:rsidR="003719CD" w:rsidRPr="00D81ADA" w:rsidRDefault="003719CD" w:rsidP="007D536F">
      <w:pPr>
        <w:rPr>
          <w:rStyle w:val="Guidance"/>
        </w:rPr>
      </w:pPr>
      <w:r w:rsidRPr="00D81ADA">
        <w:rPr>
          <w:rStyle w:val="Guidance"/>
          <w:b/>
          <w:bCs/>
        </w:rPr>
        <w:t>Valuation hierarchy</w:t>
      </w:r>
      <w:r w:rsidRPr="00D81ADA">
        <w:rPr>
          <w:rStyle w:val="Guidance"/>
        </w:rPr>
        <w:t>: Entities need to use valuation techniques that are appropriate for the circumstances and where there is sufficient data available to measure fair value, maximising the use of relevant observable inputs and minimising the use of unobservable inputs.</w:t>
      </w:r>
    </w:p>
    <w:p w14:paraId="3BB6F607" w14:textId="77777777" w:rsidR="003719CD" w:rsidRPr="00D81ADA" w:rsidRDefault="003719CD" w:rsidP="007D536F">
      <w:pPr>
        <w:rPr>
          <w:rStyle w:val="Guidance"/>
        </w:rPr>
      </w:pPr>
      <w:r w:rsidRPr="00D81ADA">
        <w:rPr>
          <w:rStyle w:val="Guidance"/>
        </w:rPr>
        <w:t xml:space="preserve">All assets and liabilities for which fair value is measured or disclosed in the financial statements are categorised within the fair value hierarchy. It is based on the lowest level input that is significant to the fair value measurement as a whole: </w:t>
      </w:r>
    </w:p>
    <w:p w14:paraId="75092DFA" w14:textId="0299B473" w:rsidR="003719CD" w:rsidRPr="00D81ADA" w:rsidRDefault="003719CD" w:rsidP="00310F12">
      <w:pPr>
        <w:pStyle w:val="ListBullet"/>
        <w:rPr>
          <w:rStyle w:val="Guidance"/>
        </w:rPr>
      </w:pPr>
      <w:r w:rsidRPr="00D81ADA">
        <w:rPr>
          <w:rStyle w:val="Guidance"/>
        </w:rPr>
        <w:t>Level 1 – quoted (unadjusted) market prices in active markets for identical assets or liabilities</w:t>
      </w:r>
    </w:p>
    <w:p w14:paraId="7C35BBF0" w14:textId="5DAC4EE8" w:rsidR="003719CD" w:rsidRPr="00D81ADA" w:rsidRDefault="003719CD" w:rsidP="00310F12">
      <w:pPr>
        <w:pStyle w:val="ListBullet"/>
        <w:rPr>
          <w:rStyle w:val="Guidance"/>
        </w:rPr>
      </w:pPr>
      <w:r w:rsidRPr="00D81ADA">
        <w:rPr>
          <w:rStyle w:val="Guidance"/>
        </w:rPr>
        <w:t>Level 2 – valuation techniques for which the lowest level input that is significant to the fair value measurement is directly or indirectly observable</w:t>
      </w:r>
    </w:p>
    <w:p w14:paraId="3477EA96" w14:textId="77777777" w:rsidR="003719CD" w:rsidRPr="00D81ADA" w:rsidRDefault="003719CD" w:rsidP="00310F12">
      <w:pPr>
        <w:pStyle w:val="ListBullet"/>
        <w:rPr>
          <w:rStyle w:val="Guidance"/>
        </w:rPr>
      </w:pPr>
      <w:r w:rsidRPr="00D81ADA">
        <w:rPr>
          <w:rStyle w:val="Guidance"/>
        </w:rPr>
        <w:t>Level 3 – valuation techniques for which the lowest level input that is significant to the fair value measurement is unobservable.</w:t>
      </w:r>
    </w:p>
    <w:p w14:paraId="776F54D4" w14:textId="77777777" w:rsidR="003719CD" w:rsidRPr="00D81ADA" w:rsidRDefault="003719CD" w:rsidP="007D536F">
      <w:pPr>
        <w:pStyle w:val="GuidanceHeading"/>
        <w:rPr>
          <w:rStyle w:val="Guidance"/>
        </w:rPr>
      </w:pPr>
      <w:r w:rsidRPr="00D81ADA">
        <w:rPr>
          <w:rStyle w:val="Guidance"/>
        </w:rPr>
        <w:t>Identifying unobservable inputs (Level 3) fair value measurements</w:t>
      </w:r>
    </w:p>
    <w:p w14:paraId="05164F24" w14:textId="77777777" w:rsidR="003719CD" w:rsidRPr="00D81ADA" w:rsidRDefault="003719CD" w:rsidP="007D536F">
      <w:pPr>
        <w:rPr>
          <w:rStyle w:val="Guidance"/>
        </w:rPr>
      </w:pPr>
      <w:r w:rsidRPr="00D81ADA">
        <w:rPr>
          <w:rStyle w:val="Guidance"/>
        </w:rPr>
        <w:t>Level 3 fair value inputs are unobservable valuation inputs for an asset or liability. These inputs require significant judgement and assumptions in deriving fair value for both financial and non-financial assets.</w:t>
      </w:r>
    </w:p>
    <w:p w14:paraId="43E6D0F3" w14:textId="77777777" w:rsidR="003719CD" w:rsidRPr="00D81ADA" w:rsidRDefault="003719CD" w:rsidP="007D536F">
      <w:pPr>
        <w:rPr>
          <w:rStyle w:val="Guidance"/>
        </w:rPr>
      </w:pPr>
      <w:r w:rsidRPr="00D81ADA">
        <w:rPr>
          <w:rStyle w:val="Guidance"/>
        </w:rPr>
        <w:t>Unobservable inputs shall be used to measure fair value to the extent that relevant observable inputs are not available, thereby allowing for situations in which there is little, if any, market activity for the asset or liability at the measurement date. However, the fair value measurement objective remains the same, i.e. an exit price at the measurement date from the perspective of a market participant that holds the asset or owes the liability. Therefore, unobservable inputs shall reflect the assumptions that market participants would use when pricing the asset or liability, including assumptions about risk.</w:t>
      </w:r>
    </w:p>
    <w:p w14:paraId="08EACEF3" w14:textId="365BFDCA" w:rsidR="003719CD" w:rsidRPr="00D81ADA" w:rsidRDefault="003719CD" w:rsidP="007D536F">
      <w:pPr>
        <w:rPr>
          <w:rStyle w:val="Guidance"/>
        </w:rPr>
      </w:pPr>
      <w:r w:rsidRPr="00D81ADA">
        <w:rPr>
          <w:rStyle w:val="Guidance"/>
        </w:rPr>
        <w:lastRenderedPageBreak/>
        <w:t>Assumptions about risk include the risk inherent in a particular valuation technique used to measure fair value (such as a pricing model) and the risk inherent in the inputs to the valuation technique. A measurement that does not include an adjustment for risk would not represent a fair value measurement if market participants would include one when pricing the asset or liability i.e. it might be necessary to include a risk adjustment when there is significant measurement uncertainty. For example, when there has been a significant decrease in the volume or level of activity when compared with normal market activity for the asset or liability, or similar assets or liabilities, and the entity has determined that the transaction price or quoted price does not represent fair value.</w:t>
      </w:r>
    </w:p>
    <w:p w14:paraId="7B60C782" w14:textId="658C1ACB" w:rsidR="001C25F8" w:rsidRPr="00D81ADA" w:rsidRDefault="003719CD" w:rsidP="007D536F">
      <w:pPr>
        <w:rPr>
          <w:rStyle w:val="Guidance"/>
        </w:rPr>
      </w:pPr>
      <w:r w:rsidRPr="00D81ADA">
        <w:rPr>
          <w:rStyle w:val="Guidance"/>
        </w:rPr>
        <w:t>An entity shall develop unobservable inputs using the best information available in the circumstances, which might include the entity’s own data. In developing unobservable inputs, an entity may begin with its own data, but it shall adjust this data if reasonably available information indicates that other market participants would use different data or there is something particular to the entity that is not available to other market participants (e.g. an entity-specific synergy). An entity need not undertake exhaustive efforts to obtain information about market participant assumptions. However, an entity shall take into account all information about market participant assumptions that is reasonably available. Unobservable inputs developed in the manner described above are considered market participant assumptions and meet the objective of a fair value measurement.</w:t>
      </w:r>
    </w:p>
    <w:p w14:paraId="5436B3F9" w14:textId="77777777" w:rsidR="003719CD" w:rsidRPr="00D81ADA" w:rsidRDefault="003719CD" w:rsidP="007D536F">
      <w:pPr>
        <w:pStyle w:val="GuidanceHeading"/>
        <w:rPr>
          <w:rStyle w:val="Guidance"/>
        </w:rPr>
      </w:pPr>
      <w:r w:rsidRPr="00D81ADA">
        <w:rPr>
          <w:rStyle w:val="Guidance"/>
        </w:rPr>
        <w:t>Fair value measurement expectation for Victorian public assets</w:t>
      </w:r>
    </w:p>
    <w:p w14:paraId="51A33232" w14:textId="745AA248" w:rsidR="003719CD" w:rsidRPr="00D81ADA" w:rsidRDefault="003719CD" w:rsidP="007D536F">
      <w:pPr>
        <w:rPr>
          <w:rStyle w:val="Guidance"/>
        </w:rPr>
      </w:pPr>
      <w:r w:rsidRPr="00D81ADA">
        <w:rPr>
          <w:rStyle w:val="Guidance"/>
        </w:rPr>
        <w:t xml:space="preserve">Entities can refer to a </w:t>
      </w:r>
      <w:hyperlink r:id="rId111" w:history="1">
        <w:r w:rsidRPr="00640131">
          <w:rPr>
            <w:rStyle w:val="Hyperlink"/>
          </w:rPr>
          <w:t>guidance note on fair value measurement of non-financial physical assets</w:t>
        </w:r>
        <w:r w:rsidR="0046284C" w:rsidRPr="00BB442B">
          <w:rPr>
            <w:rStyle w:val="Hyperlink"/>
            <w:u w:val="none"/>
          </w:rPr>
          <w:t>.</w:t>
        </w:r>
      </w:hyperlink>
      <w:r w:rsidRPr="00D81ADA">
        <w:rPr>
          <w:rStyle w:val="Guidance"/>
        </w:rPr>
        <w:t xml:space="preserve"> </w:t>
      </w:r>
    </w:p>
    <w:p w14:paraId="7CC980BA" w14:textId="77777777" w:rsidR="003719CD" w:rsidRPr="00D81ADA" w:rsidRDefault="003719CD" w:rsidP="007D536F">
      <w:pPr>
        <w:pStyle w:val="GuidanceHeading"/>
        <w:rPr>
          <w:rStyle w:val="Guidance"/>
        </w:rPr>
      </w:pPr>
      <w:r w:rsidRPr="00D81ADA">
        <w:rPr>
          <w:rStyle w:val="Guidance"/>
        </w:rPr>
        <w:t xml:space="preserve">Reconciliation of Level 3 fair value </w:t>
      </w:r>
      <w:r w:rsidRPr="00D81ADA">
        <w:rPr>
          <w:rStyle w:val="Reference"/>
        </w:rPr>
        <w:t>[AASB 13.93(e)]</w:t>
      </w:r>
    </w:p>
    <w:p w14:paraId="595C543C" w14:textId="18755411" w:rsidR="003719CD" w:rsidRPr="00D81ADA" w:rsidRDefault="003719CD" w:rsidP="007D536F">
      <w:pPr>
        <w:rPr>
          <w:rStyle w:val="Guidance"/>
        </w:rPr>
      </w:pPr>
      <w:r w:rsidRPr="00D81ADA">
        <w:rPr>
          <w:rStyle w:val="Guidance"/>
        </w:rPr>
        <w:t>For recurring fair value measurements categorised within Level 3 of the fair value hierarchy, a reconciliation from the opening balances to the closing balances</w:t>
      </w:r>
      <w:r w:rsidR="00F734AC">
        <w:rPr>
          <w:rStyle w:val="Guidance"/>
        </w:rPr>
        <w:t xml:space="preserve"> is required</w:t>
      </w:r>
      <w:r w:rsidRPr="00D81ADA">
        <w:rPr>
          <w:rStyle w:val="Guidance"/>
        </w:rPr>
        <w:t xml:space="preserve">, disclosing separately changes during the period attributable to the following: </w:t>
      </w:r>
      <w:r w:rsidRPr="00D81ADA">
        <w:rPr>
          <w:rStyle w:val="Reference"/>
        </w:rPr>
        <w:t>[FRD 103</w:t>
      </w:r>
      <w:r w:rsidR="008C5A66">
        <w:rPr>
          <w:rStyle w:val="Reference"/>
        </w:rPr>
        <w:t xml:space="preserve"> Revised</w:t>
      </w:r>
      <w:r w:rsidRPr="00D81ADA">
        <w:rPr>
          <w:rStyle w:val="Reference"/>
        </w:rPr>
        <w:t>]</w:t>
      </w:r>
    </w:p>
    <w:p w14:paraId="46185498" w14:textId="0C16B641" w:rsidR="003719CD" w:rsidRPr="00D81ADA" w:rsidRDefault="003719CD" w:rsidP="00310F12">
      <w:pPr>
        <w:pStyle w:val="ListBullet"/>
        <w:rPr>
          <w:rStyle w:val="Guidance"/>
        </w:rPr>
      </w:pPr>
      <w:r w:rsidRPr="00D81ADA">
        <w:rPr>
          <w:rStyle w:val="Guidance"/>
        </w:rPr>
        <w:t>total gains or losses for the period recognised in profit or loss, and the line item(s) in profit or loss in which those gains or losses are recognised</w:t>
      </w:r>
    </w:p>
    <w:p w14:paraId="2E721A0B" w14:textId="725D78D2" w:rsidR="003719CD" w:rsidRPr="00D81ADA" w:rsidRDefault="003719CD" w:rsidP="00310F12">
      <w:pPr>
        <w:pStyle w:val="ListBullet"/>
        <w:rPr>
          <w:rStyle w:val="Guidance"/>
        </w:rPr>
      </w:pPr>
      <w:r w:rsidRPr="00D81ADA">
        <w:rPr>
          <w:rStyle w:val="Guidance"/>
        </w:rPr>
        <w:t>total gains or losses for the period recognised in other comprehensive income, and the line item(s) in other comprehensive income in which those gains or losses are recognised</w:t>
      </w:r>
    </w:p>
    <w:p w14:paraId="6A5DF521" w14:textId="1243E76C" w:rsidR="003719CD" w:rsidRPr="00D81ADA" w:rsidRDefault="003719CD" w:rsidP="00310F12">
      <w:pPr>
        <w:pStyle w:val="ListBullet"/>
        <w:rPr>
          <w:rStyle w:val="Guidance"/>
        </w:rPr>
      </w:pPr>
      <w:r w:rsidRPr="00D81ADA">
        <w:rPr>
          <w:rStyle w:val="Guidance"/>
        </w:rPr>
        <w:t>purchases, sales, issues and settlements (each of those types of changes disclosed separately)</w:t>
      </w:r>
    </w:p>
    <w:p w14:paraId="3191EABA" w14:textId="77777777" w:rsidR="003719CD" w:rsidRPr="00D81ADA" w:rsidRDefault="003719CD" w:rsidP="00310F12">
      <w:pPr>
        <w:pStyle w:val="ListBullet"/>
        <w:rPr>
          <w:rStyle w:val="Guidance"/>
        </w:rPr>
      </w:pPr>
      <w:r w:rsidRPr="00D81ADA">
        <w:rPr>
          <w:rStyle w:val="Guidance"/>
        </w:rPr>
        <w:t>the amounts of any transfers into or out of Level 3 of the fair value hierarchy, the reasons for those transfers and the entity’s policy for determining when transfers between levels are deemed to have occurred (see paragraph 95). Transfers into Level 3 shall be disclosed and discussed separately from transfers out of Level 3.</w:t>
      </w:r>
    </w:p>
    <w:p w14:paraId="45E69F16" w14:textId="77777777" w:rsidR="003719CD" w:rsidRPr="00D81ADA" w:rsidRDefault="003719CD" w:rsidP="007D536F">
      <w:pPr>
        <w:pStyle w:val="GuidanceHeading"/>
        <w:rPr>
          <w:rStyle w:val="Guidance"/>
        </w:rPr>
      </w:pPr>
      <w:r w:rsidRPr="00D81ADA">
        <w:rPr>
          <w:rStyle w:val="Guidance"/>
        </w:rPr>
        <w:t>Exemption from disclosing sensitivity analysis for Level 3 fair value measurement</w:t>
      </w:r>
    </w:p>
    <w:p w14:paraId="3B71EDB4" w14:textId="77777777" w:rsidR="003719CD" w:rsidRPr="00D81ADA" w:rsidRDefault="003719CD" w:rsidP="007D536F">
      <w:pPr>
        <w:rPr>
          <w:rStyle w:val="Guidance"/>
        </w:rPr>
      </w:pPr>
      <w:r w:rsidRPr="00D81ADA">
        <w:rPr>
          <w:rStyle w:val="Guidance"/>
        </w:rPr>
        <w:t>For all recurring non-financial assets measured at Level 3 fair value measurement and held not primarily dependent on the asset’s ability to generate net cash inflows, an entity is no longer required to provide:</w:t>
      </w:r>
    </w:p>
    <w:p w14:paraId="1CB8DCA6" w14:textId="75B22F36" w:rsidR="003719CD" w:rsidRPr="00D81ADA" w:rsidRDefault="003719CD" w:rsidP="00310F12">
      <w:pPr>
        <w:pStyle w:val="ListBullet"/>
        <w:rPr>
          <w:rStyle w:val="Guidance"/>
        </w:rPr>
      </w:pPr>
      <w:r w:rsidRPr="00D81ADA">
        <w:rPr>
          <w:rStyle w:val="Guidance"/>
        </w:rPr>
        <w:t>a narrative description of the sensitivity of the fair value measurement to changes in unobservable inputs if a change in those inputs to a different amount might result in a significantly higher or lower fair value measurement</w:t>
      </w:r>
    </w:p>
    <w:p w14:paraId="7AF58000" w14:textId="77777777" w:rsidR="003719CD" w:rsidRPr="00D81ADA" w:rsidRDefault="003719CD" w:rsidP="00310F12">
      <w:pPr>
        <w:pStyle w:val="ListBullet"/>
        <w:rPr>
          <w:rStyle w:val="Guidance"/>
        </w:rPr>
      </w:pPr>
      <w:r w:rsidRPr="00D81ADA">
        <w:rPr>
          <w:rStyle w:val="Guidance"/>
        </w:rPr>
        <w:t>if there are interrelationships between the inputs and other unobservable inputs used in the fair value measurement, a description of the interrelationships and of how this might magnify or mitigate the effect of changes in the unobservable inputs on the fair value measurement.</w:t>
      </w:r>
    </w:p>
    <w:p w14:paraId="373C8CF1" w14:textId="4FCA1BE8" w:rsidR="003719CD" w:rsidRPr="00D81ADA" w:rsidRDefault="003719CD" w:rsidP="007D536F">
      <w:pPr>
        <w:pStyle w:val="GuidanceHeading"/>
        <w:rPr>
          <w:rStyle w:val="Guidance"/>
        </w:rPr>
      </w:pPr>
      <w:r w:rsidRPr="00D81ADA">
        <w:rPr>
          <w:rStyle w:val="Guidance"/>
        </w:rPr>
        <w:t>Disclosures for assets stated at revalued amounts</w:t>
      </w:r>
    </w:p>
    <w:p w14:paraId="28F7C6A7" w14:textId="179D85B3" w:rsidR="003719CD" w:rsidRPr="00D81ADA" w:rsidRDefault="003719CD" w:rsidP="00310F12">
      <w:pPr>
        <w:pStyle w:val="ListBullet"/>
        <w:rPr>
          <w:rStyle w:val="Guidance"/>
          <w:b/>
          <w:sz w:val="20"/>
        </w:rPr>
      </w:pPr>
      <w:r w:rsidRPr="00D81ADA">
        <w:rPr>
          <w:rStyle w:val="Guidance"/>
        </w:rPr>
        <w:t>the effective date of the revaluation</w:t>
      </w:r>
    </w:p>
    <w:p w14:paraId="448CCAFC" w14:textId="111EE585" w:rsidR="003719CD" w:rsidRPr="00D81ADA" w:rsidRDefault="003719CD" w:rsidP="00310F12">
      <w:pPr>
        <w:pStyle w:val="ListBullet"/>
        <w:rPr>
          <w:rStyle w:val="Guidance"/>
        </w:rPr>
      </w:pPr>
      <w:r w:rsidRPr="00D81ADA">
        <w:rPr>
          <w:rStyle w:val="Guidance"/>
        </w:rPr>
        <w:t>whether an independent valuer was involved</w:t>
      </w:r>
    </w:p>
    <w:p w14:paraId="685408F9" w14:textId="6957C959" w:rsidR="003719CD" w:rsidRPr="00D81ADA" w:rsidRDefault="003719CD" w:rsidP="00310F12">
      <w:pPr>
        <w:pStyle w:val="ListBullet"/>
        <w:rPr>
          <w:rStyle w:val="Guidance"/>
        </w:rPr>
      </w:pPr>
      <w:r w:rsidRPr="00D81ADA">
        <w:rPr>
          <w:rStyle w:val="Guidance"/>
        </w:rPr>
        <w:t>[requirement deleted by IASB]</w:t>
      </w:r>
    </w:p>
    <w:p w14:paraId="7AE93A14" w14:textId="67D457B6" w:rsidR="003719CD" w:rsidRPr="00D81ADA" w:rsidRDefault="003719CD" w:rsidP="00310F12">
      <w:pPr>
        <w:pStyle w:val="ListBullet"/>
        <w:rPr>
          <w:rStyle w:val="Guidance"/>
        </w:rPr>
      </w:pPr>
      <w:r w:rsidRPr="00D81ADA">
        <w:rPr>
          <w:rStyle w:val="Guidance"/>
        </w:rPr>
        <w:t>[deleted by the IASB]</w:t>
      </w:r>
    </w:p>
    <w:p w14:paraId="60661A9C" w14:textId="5835CF09" w:rsidR="003719CD" w:rsidRPr="00D81ADA" w:rsidRDefault="003719CD" w:rsidP="00310F12">
      <w:pPr>
        <w:pStyle w:val="ListBullet"/>
        <w:rPr>
          <w:rStyle w:val="Guidance"/>
        </w:rPr>
      </w:pPr>
      <w:r w:rsidRPr="00D81ADA">
        <w:rPr>
          <w:rStyle w:val="Guidance"/>
        </w:rPr>
        <w:t>for each revalued class of property, plant and equipment, the carrying amount that would have been recognised had the assets been carried under the cost model</w:t>
      </w:r>
    </w:p>
    <w:p w14:paraId="4817AA90" w14:textId="77777777" w:rsidR="003719CD" w:rsidRPr="00D81ADA" w:rsidRDefault="003719CD" w:rsidP="00310F12">
      <w:pPr>
        <w:pStyle w:val="ListBullet"/>
        <w:rPr>
          <w:rStyle w:val="Guidance"/>
        </w:rPr>
      </w:pPr>
      <w:r>
        <w:rPr>
          <w:rStyle w:val="Guidance"/>
        </w:rPr>
        <w:t>r</w:t>
      </w:r>
      <w:r w:rsidRPr="00D81ADA">
        <w:rPr>
          <w:rStyle w:val="Guidance"/>
        </w:rPr>
        <w:t>evaluation surplus, indicating the change for the period and any restrictions on the distribution of the balance to shareholders.</w:t>
      </w:r>
    </w:p>
    <w:p w14:paraId="4EF732A0" w14:textId="77777777" w:rsidR="003719CD" w:rsidRPr="00D81ADA" w:rsidRDefault="003719CD" w:rsidP="007D536F">
      <w:pPr>
        <w:rPr>
          <w:rStyle w:val="Guidance"/>
        </w:rPr>
      </w:pPr>
      <w:r w:rsidRPr="00D81ADA">
        <w:rPr>
          <w:rStyle w:val="Guidance"/>
        </w:rPr>
        <w:t>Notwithstanding AASB 116.77(e), in respect of not-for-profit entities, for each revalued class of property, plant and equipment, the requirement to disclose the carrying amount that would have been recognised had the assets been carried under the cost model does not apply.</w:t>
      </w:r>
    </w:p>
    <w:p w14:paraId="7C5DF592" w14:textId="77777777" w:rsidR="003719CD" w:rsidRPr="00D81ADA" w:rsidRDefault="003719CD" w:rsidP="007D536F">
      <w:pPr>
        <w:pStyle w:val="GuidanceHeading"/>
        <w:rPr>
          <w:rStyle w:val="Guidance"/>
        </w:rPr>
      </w:pPr>
      <w:r w:rsidRPr="00D81ADA">
        <w:rPr>
          <w:rStyle w:val="Guidance"/>
        </w:rPr>
        <w:lastRenderedPageBreak/>
        <w:t xml:space="preserve">Revaluation surplus of derecognised assets </w:t>
      </w:r>
    </w:p>
    <w:p w14:paraId="3BA2CCE3" w14:textId="77777777" w:rsidR="003719CD" w:rsidRPr="00D81ADA" w:rsidRDefault="003719CD" w:rsidP="007D536F">
      <w:pPr>
        <w:rPr>
          <w:rStyle w:val="Guidance"/>
        </w:rPr>
      </w:pPr>
      <w:r w:rsidRPr="00D81ADA">
        <w:rPr>
          <w:rStyle w:val="Guidance"/>
        </w:rPr>
        <w:t xml:space="preserve">A department may choose to transfer the revaluation surplus in respect of an item of non-financial physical asset to the accumulated funds when the asset is derecognised or as the asset is used. However, transfer of the revaluation surplus to accumulated funds is not mandatory. </w:t>
      </w:r>
    </w:p>
    <w:p w14:paraId="6F9AFB33" w14:textId="77777777" w:rsidR="003719CD" w:rsidRPr="00D81ADA" w:rsidRDefault="003719CD" w:rsidP="007D536F">
      <w:pPr>
        <w:rPr>
          <w:rStyle w:val="Guidance"/>
        </w:rPr>
      </w:pPr>
      <w:r w:rsidRPr="00D81ADA">
        <w:rPr>
          <w:rStyle w:val="Guidance"/>
        </w:rPr>
        <w:t>Not-for-profit entities are not recommended to transfer revaluation surplus relating to derecognised assets to accumulated funds due to the relief provided to not-for-profit entities to offset revaluation and impairment adjustments on a class basis.</w:t>
      </w:r>
    </w:p>
    <w:p w14:paraId="27A3D275" w14:textId="77777777" w:rsidR="003719CD" w:rsidRPr="00D81ADA" w:rsidRDefault="003719CD" w:rsidP="007D536F">
      <w:pPr>
        <w:rPr>
          <w:rStyle w:val="Guidance"/>
        </w:rPr>
      </w:pPr>
      <w:r w:rsidRPr="00D81ADA">
        <w:rPr>
          <w:rStyle w:val="Guidance"/>
        </w:rPr>
        <w:t>For-profit entities are encouraged to transfer the revaluation surplus in respect of an item of non-financial physical asset to accumulated funds when the asset is derecognised rather than as the asset is used.</w:t>
      </w:r>
    </w:p>
    <w:p w14:paraId="52CDA0F4" w14:textId="47AEE473" w:rsidR="003719CD" w:rsidRPr="00D81ADA" w:rsidRDefault="003719CD" w:rsidP="007D536F">
      <w:pPr>
        <w:pStyle w:val="GuidanceHeading"/>
        <w:rPr>
          <w:rStyle w:val="Guidance"/>
        </w:rPr>
      </w:pPr>
      <w:r w:rsidRPr="00D81ADA">
        <w:rPr>
          <w:rStyle w:val="Guidance"/>
        </w:rPr>
        <w:t>Additional disclosures</w:t>
      </w:r>
    </w:p>
    <w:p w14:paraId="35A4914D" w14:textId="77777777" w:rsidR="003719CD" w:rsidRPr="00D81ADA" w:rsidRDefault="003719CD" w:rsidP="007D536F">
      <w:pPr>
        <w:rPr>
          <w:rStyle w:val="Guidance"/>
        </w:rPr>
      </w:pPr>
      <w:r w:rsidRPr="00D81ADA">
        <w:rPr>
          <w:rStyle w:val="Guidance"/>
        </w:rPr>
        <w:t xml:space="preserve">Entities are encouraged to disclose the following information, as users of the financial statements may find the information relevant to their needs: </w:t>
      </w:r>
    </w:p>
    <w:p w14:paraId="0566F697" w14:textId="23547805" w:rsidR="003719CD" w:rsidRPr="00D81ADA" w:rsidRDefault="003719CD" w:rsidP="00310F12">
      <w:pPr>
        <w:pStyle w:val="ListBullet"/>
        <w:rPr>
          <w:rStyle w:val="Guidance"/>
        </w:rPr>
      </w:pPr>
      <w:r w:rsidRPr="00D81ADA">
        <w:rPr>
          <w:rStyle w:val="Guidance"/>
        </w:rPr>
        <w:t>the carrying amount of temporarily idle property, plant and equipment</w:t>
      </w:r>
    </w:p>
    <w:p w14:paraId="5A0EBA7F" w14:textId="7A8D12EE" w:rsidR="003719CD" w:rsidRPr="00D81ADA" w:rsidRDefault="003719CD" w:rsidP="00310F12">
      <w:pPr>
        <w:pStyle w:val="ListBullet"/>
        <w:rPr>
          <w:rStyle w:val="Guidance"/>
        </w:rPr>
      </w:pPr>
      <w:r w:rsidRPr="00D81ADA">
        <w:rPr>
          <w:rStyle w:val="Guidance"/>
        </w:rPr>
        <w:t>the gross carrying amount of any fully depreciated property, plant and equipment that is still in use</w:t>
      </w:r>
    </w:p>
    <w:p w14:paraId="02158A75" w14:textId="111C40BB" w:rsidR="003719CD" w:rsidRPr="00D81ADA" w:rsidRDefault="003719CD" w:rsidP="00310F12">
      <w:pPr>
        <w:pStyle w:val="ListBullet"/>
        <w:rPr>
          <w:rStyle w:val="Guidance"/>
        </w:rPr>
      </w:pPr>
      <w:r w:rsidRPr="00D81ADA">
        <w:rPr>
          <w:rStyle w:val="Guidance"/>
        </w:rPr>
        <w:t>the carrying amount of property, plant and equipment retired from active use and not classified as held-for-sale in accordance with AASB 5</w:t>
      </w:r>
    </w:p>
    <w:p w14:paraId="0F6D68B3" w14:textId="77777777" w:rsidR="003719CD" w:rsidRPr="00D81ADA" w:rsidRDefault="003719CD" w:rsidP="00310F12">
      <w:pPr>
        <w:pStyle w:val="ListBullet"/>
        <w:rPr>
          <w:rStyle w:val="Guidance"/>
        </w:rPr>
      </w:pPr>
      <w:r w:rsidRPr="00D81ADA">
        <w:rPr>
          <w:rStyle w:val="Guidance"/>
        </w:rPr>
        <w:t>when the cost model is used, the fair value of property, plant and equipment when this is materially different from the carrying amount.</w:t>
      </w:r>
    </w:p>
    <w:p w14:paraId="7356455D" w14:textId="77777777" w:rsidR="003719CD" w:rsidRPr="00D81ADA" w:rsidRDefault="003719CD" w:rsidP="007D536F">
      <w:pPr>
        <w:rPr>
          <w:rStyle w:val="Guidance"/>
        </w:rPr>
      </w:pPr>
      <w:r w:rsidRPr="00D81ADA">
        <w:rPr>
          <w:rStyle w:val="Guidance"/>
          <w:b/>
          <w:bCs/>
        </w:rPr>
        <w:t>Compensation from third parties</w:t>
      </w:r>
      <w:r w:rsidRPr="00D81ADA">
        <w:rPr>
          <w:rStyle w:val="Guidance"/>
        </w:rPr>
        <w:t xml:space="preserve">: If not disclosed separately in the comprehensive operating statement, the amount of compensation from third parties for items of property, plant and equipment that were impaired, lost or given up that is recognised in the net result shall be disclosed. </w:t>
      </w:r>
    </w:p>
    <w:p w14:paraId="4FAFE351" w14:textId="77777777" w:rsidR="003719CD" w:rsidRPr="00D81ADA" w:rsidRDefault="003719CD" w:rsidP="007D536F">
      <w:pPr>
        <w:rPr>
          <w:rStyle w:val="Guidance"/>
        </w:rPr>
      </w:pPr>
      <w:r w:rsidRPr="00B00B61">
        <w:rPr>
          <w:rStyle w:val="Guidance"/>
          <w:b/>
          <w:bCs/>
        </w:rPr>
        <w:t>Restrictive nature of assets</w:t>
      </w:r>
      <w:r w:rsidRPr="00D81ADA">
        <w:rPr>
          <w:rStyle w:val="Guidance"/>
        </w:rPr>
        <w:t>: There may be restrictions on the use and/or disposal of cultural and heritage assets, Crown land and infrastructure. Disclosure should be made to identify those assets that are subject to restrictions and the nature of those encumbrances/restrictions.</w:t>
      </w:r>
    </w:p>
    <w:p w14:paraId="29B06EDF" w14:textId="77777777" w:rsidR="003719CD" w:rsidRPr="00D81ADA" w:rsidRDefault="003719CD" w:rsidP="007D536F">
      <w:pPr>
        <w:pStyle w:val="GuidanceHeading"/>
        <w:rPr>
          <w:rStyle w:val="Guidance"/>
        </w:rPr>
      </w:pPr>
      <w:r w:rsidRPr="00D81ADA">
        <w:rPr>
          <w:rStyle w:val="Guidance"/>
        </w:rPr>
        <w:t xml:space="preserve">Fair value measurement </w:t>
      </w:r>
      <w:r w:rsidRPr="00B00B61">
        <w:rPr>
          <w:rStyle w:val="Reference"/>
        </w:rPr>
        <w:t>[AASB 13.86-89]</w:t>
      </w:r>
    </w:p>
    <w:p w14:paraId="709A2FAF" w14:textId="77777777" w:rsidR="003719CD" w:rsidRPr="00D81ADA" w:rsidRDefault="003719CD" w:rsidP="007D536F">
      <w:pPr>
        <w:rPr>
          <w:rStyle w:val="Guidance"/>
        </w:rPr>
      </w:pPr>
      <w:r w:rsidRPr="00D81ADA">
        <w:rPr>
          <w:rStyle w:val="Guidance"/>
        </w:rPr>
        <w:t xml:space="preserve">Fair value is the price that would be received to sell an asset or paid to transfer a liability in an orderly transaction between market participants at the measurement date. </w:t>
      </w:r>
    </w:p>
    <w:p w14:paraId="66244222" w14:textId="77777777" w:rsidR="003719CD" w:rsidRPr="00D81ADA" w:rsidRDefault="003719CD" w:rsidP="007D536F">
      <w:pPr>
        <w:rPr>
          <w:rStyle w:val="Guidance"/>
        </w:rPr>
      </w:pPr>
      <w:r w:rsidRPr="00D81ADA">
        <w:rPr>
          <w:rStyle w:val="Guidance"/>
        </w:rPr>
        <w:t>The fair value measurement is based on the following assumptions:</w:t>
      </w:r>
    </w:p>
    <w:p w14:paraId="180A1268" w14:textId="03EBFA9D" w:rsidR="003719CD" w:rsidRPr="00D81ADA" w:rsidRDefault="003719CD" w:rsidP="00310F12">
      <w:pPr>
        <w:pStyle w:val="ListBullet"/>
        <w:rPr>
          <w:rStyle w:val="Guidance"/>
        </w:rPr>
      </w:pPr>
      <w:r w:rsidRPr="00D81ADA">
        <w:rPr>
          <w:rStyle w:val="Guidance"/>
        </w:rPr>
        <w:t>that the transaction to sell the asset or transfer the liability takes place either in the principal market (or the most advantageous market, in the absence of the principal market), either of which must be accessible to the entity at the measurement date</w:t>
      </w:r>
    </w:p>
    <w:p w14:paraId="5570E384" w14:textId="77777777" w:rsidR="003719CD" w:rsidRPr="00D81ADA" w:rsidRDefault="003719CD" w:rsidP="00310F12">
      <w:pPr>
        <w:pStyle w:val="ListBullet"/>
        <w:rPr>
          <w:rStyle w:val="Guidance"/>
        </w:rPr>
      </w:pPr>
      <w:r w:rsidRPr="00D81ADA">
        <w:rPr>
          <w:rStyle w:val="Guidance"/>
        </w:rPr>
        <w:t>that the entity uses the same valuation assumptions that market participants would use when pricing the asset or liability, assuming that market participants act in their economic best interest.</w:t>
      </w:r>
    </w:p>
    <w:p w14:paraId="66D52095" w14:textId="77777777" w:rsidR="003719CD" w:rsidRDefault="003719CD" w:rsidP="007D536F">
      <w:pPr>
        <w:rPr>
          <w:rStyle w:val="Guidance"/>
        </w:rPr>
      </w:pPr>
      <w:r w:rsidRPr="00D81ADA">
        <w:rPr>
          <w:rStyle w:val="Guidance"/>
        </w:rPr>
        <w:t>The fair value measurement of a non-financial asset takes into account a market participant’s ability to generate economic benefits by using the asset in its Highest and Best Use (HBU) or by selling it to another market participant that would use the asset in its HBU.</w:t>
      </w:r>
    </w:p>
    <w:p w14:paraId="1BCF1D11" w14:textId="77777777" w:rsidR="008C07E9" w:rsidRDefault="00BB503F">
      <w:pPr>
        <w:rPr>
          <w:rStyle w:val="Guidance"/>
        </w:rPr>
      </w:pPr>
      <w:r w:rsidRPr="00094D07">
        <w:rPr>
          <w:rStyle w:val="Guidance"/>
        </w:rPr>
        <w:t xml:space="preserve">A not-for-profit entity is required to consider whether, for a non-financial asset not held primarily for its ability to generate net cash inflows, the asset’s HBU differs from its current use only when, at the measurement date, it is: </w:t>
      </w:r>
    </w:p>
    <w:p w14:paraId="269307F9" w14:textId="48C80EFE" w:rsidR="008C07E9" w:rsidRDefault="00BB503F" w:rsidP="008C07E9">
      <w:pPr>
        <w:pStyle w:val="ListParagraph"/>
        <w:numPr>
          <w:ilvl w:val="0"/>
          <w:numId w:val="66"/>
        </w:numPr>
        <w:rPr>
          <w:rStyle w:val="Guidance"/>
        </w:rPr>
      </w:pPr>
      <w:r w:rsidRPr="00094D07">
        <w:rPr>
          <w:rStyle w:val="Guidance"/>
        </w:rPr>
        <w:t>classified as held for sale or held for distribution to owners in accordance with AASB 5</w:t>
      </w:r>
    </w:p>
    <w:p w14:paraId="10BF6E4D" w14:textId="6B198948" w:rsidR="00BB503F" w:rsidRPr="00094D07" w:rsidRDefault="00BB503F" w:rsidP="00094D07">
      <w:pPr>
        <w:pStyle w:val="ListParagraph"/>
        <w:numPr>
          <w:ilvl w:val="0"/>
          <w:numId w:val="66"/>
        </w:numPr>
        <w:rPr>
          <w:rStyle w:val="Guidance"/>
        </w:rPr>
      </w:pPr>
      <w:r w:rsidRPr="00094D07">
        <w:rPr>
          <w:rStyle w:val="Guidance"/>
        </w:rPr>
        <w:t>highly probable that the asset will be used for an alternative purpose to its current use.</w:t>
      </w:r>
      <w:r w:rsidR="00CD2FEA">
        <w:rPr>
          <w:rStyle w:val="Guidance"/>
        </w:rPr>
        <w:t xml:space="preserve"> </w:t>
      </w:r>
      <w:r w:rsidR="00CD2FEA" w:rsidRPr="00432865">
        <w:rPr>
          <w:rStyle w:val="Guidance"/>
          <w:color w:val="C00000"/>
          <w:sz w:val="16"/>
          <w:szCs w:val="16"/>
        </w:rPr>
        <w:t>[FRD 103 Revised]</w:t>
      </w:r>
    </w:p>
    <w:p w14:paraId="49489D25" w14:textId="77777777" w:rsidR="00BB503F" w:rsidRPr="003943E7" w:rsidRDefault="00BB503F" w:rsidP="007D536F">
      <w:pPr>
        <w:rPr>
          <w:rStyle w:val="Guidance"/>
          <w:sz w:val="2"/>
          <w:szCs w:val="2"/>
        </w:rPr>
      </w:pPr>
    </w:p>
    <w:p w14:paraId="194FE7F9" w14:textId="77777777" w:rsidR="003719CD" w:rsidRDefault="003719CD" w:rsidP="007D536F">
      <w:pPr>
        <w:pStyle w:val="GuidanceEnd"/>
      </w:pPr>
    </w:p>
    <w:p w14:paraId="7F420D46" w14:textId="77777777" w:rsidR="00B241CB" w:rsidRDefault="00B241CB">
      <w:pPr>
        <w:keepLines w:val="0"/>
        <w:rPr>
          <w:b/>
          <w:iCs/>
          <w:color w:val="404040" w:themeColor="text1" w:themeTint="BF"/>
        </w:rPr>
      </w:pPr>
      <w:r>
        <w:br w:type="page"/>
      </w:r>
    </w:p>
    <w:p w14:paraId="2982E7E4" w14:textId="0582A008" w:rsidR="003719CD" w:rsidRDefault="003719CD" w:rsidP="007D536F">
      <w:pPr>
        <w:pStyle w:val="Caption"/>
      </w:pPr>
      <w:r>
        <w:lastRenderedPageBreak/>
        <w:t xml:space="preserve">Biological assets measured at fair value and their categorisation in the fair value hierarchy </w:t>
      </w:r>
      <w:r w:rsidRPr="00B00B61">
        <w:rPr>
          <w:rStyle w:val="Reference"/>
        </w:rPr>
        <w:t>[AASB 13.93 (a)(b)]</w:t>
      </w:r>
    </w:p>
    <w:p w14:paraId="1E06E4A8" w14:textId="230EA485"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956"/>
        <w:gridCol w:w="1567"/>
        <w:gridCol w:w="1302"/>
        <w:gridCol w:w="907"/>
        <w:gridCol w:w="907"/>
      </w:tblGrid>
      <w:tr w:rsidR="00182709" w14:paraId="7E065A25" w14:textId="77777777" w:rsidTr="00C35C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1344E77C" w14:textId="77777777" w:rsidR="00182709" w:rsidRDefault="00182709">
            <w:pPr>
              <w:keepNext/>
            </w:pPr>
          </w:p>
        </w:tc>
        <w:tc>
          <w:tcPr>
            <w:tcW w:w="1567" w:type="dxa"/>
          </w:tcPr>
          <w:p w14:paraId="5571316C"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16" w:type="dxa"/>
            <w:gridSpan w:val="3"/>
            <w:tcBorders>
              <w:bottom w:val="single" w:sz="6" w:space="0" w:color="FFFFFF" w:themeColor="background1"/>
            </w:tcBorders>
          </w:tcPr>
          <w:p w14:paraId="7281F0F8"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762933A2" w14:textId="77777777" w:rsidTr="00C35C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54BD279D" w14:textId="5A3905BD" w:rsidR="00182709" w:rsidRDefault="00E5675C">
            <w:pPr>
              <w:keepNext/>
            </w:pPr>
            <w:fldSimple w:instr="DOCPROPERTY  YearCurrent \* MERGEFORMAT">
              <w:r>
                <w:t>20X2</w:t>
              </w:r>
            </w:fldSimple>
          </w:p>
        </w:tc>
        <w:tc>
          <w:tcPr>
            <w:tcW w:w="1567" w:type="dxa"/>
          </w:tcPr>
          <w:p w14:paraId="77A59AB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w:t>
            </w:r>
          </w:p>
        </w:tc>
        <w:tc>
          <w:tcPr>
            <w:tcW w:w="1302" w:type="dxa"/>
            <w:tcBorders>
              <w:top w:val="single" w:sz="6" w:space="0" w:color="FFFFFF" w:themeColor="background1"/>
            </w:tcBorders>
          </w:tcPr>
          <w:p w14:paraId="272D0871"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05A9A61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5855FF1F"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120620EE" w14:textId="77777777">
        <w:tc>
          <w:tcPr>
            <w:cnfStyle w:val="001000000000" w:firstRow="0" w:lastRow="0" w:firstColumn="1" w:lastColumn="0" w:oddVBand="0" w:evenVBand="0" w:oddHBand="0" w:evenHBand="0" w:firstRowFirstColumn="0" w:firstRowLastColumn="0" w:lastRowFirstColumn="0" w:lastRowLastColumn="0"/>
            <w:tcW w:w="4956" w:type="dxa"/>
          </w:tcPr>
          <w:p w14:paraId="25AEB2DB" w14:textId="77777777" w:rsidR="00182709" w:rsidRDefault="0044097C">
            <w:r>
              <w:t>Nature forests</w:t>
            </w:r>
          </w:p>
        </w:tc>
        <w:tc>
          <w:tcPr>
            <w:tcW w:w="1567" w:type="dxa"/>
          </w:tcPr>
          <w:p w14:paraId="3A104FB4" w14:textId="77777777" w:rsidR="00182709" w:rsidRDefault="0044097C">
            <w:pPr>
              <w:cnfStyle w:val="000000000000" w:firstRow="0" w:lastRow="0" w:firstColumn="0" w:lastColumn="0" w:oddVBand="0" w:evenVBand="0" w:oddHBand="0" w:evenHBand="0" w:firstRowFirstColumn="0" w:firstRowLastColumn="0" w:lastRowFirstColumn="0" w:lastRowLastColumn="0"/>
            </w:pPr>
            <w:r>
              <w:t>2 749</w:t>
            </w:r>
          </w:p>
        </w:tc>
        <w:tc>
          <w:tcPr>
            <w:tcW w:w="1302" w:type="dxa"/>
          </w:tcPr>
          <w:p w14:paraId="1ECE858F"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73E67844" w14:textId="77777777" w:rsidR="00182709" w:rsidRDefault="0044097C">
            <w:pPr>
              <w:cnfStyle w:val="000000000000" w:firstRow="0" w:lastRow="0" w:firstColumn="0" w:lastColumn="0" w:oddVBand="0" w:evenVBand="0" w:oddHBand="0" w:evenHBand="0" w:firstRowFirstColumn="0" w:firstRowLastColumn="0" w:lastRowFirstColumn="0" w:lastRowLastColumn="0"/>
            </w:pPr>
            <w:r>
              <w:t>2 749</w:t>
            </w:r>
          </w:p>
        </w:tc>
        <w:tc>
          <w:tcPr>
            <w:tcW w:w="907" w:type="dxa"/>
          </w:tcPr>
          <w:p w14:paraId="6BA0C72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721DFA1C" w14:textId="77777777" w:rsidTr="00182709">
        <w:tc>
          <w:tcPr>
            <w:cnfStyle w:val="001000000000" w:firstRow="0" w:lastRow="0" w:firstColumn="1" w:lastColumn="0" w:oddVBand="0" w:evenVBand="0" w:oddHBand="0" w:evenHBand="0" w:firstRowFirstColumn="0" w:firstRowLastColumn="0" w:lastRowFirstColumn="0" w:lastRowLastColumn="0"/>
            <w:tcW w:w="4956" w:type="dxa"/>
            <w:tcBorders>
              <w:bottom w:val="single" w:sz="12" w:space="0" w:color="auto"/>
            </w:tcBorders>
          </w:tcPr>
          <w:p w14:paraId="102A0F9F" w14:textId="77777777" w:rsidR="00182709" w:rsidRDefault="0044097C">
            <w:r>
              <w:t>Livestock</w:t>
            </w:r>
          </w:p>
        </w:tc>
        <w:tc>
          <w:tcPr>
            <w:tcW w:w="1567" w:type="dxa"/>
            <w:tcBorders>
              <w:bottom w:val="single" w:sz="12" w:space="0" w:color="auto"/>
            </w:tcBorders>
          </w:tcPr>
          <w:p w14:paraId="38A61357"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1 285</w:t>
            </w:r>
          </w:p>
        </w:tc>
        <w:tc>
          <w:tcPr>
            <w:tcW w:w="1302" w:type="dxa"/>
            <w:tcBorders>
              <w:bottom w:val="single" w:sz="12" w:space="0" w:color="auto"/>
            </w:tcBorders>
          </w:tcPr>
          <w:p w14:paraId="5640BC82"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0C8CA125"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1 285</w:t>
            </w:r>
          </w:p>
        </w:tc>
        <w:tc>
          <w:tcPr>
            <w:tcW w:w="907" w:type="dxa"/>
            <w:tcBorders>
              <w:bottom w:val="single" w:sz="12" w:space="0" w:color="auto"/>
            </w:tcBorders>
          </w:tcPr>
          <w:p w14:paraId="0A0EBAB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16F9827B" w14:textId="77777777" w:rsidTr="00C35C9E">
        <w:tc>
          <w:tcPr>
            <w:cnfStyle w:val="001000000000" w:firstRow="0" w:lastRow="0" w:firstColumn="1" w:lastColumn="0" w:oddVBand="0" w:evenVBand="0" w:oddHBand="0" w:evenHBand="0" w:firstRowFirstColumn="0" w:firstRowLastColumn="0" w:lastRowFirstColumn="0" w:lastRowLastColumn="0"/>
            <w:tcW w:w="4956" w:type="dxa"/>
          </w:tcPr>
          <w:p w14:paraId="5843A0EE" w14:textId="77777777" w:rsidR="00C35C9E" w:rsidRDefault="00C35C9E"/>
        </w:tc>
        <w:tc>
          <w:tcPr>
            <w:tcW w:w="1567" w:type="dxa"/>
          </w:tcPr>
          <w:p w14:paraId="3581ADBE"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1302" w:type="dxa"/>
          </w:tcPr>
          <w:p w14:paraId="4AF31F59"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907" w:type="dxa"/>
          </w:tcPr>
          <w:p w14:paraId="6C06848D"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c>
          <w:tcPr>
            <w:tcW w:w="907" w:type="dxa"/>
          </w:tcPr>
          <w:p w14:paraId="511812A7" w14:textId="77777777" w:rsidR="00C35C9E" w:rsidRDefault="00C35C9E">
            <w:pPr>
              <w:cnfStyle w:val="000000000000" w:firstRow="0" w:lastRow="0" w:firstColumn="0" w:lastColumn="0" w:oddVBand="0" w:evenVBand="0" w:oddHBand="0" w:evenHBand="0" w:firstRowFirstColumn="0" w:firstRowLastColumn="0" w:lastRowFirstColumn="0" w:lastRowLastColumn="0"/>
            </w:pPr>
          </w:p>
        </w:tc>
      </w:tr>
      <w:tr w:rsidR="00182709" w14:paraId="65BA21B7" w14:textId="77777777" w:rsidTr="00C35C9E">
        <w:tc>
          <w:tcPr>
            <w:cnfStyle w:val="001000000000" w:firstRow="0" w:lastRow="0" w:firstColumn="1" w:lastColumn="0" w:oddVBand="0" w:evenVBand="0" w:oddHBand="0" w:evenHBand="0" w:firstRowFirstColumn="0" w:firstRowLastColumn="0" w:lastRowFirstColumn="0" w:lastRowLastColumn="0"/>
            <w:tcW w:w="4956" w:type="dxa"/>
            <w:tcBorders>
              <w:top w:val="single" w:sz="2" w:space="0" w:color="auto"/>
              <w:bottom w:val="nil"/>
            </w:tcBorders>
            <w:shd w:val="clear" w:color="auto" w:fill="000000" w:themeFill="text1"/>
          </w:tcPr>
          <w:p w14:paraId="0310F924" w14:textId="40206688" w:rsidR="00182709" w:rsidRPr="00E5675C" w:rsidRDefault="00E5675C">
            <w:pPr>
              <w:rPr>
                <w:i/>
                <w:iCs/>
              </w:rPr>
            </w:pPr>
            <w:r w:rsidRPr="00E5675C">
              <w:rPr>
                <w:i/>
                <w:iCs/>
              </w:rPr>
              <w:fldChar w:fldCharType="begin"/>
            </w:r>
            <w:r w:rsidRPr="00E5675C">
              <w:rPr>
                <w:i/>
                <w:iCs/>
              </w:rPr>
              <w:instrText>DOCPROPERTY  YearPrevious  \* MERGEFORMAT</w:instrText>
            </w:r>
            <w:r w:rsidRPr="00E5675C">
              <w:rPr>
                <w:i/>
                <w:iCs/>
              </w:rPr>
              <w:fldChar w:fldCharType="separate"/>
            </w:r>
            <w:r w:rsidRPr="00E5675C">
              <w:rPr>
                <w:i/>
                <w:iCs/>
                <w:lang w:val="en-US"/>
              </w:rPr>
              <w:t>20X1</w:t>
            </w:r>
            <w:r w:rsidRPr="00E5675C">
              <w:rPr>
                <w:i/>
                <w:iCs/>
              </w:rPr>
              <w:fldChar w:fldCharType="end"/>
            </w:r>
          </w:p>
        </w:tc>
        <w:tc>
          <w:tcPr>
            <w:tcW w:w="1567" w:type="dxa"/>
            <w:tcBorders>
              <w:top w:val="single" w:sz="2" w:space="0" w:color="auto"/>
              <w:bottom w:val="nil"/>
            </w:tcBorders>
            <w:shd w:val="clear" w:color="auto" w:fill="000000" w:themeFill="text1"/>
          </w:tcPr>
          <w:p w14:paraId="3D327C05"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1302" w:type="dxa"/>
            <w:tcBorders>
              <w:top w:val="single" w:sz="2" w:space="0" w:color="auto"/>
              <w:bottom w:val="nil"/>
            </w:tcBorders>
            <w:shd w:val="clear" w:color="auto" w:fill="000000" w:themeFill="text1"/>
          </w:tcPr>
          <w:p w14:paraId="54CCB085"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4B9CD3F4"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top w:val="single" w:sz="2" w:space="0" w:color="auto"/>
              <w:bottom w:val="nil"/>
            </w:tcBorders>
            <w:shd w:val="clear" w:color="auto" w:fill="000000" w:themeFill="text1"/>
          </w:tcPr>
          <w:p w14:paraId="5A7C1839" w14:textId="77777777" w:rsidR="00182709" w:rsidRPr="00C35C9E" w:rsidRDefault="00182709">
            <w:pPr>
              <w:cnfStyle w:val="000000000000" w:firstRow="0" w:lastRow="0" w:firstColumn="0" w:lastColumn="0" w:oddVBand="0" w:evenVBand="0" w:oddHBand="0" w:evenHBand="0" w:firstRowFirstColumn="0" w:firstRowLastColumn="0" w:lastRowFirstColumn="0" w:lastRowLastColumn="0"/>
              <w:rPr>
                <w:i/>
                <w:iCs/>
              </w:rPr>
            </w:pPr>
          </w:p>
        </w:tc>
      </w:tr>
      <w:tr w:rsidR="00182709" w14:paraId="63855C93" w14:textId="77777777" w:rsidTr="00C35C9E">
        <w:tc>
          <w:tcPr>
            <w:cnfStyle w:val="001000000000" w:firstRow="0" w:lastRow="0" w:firstColumn="1" w:lastColumn="0" w:oddVBand="0" w:evenVBand="0" w:oddHBand="0" w:evenHBand="0" w:firstRowFirstColumn="0" w:firstRowLastColumn="0" w:lastRowFirstColumn="0" w:lastRowLastColumn="0"/>
            <w:tcW w:w="4956" w:type="dxa"/>
            <w:tcBorders>
              <w:top w:val="nil"/>
            </w:tcBorders>
          </w:tcPr>
          <w:p w14:paraId="30AC4F9C" w14:textId="77777777" w:rsidR="00182709" w:rsidRDefault="0044097C">
            <w:r>
              <w:t>Nature forests</w:t>
            </w:r>
          </w:p>
        </w:tc>
        <w:tc>
          <w:tcPr>
            <w:tcW w:w="1567" w:type="dxa"/>
            <w:tcBorders>
              <w:top w:val="nil"/>
            </w:tcBorders>
          </w:tcPr>
          <w:p w14:paraId="5D76DD40"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02" w:type="dxa"/>
            <w:tcBorders>
              <w:top w:val="nil"/>
            </w:tcBorders>
          </w:tcPr>
          <w:p w14:paraId="3412C85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nil"/>
            </w:tcBorders>
          </w:tcPr>
          <w:p w14:paraId="4F9BFD7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nil"/>
            </w:tcBorders>
          </w:tcPr>
          <w:p w14:paraId="2E573B2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61F9C3D" w14:textId="77777777">
        <w:tc>
          <w:tcPr>
            <w:cnfStyle w:val="001000000000" w:firstRow="0" w:lastRow="0" w:firstColumn="1" w:lastColumn="0" w:oddVBand="0" w:evenVBand="0" w:oddHBand="0" w:evenHBand="0" w:firstRowFirstColumn="0" w:firstRowLastColumn="0" w:lastRowFirstColumn="0" w:lastRowLastColumn="0"/>
            <w:tcW w:w="4956" w:type="dxa"/>
          </w:tcPr>
          <w:p w14:paraId="0E3D5496" w14:textId="77777777" w:rsidR="00182709" w:rsidRDefault="0044097C">
            <w:r>
              <w:t>Livestock</w:t>
            </w:r>
          </w:p>
        </w:tc>
        <w:tc>
          <w:tcPr>
            <w:tcW w:w="1567" w:type="dxa"/>
          </w:tcPr>
          <w:p w14:paraId="61E2C88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302" w:type="dxa"/>
          </w:tcPr>
          <w:p w14:paraId="543381D6"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708E1A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AC6C27B"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p w14:paraId="59815C6D" w14:textId="77777777" w:rsidR="003719CD" w:rsidRDefault="003719CD" w:rsidP="007D536F">
      <w:pPr>
        <w:pStyle w:val="Note"/>
      </w:pPr>
      <w:r>
        <w:t>Note:</w:t>
      </w:r>
    </w:p>
    <w:p w14:paraId="52C3AB2C" w14:textId="77777777" w:rsidR="003719CD" w:rsidRDefault="003719CD" w:rsidP="007D536F">
      <w:pPr>
        <w:pStyle w:val="Note"/>
      </w:pPr>
      <w:r>
        <w:t>(a)</w:t>
      </w:r>
      <w:r>
        <w:tab/>
        <w:t>Classified in accordance with the fair value hierarchy.</w:t>
      </w:r>
    </w:p>
    <w:p w14:paraId="597E24D9" w14:textId="1A7401EB" w:rsidR="003719CD" w:rsidRDefault="003719CD" w:rsidP="00DC39DE">
      <w:r>
        <w:t xml:space="preserve">There have been no transfers between levels during the period. There were no changes in valuation techniques throughout the period to 30 June </w:t>
      </w:r>
      <w:fldSimple w:instr="DOCPROPERTY  YearCurrent  \* MERGEFORMAT">
        <w:r w:rsidR="00E5675C">
          <w:t>20X2</w:t>
        </w:r>
      </w:fldSimple>
      <w:r>
        <w:t xml:space="preserve">. There are no comparative disclosures because the Department did not hold any biological assets at 30 June </w:t>
      </w:r>
      <w:fldSimple w:instr="DOCPROPERTY  YearPrevious  \* MERGEFORMAT">
        <w:r w:rsidR="00E5675C">
          <w:t>20X1</w:t>
        </w:r>
      </w:fldSimple>
      <w:r>
        <w:t xml:space="preserve">. </w:t>
      </w:r>
      <w:r w:rsidRPr="00B00B61">
        <w:rPr>
          <w:rStyle w:val="Reference"/>
        </w:rPr>
        <w:t xml:space="preserve">[AASB 13.93(c), AASB 13.66] </w:t>
      </w:r>
    </w:p>
    <w:p w14:paraId="57588F5E" w14:textId="27FB8391" w:rsidR="003719CD" w:rsidRDefault="003719CD" w:rsidP="00DC39DE">
      <w:r>
        <w:t xml:space="preserve">Biological assets comprise nature forests and livestock. Biological assets are measured at fair value less costs to sell, with any changes recognised in the </w:t>
      </w:r>
      <w:r w:rsidR="00532856">
        <w:t>C</w:t>
      </w:r>
      <w:r>
        <w:t>omprehensive operating statement – other economic flows. Costs to sell include all costs that would be necessary to sell the assets, including freight and direct selling costs.</w:t>
      </w:r>
    </w:p>
    <w:p w14:paraId="7B80F09F" w14:textId="76F325E4" w:rsidR="003719CD" w:rsidRDefault="003719CD" w:rsidP="00DC39DE">
      <w:r>
        <w:t>The fair value of a biological asset is based on its present location and condition. If an active market exists for a biological asset in its present location and condition, the quoted price in that market is the appropriate basis for determining the fair value of that asset. Where access exists to different markets</w:t>
      </w:r>
      <w:r w:rsidR="00532856">
        <w:t>,</w:t>
      </w:r>
      <w:r>
        <w:t xml:space="preserve"> the most relevant market is referenced. </w:t>
      </w:r>
    </w:p>
    <w:p w14:paraId="1C9BFE0C" w14:textId="3FB9C000" w:rsidR="003719CD" w:rsidRDefault="003719CD" w:rsidP="00DC39DE">
      <w:r>
        <w:t>In the event that market-determined prices or values are not available for a biological asset in its present condition, the present value of the expected net cash flows from the asset, discounted at a current market determined rate</w:t>
      </w:r>
      <w:r w:rsidR="00532856">
        <w:t>,</w:t>
      </w:r>
      <w:r>
        <w:t xml:space="preserve"> is utilised to determine fair value. </w:t>
      </w:r>
    </w:p>
    <w:p w14:paraId="276DD69F" w14:textId="77777777" w:rsidR="003719CD" w:rsidRDefault="003719CD" w:rsidP="007D536F">
      <w:pPr>
        <w:pStyle w:val="Heading4"/>
      </w:pPr>
      <w:r>
        <w:t>Nature forests</w:t>
      </w:r>
    </w:p>
    <w:p w14:paraId="3BCF5772" w14:textId="77777777" w:rsidR="003719CD" w:rsidRDefault="003719CD" w:rsidP="00DC39DE">
      <w:r>
        <w:t xml:space="preserve">The fair value for nature forests is determined using a discounted cash flow method whereby expected net future cash flows are discounted at a current market determined rate. After harvest, productive trees are treated as inventories. </w:t>
      </w:r>
      <w:r w:rsidRPr="00B00B61">
        <w:rPr>
          <w:rStyle w:val="Reference"/>
        </w:rPr>
        <w:t>[AASB 141.12, AASB 141.13]</w:t>
      </w:r>
    </w:p>
    <w:p w14:paraId="1C5A8769" w14:textId="77777777" w:rsidR="003719CD" w:rsidRDefault="003719CD" w:rsidP="007D536F">
      <w:pPr>
        <w:pStyle w:val="Heading4"/>
      </w:pPr>
      <w:r>
        <w:t>Livestock</w:t>
      </w:r>
    </w:p>
    <w:p w14:paraId="58097633" w14:textId="77777777" w:rsidR="003719CD" w:rsidRDefault="003719CD" w:rsidP="00DC39DE">
      <w:r>
        <w:t>For livestock, fair value is based on relevant market indicators, which include store cattle prices, abattoir market prices, and cattle prices received/quoted for the Department’s cattle at the reporting date. Prices for cattle generally reflect the shorter-term spot prices available in the marketplace and vary depending on the weight and condition of the animal.</w:t>
      </w:r>
    </w:p>
    <w:p w14:paraId="7E085F0F" w14:textId="77777777" w:rsidR="003719CD" w:rsidRDefault="003719CD" w:rsidP="00DC39DE"/>
    <w:p w14:paraId="2233CF2B" w14:textId="77777777" w:rsidR="003719CD" w:rsidRPr="00B00B61" w:rsidRDefault="003719CD" w:rsidP="007D536F">
      <w:pPr>
        <w:pStyle w:val="GuidanceBlockHeading"/>
      </w:pPr>
      <w:r w:rsidRPr="00B00B61">
        <w:t>Guidance – Biological assets</w:t>
      </w:r>
    </w:p>
    <w:p w14:paraId="389F5CE5" w14:textId="77777777" w:rsidR="003719CD" w:rsidRPr="00B00B61" w:rsidRDefault="003719CD" w:rsidP="007D536F">
      <w:pPr>
        <w:rPr>
          <w:rStyle w:val="Guidance"/>
        </w:rPr>
      </w:pPr>
      <w:r w:rsidRPr="00B00B61">
        <w:rPr>
          <w:rStyle w:val="Guidance"/>
        </w:rPr>
        <w:t xml:space="preserve">The determination of fair value for a biological asset may be facilitated by grouping biological assets according to significant attributes, for example, by age or quality. An entity selects the attributes corresponding to the attributes used in the market as a basis for pricing. </w:t>
      </w:r>
      <w:r w:rsidRPr="00B00B61">
        <w:rPr>
          <w:rStyle w:val="Reference"/>
        </w:rPr>
        <w:t>[AASB 141.15]</w:t>
      </w:r>
    </w:p>
    <w:p w14:paraId="54BB807A" w14:textId="77777777" w:rsidR="003719CD" w:rsidRPr="00B00B61" w:rsidRDefault="003719CD" w:rsidP="007D536F">
      <w:pPr>
        <w:rPr>
          <w:rStyle w:val="Guidance"/>
        </w:rPr>
      </w:pPr>
      <w:r w:rsidRPr="00B00B61">
        <w:rPr>
          <w:rStyle w:val="Guidance"/>
        </w:rPr>
        <w:t xml:space="preserve">Entities often enter into contracts to sell their biological assets at a future date. Contract prices are not necessarily relevant in determining fair value, because fair value reflects the current market in which a willing buyer and seller would enter into a transaction. </w:t>
      </w:r>
    </w:p>
    <w:p w14:paraId="383CA682" w14:textId="77777777" w:rsidR="003719CD" w:rsidRPr="00B00B61" w:rsidRDefault="003719CD" w:rsidP="007D536F">
      <w:pPr>
        <w:rPr>
          <w:rStyle w:val="Guidance"/>
        </w:rPr>
      </w:pPr>
      <w:r w:rsidRPr="00B00B61">
        <w:rPr>
          <w:rStyle w:val="Guidance"/>
        </w:rPr>
        <w:t xml:space="preserve">As a result, the fair value of a biological asset is not adjusted because of the existence of a contract. In some cases, a contract for the sale of a biological asset may be an onerous contract. AASB 137 </w:t>
      </w:r>
      <w:r w:rsidRPr="00B00B61">
        <w:rPr>
          <w:rStyle w:val="Guidance"/>
          <w:i/>
          <w:iCs/>
        </w:rPr>
        <w:t>Provisions, Contingent Liabilities and Contingent Assets</w:t>
      </w:r>
      <w:r w:rsidRPr="00B00B61">
        <w:rPr>
          <w:rStyle w:val="Guidance"/>
        </w:rPr>
        <w:t xml:space="preserve"> applies to onerous contracts. </w:t>
      </w:r>
      <w:r w:rsidRPr="00B00B61">
        <w:rPr>
          <w:rStyle w:val="Reference"/>
        </w:rPr>
        <w:t>[AASB 141.16]</w:t>
      </w:r>
    </w:p>
    <w:p w14:paraId="09CC8912" w14:textId="5E1954E3" w:rsidR="003719CD" w:rsidRPr="00B00B61" w:rsidRDefault="003719CD" w:rsidP="007D536F">
      <w:pPr>
        <w:rPr>
          <w:rStyle w:val="Guidance"/>
        </w:rPr>
      </w:pPr>
      <w:r w:rsidRPr="00B00B61">
        <w:rPr>
          <w:rStyle w:val="Guidance"/>
        </w:rPr>
        <w:t xml:space="preserve">If an active market exists for a biological asset in its present location and condition, the quoted price in that market is the appropriate basis for determining the fair value of that asset. If an entity has access to different active markets, the entity uses the most relevant one. For example, if an entity has access to two active markets, it would use the price existing in the market expected to be used. </w:t>
      </w:r>
      <w:r w:rsidRPr="00B00B61">
        <w:rPr>
          <w:rStyle w:val="Reference"/>
        </w:rPr>
        <w:t>[AASB</w:t>
      </w:r>
      <w:r w:rsidR="00687953">
        <w:rPr>
          <w:rStyle w:val="Reference"/>
        </w:rPr>
        <w:t xml:space="preserve"> </w:t>
      </w:r>
      <w:r w:rsidRPr="00B00B61">
        <w:rPr>
          <w:rStyle w:val="Reference"/>
        </w:rPr>
        <w:t>13.93]</w:t>
      </w:r>
    </w:p>
    <w:p w14:paraId="555B2DF3" w14:textId="77777777" w:rsidR="00F22A4B" w:rsidRDefault="00F22A4B">
      <w:pPr>
        <w:keepLines w:val="0"/>
        <w:rPr>
          <w:rStyle w:val="Guidance"/>
        </w:rPr>
      </w:pPr>
      <w:r>
        <w:rPr>
          <w:rStyle w:val="Guidance"/>
        </w:rPr>
        <w:br w:type="page"/>
      </w:r>
    </w:p>
    <w:p w14:paraId="06B321BA" w14:textId="77777777" w:rsidR="003719CD" w:rsidRPr="00B00B61" w:rsidRDefault="003719CD" w:rsidP="007D536F">
      <w:pPr>
        <w:keepNext/>
        <w:rPr>
          <w:rStyle w:val="Guidance"/>
        </w:rPr>
      </w:pPr>
      <w:r w:rsidRPr="00B00B61">
        <w:rPr>
          <w:rStyle w:val="Guidance"/>
        </w:rPr>
        <w:lastRenderedPageBreak/>
        <w:t>If an active market does not exist, an entity uses one or more of the following, when available, in determining fair value:</w:t>
      </w:r>
    </w:p>
    <w:p w14:paraId="21219A2A" w14:textId="6901A252" w:rsidR="003719CD" w:rsidRPr="00B00B61" w:rsidRDefault="003719CD" w:rsidP="00310F12">
      <w:pPr>
        <w:pStyle w:val="ListBullet"/>
        <w:rPr>
          <w:rStyle w:val="Guidance"/>
        </w:rPr>
      </w:pPr>
      <w:r w:rsidRPr="00B00B61">
        <w:rPr>
          <w:rStyle w:val="Guidance"/>
        </w:rPr>
        <w:t>the most recent market transaction price, provided that there has not been a significant change in economic circumstances between the date of that transaction and the end of the reporting period</w:t>
      </w:r>
    </w:p>
    <w:p w14:paraId="2123FC93" w14:textId="7EBD25C9" w:rsidR="003719CD" w:rsidRPr="00B00B61" w:rsidRDefault="003719CD" w:rsidP="00310F12">
      <w:pPr>
        <w:pStyle w:val="ListBullet"/>
        <w:rPr>
          <w:rStyle w:val="Guidance"/>
        </w:rPr>
      </w:pPr>
      <w:r w:rsidRPr="00B00B61">
        <w:rPr>
          <w:rStyle w:val="Guidance"/>
        </w:rPr>
        <w:t>market prices for similar assets with adjustment to reflect differences</w:t>
      </w:r>
    </w:p>
    <w:p w14:paraId="7C9D5988" w14:textId="14FC9155" w:rsidR="003719CD" w:rsidRPr="00B00B61" w:rsidRDefault="003719CD" w:rsidP="00310F12">
      <w:pPr>
        <w:pStyle w:val="ListBullet"/>
        <w:rPr>
          <w:rStyle w:val="Guidance"/>
        </w:rPr>
      </w:pPr>
      <w:r w:rsidRPr="00B00B61">
        <w:rPr>
          <w:rStyle w:val="Guidance"/>
        </w:rPr>
        <w:t xml:space="preserve">sector benchmarks such as the value of an orchard expressed per export tray, bushel, or hectare, and the value of cattle expressed per kilogram of meat. </w:t>
      </w:r>
      <w:r w:rsidRPr="00B00B61">
        <w:rPr>
          <w:rStyle w:val="Reference"/>
        </w:rPr>
        <w:t>[AASB</w:t>
      </w:r>
      <w:r w:rsidR="00687953">
        <w:rPr>
          <w:rStyle w:val="Reference"/>
        </w:rPr>
        <w:t xml:space="preserve"> </w:t>
      </w:r>
      <w:r w:rsidRPr="00B00B61">
        <w:rPr>
          <w:rStyle w:val="Reference"/>
        </w:rPr>
        <w:t>13.93]</w:t>
      </w:r>
    </w:p>
    <w:p w14:paraId="3B80B735" w14:textId="1C6A053A" w:rsidR="003719CD" w:rsidRPr="00B00B61" w:rsidRDefault="003719CD" w:rsidP="007D536F">
      <w:pPr>
        <w:rPr>
          <w:rStyle w:val="Guidance"/>
        </w:rPr>
      </w:pPr>
      <w:r w:rsidRPr="00B00B61">
        <w:rPr>
          <w:rStyle w:val="Guidance"/>
        </w:rPr>
        <w:t xml:space="preserve">In some cases, the information sources listed above may suggest different conclusions as to the fair value of a biological asset. An entity considers the reasons for those differences, in order to arrive at the most reliable estimate of fair value within a relatively narrow range of reasonable estimates. </w:t>
      </w:r>
      <w:r w:rsidRPr="00B00B61">
        <w:rPr>
          <w:rStyle w:val="Reference"/>
        </w:rPr>
        <w:t>[AASB13.93]</w:t>
      </w:r>
    </w:p>
    <w:p w14:paraId="54014F62" w14:textId="42E5BB15" w:rsidR="003719CD" w:rsidRPr="00B00B61" w:rsidRDefault="003719CD" w:rsidP="007D536F">
      <w:pPr>
        <w:rPr>
          <w:rStyle w:val="Reference"/>
        </w:rPr>
      </w:pPr>
      <w:r w:rsidRPr="00B00B61">
        <w:rPr>
          <w:rStyle w:val="Guidance"/>
        </w:rPr>
        <w:t xml:space="preserve">In some circumstances, market determined prices or values may not be available for a biological asset in its present condition. In these circumstances, an entity uses the present value of expected net cash flows from the asset discounted at a current market determined rate in determining fair value. </w:t>
      </w:r>
      <w:r w:rsidRPr="00B00B61">
        <w:rPr>
          <w:rStyle w:val="Reference"/>
        </w:rPr>
        <w:t>[AASB13.93]</w:t>
      </w:r>
    </w:p>
    <w:p w14:paraId="514F485A" w14:textId="77777777" w:rsidR="003719CD" w:rsidRPr="00B00B61" w:rsidRDefault="003719CD" w:rsidP="007D536F">
      <w:pPr>
        <w:rPr>
          <w:rStyle w:val="Guidance"/>
        </w:rPr>
      </w:pPr>
      <w:r w:rsidRPr="00B00B61">
        <w:rPr>
          <w:rStyle w:val="Guidance"/>
        </w:rPr>
        <w:t xml:space="preserve">The objective of a calculation of the present value of expected net cash flows is to determine the fair value of a biological asset in its present location and condition. </w:t>
      </w:r>
    </w:p>
    <w:p w14:paraId="69979828" w14:textId="77777777" w:rsidR="003719CD" w:rsidRPr="00B00B61" w:rsidRDefault="003719CD" w:rsidP="007D536F">
      <w:pPr>
        <w:rPr>
          <w:rStyle w:val="Guidance"/>
        </w:rPr>
      </w:pPr>
      <w:r w:rsidRPr="00B00B61">
        <w:rPr>
          <w:rStyle w:val="Guidance"/>
        </w:rPr>
        <w:t>An entity considers this in determining an appropriate discount rate to be used and in estimating expected net cash flows. In determining the present value of expected net cash flows, an entity includes the net cash flows that market participants would expect the asset to generate in its most relevant market. [Now captured by AASB13.93]</w:t>
      </w:r>
    </w:p>
    <w:p w14:paraId="77B53335" w14:textId="77777777" w:rsidR="003719CD" w:rsidRPr="00B00B61" w:rsidRDefault="003719CD" w:rsidP="007D536F">
      <w:pPr>
        <w:rPr>
          <w:rStyle w:val="Guidance"/>
        </w:rPr>
      </w:pPr>
      <w:r w:rsidRPr="00B00B61">
        <w:rPr>
          <w:rStyle w:val="Guidance"/>
        </w:rPr>
        <w:t xml:space="preserve">An entity does not include any cash flows for financing the assets, taxation, or re-establishing biological assets after harvest. </w:t>
      </w:r>
      <w:r w:rsidRPr="00B00B61">
        <w:rPr>
          <w:rStyle w:val="Reference"/>
        </w:rPr>
        <w:t>[AASB 141.22]</w:t>
      </w:r>
    </w:p>
    <w:p w14:paraId="7D7A820B" w14:textId="4AA2C7B8" w:rsidR="003719CD" w:rsidRPr="00B00B61" w:rsidRDefault="003719CD" w:rsidP="007D536F">
      <w:pPr>
        <w:rPr>
          <w:rStyle w:val="Guidance"/>
        </w:rPr>
      </w:pPr>
      <w:r w:rsidRPr="00B00B61">
        <w:rPr>
          <w:rStyle w:val="Guidance"/>
        </w:rPr>
        <w:t>In agreeing an arm’s length transaction price, knowledgeable</w:t>
      </w:r>
      <w:r w:rsidR="00532856">
        <w:rPr>
          <w:rStyle w:val="Guidance"/>
        </w:rPr>
        <w:t xml:space="preserve"> and</w:t>
      </w:r>
      <w:r w:rsidRPr="00B00B61">
        <w:rPr>
          <w:rStyle w:val="Guidance"/>
        </w:rPr>
        <w:t xml:space="preserve"> willing buyers and sellers consider the possibility of variations in cash flows. It follows that fair value reflects the possibility of such variations. Accordingly, an entity incorporates expectations about possible variations in cash flows into either the expected cash flows, or the discount rate, or some combination of the two. In determining a discount rate, an entity uses assumptions consistent with those used in estimating the expected cash flows, to avoid the effect of some assumptions being double counted or ignored. </w:t>
      </w:r>
      <w:r w:rsidRPr="00B00B61">
        <w:rPr>
          <w:rStyle w:val="Reference"/>
        </w:rPr>
        <w:t>[AASB</w:t>
      </w:r>
      <w:r w:rsidR="00A75720">
        <w:rPr>
          <w:rStyle w:val="Reference"/>
        </w:rPr>
        <w:t xml:space="preserve"> </w:t>
      </w:r>
      <w:r w:rsidRPr="00B00B61">
        <w:rPr>
          <w:rStyle w:val="Reference"/>
        </w:rPr>
        <w:t>13.93]</w:t>
      </w:r>
    </w:p>
    <w:p w14:paraId="5FDBE1B2" w14:textId="77777777" w:rsidR="003719CD" w:rsidRPr="00B00B61" w:rsidRDefault="003719CD" w:rsidP="007D536F">
      <w:pPr>
        <w:rPr>
          <w:rStyle w:val="Guidance"/>
        </w:rPr>
      </w:pPr>
      <w:r w:rsidRPr="00B00B61">
        <w:rPr>
          <w:rStyle w:val="Guidance"/>
        </w:rPr>
        <w:t>Cost may sometimes approximate fair value, particularly when:</w:t>
      </w:r>
    </w:p>
    <w:p w14:paraId="116E53B1" w14:textId="230442D5" w:rsidR="003719CD" w:rsidRPr="00B00B61" w:rsidRDefault="003719CD" w:rsidP="00310F12">
      <w:pPr>
        <w:pStyle w:val="ListBullet"/>
        <w:rPr>
          <w:rStyle w:val="Guidance"/>
        </w:rPr>
      </w:pPr>
      <w:r w:rsidRPr="00B00B61">
        <w:rPr>
          <w:rStyle w:val="Guidance"/>
        </w:rPr>
        <w:t>little biological transformation has taken place since initial cost incurrence</w:t>
      </w:r>
    </w:p>
    <w:p w14:paraId="508D619A" w14:textId="77777777" w:rsidR="003719CD" w:rsidRPr="00B00B61" w:rsidRDefault="003719CD" w:rsidP="00310F12">
      <w:pPr>
        <w:pStyle w:val="ListBullet"/>
        <w:rPr>
          <w:rStyle w:val="Guidance"/>
        </w:rPr>
      </w:pPr>
      <w:r w:rsidRPr="00B00B61">
        <w:rPr>
          <w:rStyle w:val="Guidance"/>
        </w:rPr>
        <w:t xml:space="preserve">the impact of the biological transformation on price is not expected to be material. </w:t>
      </w:r>
      <w:r w:rsidRPr="00B00B61">
        <w:rPr>
          <w:rStyle w:val="Reference"/>
        </w:rPr>
        <w:t>[AASB 141.24]</w:t>
      </w:r>
    </w:p>
    <w:p w14:paraId="5AE6228A" w14:textId="77777777" w:rsidR="003719CD" w:rsidRPr="00B00B61" w:rsidRDefault="003719CD" w:rsidP="007D536F">
      <w:pPr>
        <w:rPr>
          <w:rStyle w:val="Guidance"/>
        </w:rPr>
      </w:pPr>
      <w:r w:rsidRPr="00B00B61">
        <w:rPr>
          <w:rStyle w:val="Guidance"/>
        </w:rPr>
        <w:t>Biological assets are often physically attached to land. Where there is no separate market for biological assets that are attached to land, but an active market may exist for combined assets, the fair value of the raw land and land improvements may be deducted from the fair value of the combined assets to arrive at the fair value of the biological assets.</w:t>
      </w:r>
    </w:p>
    <w:p w14:paraId="49C800EB" w14:textId="77777777" w:rsidR="003719CD" w:rsidRDefault="003719CD" w:rsidP="007D536F">
      <w:pPr>
        <w:pStyle w:val="GuidanceEnd"/>
      </w:pPr>
    </w:p>
    <w:p w14:paraId="18D809B8" w14:textId="77777777" w:rsidR="003719CD" w:rsidRDefault="003719CD" w:rsidP="007D536F">
      <w:pPr>
        <w:pStyle w:val="Caption"/>
      </w:pPr>
      <w:r>
        <w:t xml:space="preserve">Non-financial physical assets classified as held for sale </w:t>
      </w:r>
      <w:r w:rsidRPr="00B00B61">
        <w:rPr>
          <w:rStyle w:val="Reference"/>
        </w:rPr>
        <w:t>[AASB 13.93 (a)(b)]</w:t>
      </w:r>
    </w:p>
    <w:p w14:paraId="32F9A339" w14:textId="77777777" w:rsidR="003719CD" w:rsidRDefault="003719CD" w:rsidP="00DC39DE">
      <w:r>
        <w:t xml:space="preserve">The following table provides the fair value measurement hierarchy of the Department’s non-financial physical assets held for sale. </w:t>
      </w:r>
    </w:p>
    <w:p w14:paraId="2DF79135" w14:textId="03CA4CCD"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4956"/>
        <w:gridCol w:w="1553"/>
        <w:gridCol w:w="1316"/>
        <w:gridCol w:w="907"/>
        <w:gridCol w:w="907"/>
      </w:tblGrid>
      <w:tr w:rsidR="00182709" w14:paraId="3FB14131" w14:textId="77777777" w:rsidTr="00F22A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78C00F04" w14:textId="77777777" w:rsidR="00182709" w:rsidRDefault="00182709">
            <w:pPr>
              <w:keepNext/>
            </w:pPr>
          </w:p>
        </w:tc>
        <w:tc>
          <w:tcPr>
            <w:tcW w:w="1553" w:type="dxa"/>
          </w:tcPr>
          <w:p w14:paraId="7B0CF234"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Carrying amount</w:t>
            </w:r>
          </w:p>
        </w:tc>
        <w:tc>
          <w:tcPr>
            <w:tcW w:w="3130" w:type="dxa"/>
            <w:gridSpan w:val="3"/>
            <w:tcBorders>
              <w:bottom w:val="single" w:sz="6" w:space="0" w:color="FFFFFF" w:themeColor="background1"/>
            </w:tcBorders>
          </w:tcPr>
          <w:p w14:paraId="3AB4A881"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Fair value measurement at end of reporting period using:</w:t>
            </w:r>
          </w:p>
        </w:tc>
      </w:tr>
      <w:tr w:rsidR="00182709" w14:paraId="0B70B574" w14:textId="77777777" w:rsidTr="00F22A4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56" w:type="dxa"/>
          </w:tcPr>
          <w:p w14:paraId="0E1ED6F6" w14:textId="5CCFF78A" w:rsidR="00182709" w:rsidRDefault="00E5675C">
            <w:pPr>
              <w:keepNext/>
            </w:pPr>
            <w:fldSimple w:instr="DOCPROPERTY  YearCurrent \* MERGEFORMAT">
              <w:r>
                <w:t>20X2</w:t>
              </w:r>
            </w:fldSimple>
          </w:p>
        </w:tc>
        <w:tc>
          <w:tcPr>
            <w:tcW w:w="1553" w:type="dxa"/>
          </w:tcPr>
          <w:p w14:paraId="50294CE5"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as at 30 June</w:t>
            </w:r>
          </w:p>
        </w:tc>
        <w:tc>
          <w:tcPr>
            <w:tcW w:w="1316" w:type="dxa"/>
            <w:tcBorders>
              <w:top w:val="single" w:sz="6" w:space="0" w:color="FFFFFF" w:themeColor="background1"/>
            </w:tcBorders>
          </w:tcPr>
          <w:p w14:paraId="5B77C98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1</w:t>
            </w:r>
            <w:r>
              <w:rPr>
                <w:vertAlign w:val="superscript"/>
              </w:rPr>
              <w:t xml:space="preserve"> (a)</w:t>
            </w:r>
          </w:p>
        </w:tc>
        <w:tc>
          <w:tcPr>
            <w:tcW w:w="907" w:type="dxa"/>
            <w:tcBorders>
              <w:top w:val="single" w:sz="6" w:space="0" w:color="FFFFFF" w:themeColor="background1"/>
            </w:tcBorders>
          </w:tcPr>
          <w:p w14:paraId="1D7A2B50"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2</w:t>
            </w:r>
            <w:r>
              <w:rPr>
                <w:vertAlign w:val="superscript"/>
              </w:rPr>
              <w:t xml:space="preserve"> (a)</w:t>
            </w:r>
          </w:p>
        </w:tc>
        <w:tc>
          <w:tcPr>
            <w:tcW w:w="907" w:type="dxa"/>
            <w:tcBorders>
              <w:top w:val="single" w:sz="6" w:space="0" w:color="FFFFFF" w:themeColor="background1"/>
            </w:tcBorders>
          </w:tcPr>
          <w:p w14:paraId="72DC608B" w14:textId="77777777" w:rsidR="00182709" w:rsidRDefault="0044097C">
            <w:pPr>
              <w:keepNext/>
              <w:cnfStyle w:val="100000000000" w:firstRow="1" w:lastRow="0" w:firstColumn="0" w:lastColumn="0" w:oddVBand="0" w:evenVBand="0" w:oddHBand="0" w:evenHBand="0" w:firstRowFirstColumn="0" w:firstRowLastColumn="0" w:lastRowFirstColumn="0" w:lastRowLastColumn="0"/>
            </w:pPr>
            <w:r>
              <w:t>Level 3</w:t>
            </w:r>
            <w:r>
              <w:rPr>
                <w:vertAlign w:val="superscript"/>
              </w:rPr>
              <w:t xml:space="preserve"> (a)</w:t>
            </w:r>
          </w:p>
        </w:tc>
      </w:tr>
      <w:tr w:rsidR="00182709" w14:paraId="78E0A1EA" w14:textId="77777777">
        <w:tc>
          <w:tcPr>
            <w:cnfStyle w:val="001000000000" w:firstRow="0" w:lastRow="0" w:firstColumn="1" w:lastColumn="0" w:oddVBand="0" w:evenVBand="0" w:oddHBand="0" w:evenHBand="0" w:firstRowFirstColumn="0" w:firstRowLastColumn="0" w:lastRowFirstColumn="0" w:lastRowLastColumn="0"/>
            <w:tcW w:w="4956" w:type="dxa"/>
          </w:tcPr>
          <w:p w14:paraId="7DEDC77A" w14:textId="77777777" w:rsidR="00182709" w:rsidRDefault="0044097C">
            <w:r>
              <w:t xml:space="preserve">Freehold land held for sale </w:t>
            </w:r>
            <w:r>
              <w:rPr>
                <w:vertAlign w:val="superscript"/>
              </w:rPr>
              <w:t>(b)</w:t>
            </w:r>
          </w:p>
        </w:tc>
        <w:tc>
          <w:tcPr>
            <w:tcW w:w="1553" w:type="dxa"/>
          </w:tcPr>
          <w:p w14:paraId="260A9732"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1316" w:type="dxa"/>
          </w:tcPr>
          <w:p w14:paraId="7F572703"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4D8093BA"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907" w:type="dxa"/>
          </w:tcPr>
          <w:p w14:paraId="58B0274D"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00263978" w14:textId="77777777" w:rsidTr="00182709">
        <w:tc>
          <w:tcPr>
            <w:cnfStyle w:val="001000000000" w:firstRow="0" w:lastRow="0" w:firstColumn="1" w:lastColumn="0" w:oddVBand="0" w:evenVBand="0" w:oddHBand="0" w:evenHBand="0" w:firstRowFirstColumn="0" w:firstRowLastColumn="0" w:lastRowFirstColumn="0" w:lastRowLastColumn="0"/>
            <w:tcW w:w="4956" w:type="dxa"/>
            <w:tcBorders>
              <w:bottom w:val="single" w:sz="12" w:space="0" w:color="auto"/>
            </w:tcBorders>
          </w:tcPr>
          <w:p w14:paraId="5CB09241" w14:textId="77777777" w:rsidR="00182709" w:rsidRDefault="0044097C">
            <w:r>
              <w:t>Investments and other financial assets</w:t>
            </w:r>
            <w:r>
              <w:rPr>
                <w:vertAlign w:val="superscript"/>
              </w:rPr>
              <w:t xml:space="preserve"> (c)</w:t>
            </w:r>
          </w:p>
        </w:tc>
        <w:tc>
          <w:tcPr>
            <w:tcW w:w="1553" w:type="dxa"/>
            <w:tcBorders>
              <w:bottom w:val="single" w:sz="12" w:space="0" w:color="auto"/>
            </w:tcBorders>
          </w:tcPr>
          <w:p w14:paraId="7CE7B861" w14:textId="77777777" w:rsidR="00182709" w:rsidRDefault="0044097C">
            <w:pPr>
              <w:cnfStyle w:val="000000000000" w:firstRow="0" w:lastRow="0" w:firstColumn="0" w:lastColumn="0" w:oddVBand="0" w:evenVBand="0" w:oddHBand="0" w:evenHBand="0" w:firstRowFirstColumn="0" w:firstRowLastColumn="0" w:lastRowFirstColumn="0" w:lastRowLastColumn="0"/>
            </w:pPr>
            <w:r>
              <w:t>521</w:t>
            </w:r>
          </w:p>
        </w:tc>
        <w:tc>
          <w:tcPr>
            <w:tcW w:w="1316" w:type="dxa"/>
            <w:tcBorders>
              <w:bottom w:val="single" w:sz="12" w:space="0" w:color="auto"/>
            </w:tcBorders>
          </w:tcPr>
          <w:p w14:paraId="6099493D"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bottom w:val="single" w:sz="12" w:space="0" w:color="auto"/>
            </w:tcBorders>
          </w:tcPr>
          <w:p w14:paraId="739B877E" w14:textId="77777777" w:rsidR="00182709" w:rsidRDefault="0044097C">
            <w:pPr>
              <w:cnfStyle w:val="000000000000" w:firstRow="0" w:lastRow="0" w:firstColumn="0" w:lastColumn="0" w:oddVBand="0" w:evenVBand="0" w:oddHBand="0" w:evenHBand="0" w:firstRowFirstColumn="0" w:firstRowLastColumn="0" w:lastRowFirstColumn="0" w:lastRowLastColumn="0"/>
            </w:pPr>
            <w:r>
              <w:t>521</w:t>
            </w:r>
          </w:p>
        </w:tc>
        <w:tc>
          <w:tcPr>
            <w:tcW w:w="907" w:type="dxa"/>
            <w:tcBorders>
              <w:bottom w:val="single" w:sz="12" w:space="0" w:color="auto"/>
            </w:tcBorders>
          </w:tcPr>
          <w:p w14:paraId="30A9E0EA"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671D55" w14:paraId="54B93B40" w14:textId="77777777" w:rsidTr="00F22A4B">
        <w:tc>
          <w:tcPr>
            <w:cnfStyle w:val="001000000000" w:firstRow="0" w:lastRow="0" w:firstColumn="1" w:lastColumn="0" w:oddVBand="0" w:evenVBand="0" w:oddHBand="0" w:evenHBand="0" w:firstRowFirstColumn="0" w:firstRowLastColumn="0" w:lastRowFirstColumn="0" w:lastRowLastColumn="0"/>
            <w:tcW w:w="4956" w:type="dxa"/>
          </w:tcPr>
          <w:p w14:paraId="55775682" w14:textId="77777777" w:rsidR="00182709" w:rsidRDefault="00182709"/>
        </w:tc>
        <w:tc>
          <w:tcPr>
            <w:tcW w:w="1553" w:type="dxa"/>
          </w:tcPr>
          <w:p w14:paraId="5E3E8F9E"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1316" w:type="dxa"/>
          </w:tcPr>
          <w:p w14:paraId="2118992F"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47B9726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3067649D"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F22A4B" w:rsidRPr="00F22A4B" w14:paraId="773DCD62" w14:textId="77777777" w:rsidTr="00F22A4B">
        <w:tc>
          <w:tcPr>
            <w:cnfStyle w:val="001000000000" w:firstRow="0" w:lastRow="0" w:firstColumn="1" w:lastColumn="0" w:oddVBand="0" w:evenVBand="0" w:oddHBand="0" w:evenHBand="0" w:firstRowFirstColumn="0" w:firstRowLastColumn="0" w:lastRowFirstColumn="0" w:lastRowLastColumn="0"/>
            <w:tcW w:w="4956" w:type="dxa"/>
            <w:tcBorders>
              <w:bottom w:val="nil"/>
            </w:tcBorders>
            <w:shd w:val="clear" w:color="auto" w:fill="000000" w:themeFill="text1"/>
          </w:tcPr>
          <w:p w14:paraId="024EC51C" w14:textId="7CB36BDE" w:rsidR="00F22A4B" w:rsidRPr="00E5675C" w:rsidRDefault="00E5675C">
            <w:pPr>
              <w:rPr>
                <w:i/>
                <w:iCs/>
              </w:rPr>
            </w:pPr>
            <w:r w:rsidRPr="00E5675C">
              <w:rPr>
                <w:i/>
                <w:iCs/>
              </w:rPr>
              <w:fldChar w:fldCharType="begin"/>
            </w:r>
            <w:r w:rsidRPr="00E5675C">
              <w:rPr>
                <w:i/>
                <w:iCs/>
              </w:rPr>
              <w:instrText>DOCPROPERTY  YearPrevious  \* MERGEFORMAT</w:instrText>
            </w:r>
            <w:r w:rsidRPr="00E5675C">
              <w:rPr>
                <w:i/>
                <w:iCs/>
              </w:rPr>
              <w:fldChar w:fldCharType="separate"/>
            </w:r>
            <w:r w:rsidRPr="00E5675C">
              <w:rPr>
                <w:i/>
                <w:iCs/>
                <w:lang w:val="en-US"/>
              </w:rPr>
              <w:t>20X1</w:t>
            </w:r>
            <w:r w:rsidRPr="00E5675C">
              <w:rPr>
                <w:i/>
                <w:iCs/>
              </w:rPr>
              <w:fldChar w:fldCharType="end"/>
            </w:r>
          </w:p>
        </w:tc>
        <w:tc>
          <w:tcPr>
            <w:tcW w:w="1553" w:type="dxa"/>
            <w:tcBorders>
              <w:bottom w:val="nil"/>
            </w:tcBorders>
            <w:shd w:val="clear" w:color="auto" w:fill="000000" w:themeFill="text1"/>
          </w:tcPr>
          <w:p w14:paraId="22EC6831"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1316" w:type="dxa"/>
            <w:tcBorders>
              <w:bottom w:val="nil"/>
            </w:tcBorders>
            <w:shd w:val="clear" w:color="auto" w:fill="000000" w:themeFill="text1"/>
          </w:tcPr>
          <w:p w14:paraId="6265DFEF"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794CB899"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c>
          <w:tcPr>
            <w:tcW w:w="907" w:type="dxa"/>
            <w:tcBorders>
              <w:bottom w:val="nil"/>
            </w:tcBorders>
            <w:shd w:val="clear" w:color="auto" w:fill="000000" w:themeFill="text1"/>
          </w:tcPr>
          <w:p w14:paraId="0F52D18D" w14:textId="77777777" w:rsidR="00F22A4B" w:rsidRPr="00F22A4B" w:rsidRDefault="00F22A4B">
            <w:pPr>
              <w:cnfStyle w:val="000000000000" w:firstRow="0" w:lastRow="0" w:firstColumn="0" w:lastColumn="0" w:oddVBand="0" w:evenVBand="0" w:oddHBand="0" w:evenHBand="0" w:firstRowFirstColumn="0" w:firstRowLastColumn="0" w:lastRowFirstColumn="0" w:lastRowLastColumn="0"/>
              <w:rPr>
                <w:i/>
                <w:iCs/>
              </w:rPr>
            </w:pPr>
          </w:p>
        </w:tc>
      </w:tr>
      <w:tr w:rsidR="00182709" w14:paraId="3CA0FCAD" w14:textId="77777777" w:rsidTr="00F22A4B">
        <w:tc>
          <w:tcPr>
            <w:cnfStyle w:val="001000000000" w:firstRow="0" w:lastRow="0" w:firstColumn="1" w:lastColumn="0" w:oddVBand="0" w:evenVBand="0" w:oddHBand="0" w:evenHBand="0" w:firstRowFirstColumn="0" w:firstRowLastColumn="0" w:lastRowFirstColumn="0" w:lastRowLastColumn="0"/>
            <w:tcW w:w="4956" w:type="dxa"/>
            <w:tcBorders>
              <w:top w:val="nil"/>
            </w:tcBorders>
          </w:tcPr>
          <w:p w14:paraId="4E1A18E5" w14:textId="77777777" w:rsidR="00182709" w:rsidRDefault="0044097C">
            <w:r>
              <w:t xml:space="preserve">Freehold land held for sale </w:t>
            </w:r>
            <w:r>
              <w:rPr>
                <w:vertAlign w:val="superscript"/>
              </w:rPr>
              <w:t>(b)</w:t>
            </w:r>
          </w:p>
        </w:tc>
        <w:tc>
          <w:tcPr>
            <w:tcW w:w="1553" w:type="dxa"/>
            <w:tcBorders>
              <w:top w:val="nil"/>
            </w:tcBorders>
          </w:tcPr>
          <w:p w14:paraId="5A39DBD6"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c>
          <w:tcPr>
            <w:tcW w:w="1316" w:type="dxa"/>
            <w:tcBorders>
              <w:top w:val="nil"/>
            </w:tcBorders>
          </w:tcPr>
          <w:p w14:paraId="78B387FE"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Borders>
              <w:top w:val="nil"/>
            </w:tcBorders>
          </w:tcPr>
          <w:p w14:paraId="1A7500A7"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c>
          <w:tcPr>
            <w:tcW w:w="907" w:type="dxa"/>
            <w:tcBorders>
              <w:top w:val="nil"/>
            </w:tcBorders>
          </w:tcPr>
          <w:p w14:paraId="15A6D75E"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r w:rsidR="00182709" w14:paraId="6D704D73" w14:textId="77777777">
        <w:tc>
          <w:tcPr>
            <w:cnfStyle w:val="001000000000" w:firstRow="0" w:lastRow="0" w:firstColumn="1" w:lastColumn="0" w:oddVBand="0" w:evenVBand="0" w:oddHBand="0" w:evenHBand="0" w:firstRowFirstColumn="0" w:firstRowLastColumn="0" w:lastRowFirstColumn="0" w:lastRowLastColumn="0"/>
            <w:tcW w:w="4956" w:type="dxa"/>
          </w:tcPr>
          <w:p w14:paraId="070A5649" w14:textId="77777777" w:rsidR="00182709" w:rsidRDefault="0044097C">
            <w:r>
              <w:t>Investments and other financial assets</w:t>
            </w:r>
            <w:r>
              <w:rPr>
                <w:vertAlign w:val="superscript"/>
              </w:rPr>
              <w:t xml:space="preserve"> (c)</w:t>
            </w:r>
          </w:p>
        </w:tc>
        <w:tc>
          <w:tcPr>
            <w:tcW w:w="1553" w:type="dxa"/>
          </w:tcPr>
          <w:p w14:paraId="329CF567" w14:textId="77777777" w:rsidR="00182709" w:rsidRDefault="0044097C">
            <w:pPr>
              <w:cnfStyle w:val="000000000000" w:firstRow="0" w:lastRow="0" w:firstColumn="0" w:lastColumn="0" w:oddVBand="0" w:evenVBand="0" w:oddHBand="0" w:evenHBand="0" w:firstRowFirstColumn="0" w:firstRowLastColumn="0" w:lastRowFirstColumn="0" w:lastRowLastColumn="0"/>
            </w:pPr>
            <w:r>
              <w:t>1 575</w:t>
            </w:r>
          </w:p>
        </w:tc>
        <w:tc>
          <w:tcPr>
            <w:tcW w:w="1316" w:type="dxa"/>
          </w:tcPr>
          <w:p w14:paraId="4A7F43D0"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0F5962C6" w14:textId="77777777" w:rsidR="00182709" w:rsidRDefault="0044097C">
            <w:pPr>
              <w:cnfStyle w:val="000000000000" w:firstRow="0" w:lastRow="0" w:firstColumn="0" w:lastColumn="0" w:oddVBand="0" w:evenVBand="0" w:oddHBand="0" w:evenHBand="0" w:firstRowFirstColumn="0" w:firstRowLastColumn="0" w:lastRowFirstColumn="0" w:lastRowLastColumn="0"/>
            </w:pPr>
            <w:r>
              <w:t>1 575</w:t>
            </w:r>
          </w:p>
        </w:tc>
        <w:tc>
          <w:tcPr>
            <w:tcW w:w="907" w:type="dxa"/>
          </w:tcPr>
          <w:p w14:paraId="732F0218"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r>
    </w:tbl>
    <w:p w14:paraId="69F3791F" w14:textId="77777777" w:rsidR="003719CD" w:rsidRDefault="003719CD" w:rsidP="007D536F">
      <w:pPr>
        <w:pStyle w:val="Note"/>
      </w:pPr>
      <w:r>
        <w:t>Notes:</w:t>
      </w:r>
    </w:p>
    <w:p w14:paraId="3C7A8F3A" w14:textId="77777777" w:rsidR="003719CD" w:rsidRDefault="003719CD" w:rsidP="007D536F">
      <w:pPr>
        <w:pStyle w:val="Note"/>
      </w:pPr>
      <w:r>
        <w:t>(a)</w:t>
      </w:r>
      <w:r>
        <w:tab/>
        <w:t>Classified in accordance with the fair value hierarchy.</w:t>
      </w:r>
    </w:p>
    <w:p w14:paraId="44D56C4D" w14:textId="77777777" w:rsidR="003719CD" w:rsidRDefault="003719CD" w:rsidP="007D536F">
      <w:pPr>
        <w:pStyle w:val="Note"/>
      </w:pPr>
      <w:r>
        <w:t>(b)</w:t>
      </w:r>
      <w:r>
        <w:tab/>
        <w:t>Freehold land held for sale is reported in Note 9.3.6.</w:t>
      </w:r>
    </w:p>
    <w:p w14:paraId="4AA8A3B5" w14:textId="77777777" w:rsidR="003719CD" w:rsidRDefault="003719CD" w:rsidP="007D536F">
      <w:pPr>
        <w:pStyle w:val="Note"/>
      </w:pPr>
      <w:r>
        <w:t>(c)</w:t>
      </w:r>
      <w:r>
        <w:tab/>
        <w:t>Investments and other financial assets are reported in Note 9.3.5.</w:t>
      </w:r>
    </w:p>
    <w:p w14:paraId="24B41981" w14:textId="7E0B4324" w:rsidR="003719CD" w:rsidRDefault="003719CD" w:rsidP="007D536F">
      <w:pPr>
        <w:pStyle w:val="GuidanceBlockHeading"/>
      </w:pPr>
      <w:r>
        <w:lastRenderedPageBreak/>
        <w:t>Guidance – Non-financial physical assets classified as held for sale</w:t>
      </w:r>
      <w:r w:rsidR="00E202DF">
        <w:t xml:space="preserve"> </w:t>
      </w:r>
    </w:p>
    <w:p w14:paraId="2C432535" w14:textId="62E54904" w:rsidR="003719CD" w:rsidRPr="00B00B61" w:rsidRDefault="003719CD" w:rsidP="007D536F">
      <w:pPr>
        <w:rPr>
          <w:rStyle w:val="Guidance"/>
        </w:rPr>
      </w:pPr>
      <w:r w:rsidRPr="00B00B61">
        <w:rPr>
          <w:rStyle w:val="Guidance"/>
        </w:rPr>
        <w:t>AASB 5 clarifies that disclosure requirements in other standards do not apply to non</w:t>
      </w:r>
      <w:r>
        <w:rPr>
          <w:rStyle w:val="Guidance"/>
        </w:rPr>
        <w:t>-</w:t>
      </w:r>
      <w:r w:rsidRPr="00B00B61">
        <w:rPr>
          <w:rStyle w:val="Guidance"/>
        </w:rPr>
        <w:t xml:space="preserve">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illustration above reflects this circumstance, as the financial </w:t>
      </w:r>
      <w:r w:rsidR="005D2B03">
        <w:rPr>
          <w:rStyle w:val="Guidance"/>
        </w:rPr>
        <w:t>ass</w:t>
      </w:r>
      <w:r w:rsidR="0056622F">
        <w:rPr>
          <w:rStyle w:val="Guidance"/>
        </w:rPr>
        <w:t>e</w:t>
      </w:r>
      <w:r w:rsidR="005D2B03">
        <w:rPr>
          <w:rStyle w:val="Guidance"/>
        </w:rPr>
        <w:t xml:space="preserve">ts measured at </w:t>
      </w:r>
      <w:r w:rsidR="00985D72">
        <w:rPr>
          <w:rStyle w:val="Guidance"/>
        </w:rPr>
        <w:t>fair value</w:t>
      </w:r>
      <w:r w:rsidRPr="00B00B61">
        <w:rPr>
          <w:rStyle w:val="Guidance"/>
        </w:rPr>
        <w:t xml:space="preserve"> </w:t>
      </w:r>
      <w:r w:rsidR="00B266EB">
        <w:rPr>
          <w:rStyle w:val="Guidance"/>
        </w:rPr>
        <w:t xml:space="preserve">are </w:t>
      </w:r>
      <w:r w:rsidRPr="00B00B61">
        <w:rPr>
          <w:rStyle w:val="Guidance"/>
        </w:rPr>
        <w:t>financial instrument</w:t>
      </w:r>
      <w:r w:rsidR="00B266EB">
        <w:rPr>
          <w:rStyle w:val="Guidance"/>
        </w:rPr>
        <w:t>s</w:t>
      </w:r>
      <w:r w:rsidRPr="00B00B61">
        <w:rPr>
          <w:rStyle w:val="Guidance"/>
        </w:rPr>
        <w:t xml:space="preserve"> as defined in AASB </w:t>
      </w:r>
      <w:r w:rsidR="00E919B6">
        <w:rPr>
          <w:rStyle w:val="Guidance"/>
        </w:rPr>
        <w:t>9</w:t>
      </w:r>
      <w:r w:rsidRPr="00B00B61">
        <w:rPr>
          <w:rStyle w:val="Guidance"/>
        </w:rPr>
        <w:t xml:space="preserve"> and </w:t>
      </w:r>
      <w:r w:rsidR="00820E27">
        <w:rPr>
          <w:rStyle w:val="Guidance"/>
        </w:rPr>
        <w:t>are</w:t>
      </w:r>
      <w:r w:rsidRPr="00B00B61">
        <w:rPr>
          <w:rStyle w:val="Guidance"/>
        </w:rPr>
        <w:t>, therefore, scoped out of the measurement requirements of AASB 5.</w:t>
      </w:r>
    </w:p>
    <w:p w14:paraId="26F736B3" w14:textId="567D4B6E" w:rsidR="003719CD" w:rsidRPr="00B00B61" w:rsidRDefault="003719CD" w:rsidP="007D536F">
      <w:pPr>
        <w:rPr>
          <w:rStyle w:val="Guidance"/>
        </w:rPr>
      </w:pPr>
      <w:r w:rsidRPr="00B00B61">
        <w:rPr>
          <w:rStyle w:val="Guidance"/>
        </w:rPr>
        <w:t>While the assets of discontinuing operations are fair valued on a non</w:t>
      </w:r>
      <w:r>
        <w:rPr>
          <w:rStyle w:val="Guidance"/>
        </w:rPr>
        <w:t>-</w:t>
      </w:r>
      <w:r w:rsidRPr="00B00B61">
        <w:rPr>
          <w:rStyle w:val="Guidance"/>
        </w:rPr>
        <w:t xml:space="preserve">recurring basis under AASB 13.93(a), fair value measurements of </w:t>
      </w:r>
      <w:r w:rsidR="00E10955">
        <w:rPr>
          <w:rStyle w:val="Guidance"/>
        </w:rPr>
        <w:t>financial</w:t>
      </w:r>
      <w:r w:rsidRPr="00B00B61">
        <w:rPr>
          <w:rStyle w:val="Guidance"/>
        </w:rPr>
        <w:t xml:space="preserve"> </w:t>
      </w:r>
      <w:r w:rsidR="00DA29A2">
        <w:rPr>
          <w:rStyle w:val="Guidance"/>
        </w:rPr>
        <w:t>assets</w:t>
      </w:r>
      <w:r w:rsidRPr="00B00B61">
        <w:rPr>
          <w:rStyle w:val="Guidance"/>
        </w:rPr>
        <w:t xml:space="preserve"> of the discontinuing operations are recurring</w:t>
      </w:r>
      <w:r w:rsidR="00532856">
        <w:rPr>
          <w:rStyle w:val="Guidance"/>
        </w:rPr>
        <w:t>,</w:t>
      </w:r>
      <w:r w:rsidRPr="00B00B61">
        <w:rPr>
          <w:rStyle w:val="Guidance"/>
        </w:rPr>
        <w:t xml:space="preserve"> since valuations are required at the end of each reporting period. As the illustrative example categorises ‘investments and other financial assets’ as Level 2 assets, reconciliation required for recurring Level 3 assets or liabilities is not illustrated in the Model. Refer to Note 5.1.</w:t>
      </w:r>
      <w:r w:rsidR="00E202DF">
        <w:rPr>
          <w:rStyle w:val="Guidance"/>
        </w:rPr>
        <w:t>4</w:t>
      </w:r>
      <w:r w:rsidRPr="00B00B61">
        <w:rPr>
          <w:rStyle w:val="Guidance"/>
        </w:rPr>
        <w:t xml:space="preserve"> and Note 8.</w:t>
      </w:r>
      <w:r w:rsidR="00E202DF">
        <w:rPr>
          <w:rStyle w:val="Guidance"/>
        </w:rPr>
        <w:t>3</w:t>
      </w:r>
      <w:r w:rsidRPr="00B00B61">
        <w:rPr>
          <w:rStyle w:val="Guidance"/>
        </w:rPr>
        <w:t>.</w:t>
      </w:r>
      <w:r w:rsidR="00E202DF">
        <w:rPr>
          <w:rStyle w:val="Guidance"/>
        </w:rPr>
        <w:t>1</w:t>
      </w:r>
      <w:r w:rsidRPr="00B00B61">
        <w:rPr>
          <w:rStyle w:val="Guidance"/>
        </w:rPr>
        <w:t xml:space="preserve"> for illustration on reconciliation of recurring Level 3 assets.</w:t>
      </w:r>
    </w:p>
    <w:p w14:paraId="74FA3FB3" w14:textId="77777777" w:rsidR="003719CD" w:rsidRDefault="003719CD" w:rsidP="007D536F">
      <w:pPr>
        <w:pStyle w:val="GuidanceEnd"/>
      </w:pPr>
    </w:p>
    <w:bookmarkEnd w:id="120"/>
    <w:p w14:paraId="02B7EF8A" w14:textId="77777777" w:rsidR="001931B3" w:rsidRDefault="003719CD" w:rsidP="00DC39DE">
      <w:pPr>
        <w:sectPr w:rsidR="001931B3" w:rsidSect="006E0E99">
          <w:headerReference w:type="even" r:id="rId112"/>
          <w:headerReference w:type="default" r:id="rId113"/>
          <w:footerReference w:type="even" r:id="rId114"/>
          <w:footerReference w:type="default" r:id="rId115"/>
          <w:pgSz w:w="11906" w:h="16838" w:code="9"/>
          <w:pgMar w:top="1134" w:right="1134" w:bottom="1134" w:left="1134" w:header="624" w:footer="567" w:gutter="0"/>
          <w:cols w:space="708"/>
          <w:docGrid w:linePitch="360"/>
        </w:sectPr>
      </w:pPr>
      <w:r>
        <w:t xml:space="preserve"> </w:t>
      </w:r>
    </w:p>
    <w:p w14:paraId="0233CFDB" w14:textId="377A48BC" w:rsidR="003719CD" w:rsidRDefault="003719CD" w:rsidP="007762BE">
      <w:pPr>
        <w:pStyle w:val="Heading1numbered"/>
        <w:sectPr w:rsidR="003719CD" w:rsidSect="006E0E99">
          <w:footerReference w:type="first" r:id="rId116"/>
          <w:pgSz w:w="11906" w:h="16838" w:code="9"/>
          <w:pgMar w:top="1134" w:right="1134" w:bottom="1134" w:left="1134" w:header="624" w:footer="567" w:gutter="0"/>
          <w:cols w:space="708"/>
          <w:titlePg/>
          <w:docGrid w:linePitch="360"/>
        </w:sectPr>
      </w:pPr>
      <w:r>
        <w:lastRenderedPageBreak/>
        <w:t>OTHER DISCLOSURES</w:t>
      </w:r>
    </w:p>
    <w:p w14:paraId="18B9ABAD" w14:textId="77777777" w:rsidR="003719CD" w:rsidRDefault="003719CD" w:rsidP="007D536F">
      <w:pPr>
        <w:pStyle w:val="Heading3"/>
      </w:pPr>
      <w:r>
        <w:t>Introduction</w:t>
      </w:r>
    </w:p>
    <w:p w14:paraId="25FBB849" w14:textId="77777777" w:rsidR="003719CD" w:rsidRDefault="003719CD" w:rsidP="00DC39DE">
      <w:r>
        <w:t>This section includes additional material disclosures required by accounting standards or otherwise, for the understanding of this financial report.</w:t>
      </w:r>
    </w:p>
    <w:p w14:paraId="44D987FC" w14:textId="64F6E1F0" w:rsidR="003719CD" w:rsidRDefault="003909CA" w:rsidP="007D536F">
      <w:pPr>
        <w:pStyle w:val="Heading3"/>
      </w:pPr>
      <w:r>
        <w:br w:type="column"/>
      </w:r>
      <w:r w:rsidR="003719CD">
        <w:t>Structure</w:t>
      </w:r>
    </w:p>
    <w:p w14:paraId="2CAFA263" w14:textId="3FE89321" w:rsidR="00C70938" w:rsidRDefault="003719CD">
      <w:pPr>
        <w:pStyle w:val="TOC9"/>
        <w:rPr>
          <w:noProof/>
          <w:sz w:val="22"/>
        </w:rPr>
      </w:pPr>
      <w:r w:rsidRPr="00940E38">
        <w:fldChar w:fldCharType="begin"/>
      </w:r>
      <w:r w:rsidRPr="00940E38">
        <w:instrText xml:space="preserve"> TOC \h \z \t "Heading 2 </w:instrText>
      </w:r>
      <w:r>
        <w:instrText>[</w:instrText>
      </w:r>
      <w:r w:rsidRPr="00940E38">
        <w:instrText>#</w:instrText>
      </w:r>
      <w:r>
        <w:instrText>]</w:instrText>
      </w:r>
      <w:r w:rsidRPr="00940E38">
        <w:instrText>,9" \b Section</w:instrText>
      </w:r>
      <w:r>
        <w:instrText>_9</w:instrText>
      </w:r>
      <w:r w:rsidRPr="00940E38">
        <w:instrText xml:space="preserve"> \* MERGEFORMAT </w:instrText>
      </w:r>
      <w:r w:rsidRPr="00940E38">
        <w:fldChar w:fldCharType="separate"/>
      </w:r>
      <w:hyperlink w:anchor="_Toc130289130" w:history="1">
        <w:r w:rsidR="00C70938" w:rsidRPr="002B03FB">
          <w:rPr>
            <w:rStyle w:val="Hyperlink"/>
            <w:noProof/>
          </w:rPr>
          <w:t>9.1</w:t>
        </w:r>
        <w:r w:rsidR="00C70938">
          <w:rPr>
            <w:noProof/>
            <w:sz w:val="22"/>
          </w:rPr>
          <w:tab/>
        </w:r>
        <w:r w:rsidR="00C70938" w:rsidRPr="002B03FB">
          <w:rPr>
            <w:rStyle w:val="Hyperlink"/>
            <w:noProof/>
          </w:rPr>
          <w:t>Ex gratia expenses</w:t>
        </w:r>
        <w:r w:rsidR="00C70938">
          <w:rPr>
            <w:noProof/>
            <w:webHidden/>
          </w:rPr>
          <w:tab/>
        </w:r>
        <w:r w:rsidR="00C70938">
          <w:rPr>
            <w:noProof/>
            <w:webHidden/>
          </w:rPr>
          <w:fldChar w:fldCharType="begin"/>
        </w:r>
        <w:r w:rsidR="00C70938">
          <w:rPr>
            <w:noProof/>
            <w:webHidden/>
          </w:rPr>
          <w:instrText xml:space="preserve"> PAGEREF _Toc130289130 \h </w:instrText>
        </w:r>
        <w:r w:rsidR="00C70938">
          <w:rPr>
            <w:noProof/>
            <w:webHidden/>
          </w:rPr>
        </w:r>
        <w:r w:rsidR="00C70938">
          <w:rPr>
            <w:noProof/>
            <w:webHidden/>
          </w:rPr>
          <w:fldChar w:fldCharType="separate"/>
        </w:r>
        <w:r w:rsidR="00D26320">
          <w:rPr>
            <w:noProof/>
            <w:webHidden/>
          </w:rPr>
          <w:t>157</w:t>
        </w:r>
        <w:r w:rsidR="00C70938">
          <w:rPr>
            <w:noProof/>
            <w:webHidden/>
          </w:rPr>
          <w:fldChar w:fldCharType="end"/>
        </w:r>
      </w:hyperlink>
    </w:p>
    <w:p w14:paraId="68F58575" w14:textId="22D98CD9" w:rsidR="00C70938" w:rsidRDefault="00C70938">
      <w:pPr>
        <w:pStyle w:val="TOC9"/>
        <w:rPr>
          <w:noProof/>
          <w:sz w:val="22"/>
        </w:rPr>
      </w:pPr>
      <w:hyperlink w:anchor="_Toc130289131" w:history="1">
        <w:r w:rsidRPr="002B03FB">
          <w:rPr>
            <w:rStyle w:val="Hyperlink"/>
            <w:noProof/>
          </w:rPr>
          <w:t>9.2</w:t>
        </w:r>
        <w:r>
          <w:rPr>
            <w:noProof/>
            <w:sz w:val="22"/>
          </w:rPr>
          <w:tab/>
        </w:r>
        <w:r w:rsidRPr="002B03FB">
          <w:rPr>
            <w:rStyle w:val="Hyperlink"/>
            <w:noProof/>
          </w:rPr>
          <w:t xml:space="preserve">Other economic flows included in </w:t>
        </w:r>
        <w:r>
          <w:rPr>
            <w:rStyle w:val="Hyperlink"/>
            <w:noProof/>
          </w:rPr>
          <w:br/>
        </w:r>
        <w:r w:rsidRPr="002B03FB">
          <w:rPr>
            <w:rStyle w:val="Hyperlink"/>
            <w:noProof/>
          </w:rPr>
          <w:t>net result</w:t>
        </w:r>
        <w:r>
          <w:rPr>
            <w:noProof/>
            <w:webHidden/>
          </w:rPr>
          <w:tab/>
        </w:r>
        <w:r>
          <w:rPr>
            <w:noProof/>
            <w:webHidden/>
          </w:rPr>
          <w:fldChar w:fldCharType="begin"/>
        </w:r>
        <w:r>
          <w:rPr>
            <w:noProof/>
            <w:webHidden/>
          </w:rPr>
          <w:instrText xml:space="preserve"> PAGEREF _Toc130289131 \h </w:instrText>
        </w:r>
        <w:r>
          <w:rPr>
            <w:noProof/>
            <w:webHidden/>
          </w:rPr>
        </w:r>
        <w:r>
          <w:rPr>
            <w:noProof/>
            <w:webHidden/>
          </w:rPr>
          <w:fldChar w:fldCharType="separate"/>
        </w:r>
        <w:r w:rsidR="00D26320">
          <w:rPr>
            <w:noProof/>
            <w:webHidden/>
          </w:rPr>
          <w:t>158</w:t>
        </w:r>
        <w:r>
          <w:rPr>
            <w:noProof/>
            <w:webHidden/>
          </w:rPr>
          <w:fldChar w:fldCharType="end"/>
        </w:r>
      </w:hyperlink>
    </w:p>
    <w:p w14:paraId="2E0DBD03" w14:textId="1E7F66AF" w:rsidR="00C70938" w:rsidRDefault="00C70938">
      <w:pPr>
        <w:pStyle w:val="TOC9"/>
        <w:rPr>
          <w:noProof/>
          <w:sz w:val="22"/>
        </w:rPr>
      </w:pPr>
      <w:hyperlink w:anchor="_Toc130289132" w:history="1">
        <w:r w:rsidRPr="002B03FB">
          <w:rPr>
            <w:rStyle w:val="Hyperlink"/>
            <w:noProof/>
          </w:rPr>
          <w:t>9.3</w:t>
        </w:r>
        <w:r>
          <w:rPr>
            <w:noProof/>
            <w:sz w:val="22"/>
          </w:rPr>
          <w:tab/>
        </w:r>
        <w:r w:rsidRPr="002B03FB">
          <w:rPr>
            <w:rStyle w:val="Hyperlink"/>
            <w:noProof/>
          </w:rPr>
          <w:t>Discontinued operations and non-current assets held for sal</w:t>
        </w:r>
        <w:r w:rsidR="00C6497B">
          <w:rPr>
            <w:rStyle w:val="Hyperlink"/>
            <w:noProof/>
          </w:rPr>
          <w:t>e</w:t>
        </w:r>
        <w:r>
          <w:rPr>
            <w:noProof/>
            <w:webHidden/>
          </w:rPr>
          <w:tab/>
        </w:r>
        <w:r>
          <w:rPr>
            <w:noProof/>
            <w:webHidden/>
          </w:rPr>
          <w:fldChar w:fldCharType="begin"/>
        </w:r>
        <w:r>
          <w:rPr>
            <w:noProof/>
            <w:webHidden/>
          </w:rPr>
          <w:instrText xml:space="preserve"> PAGEREF _Toc130289132 \h </w:instrText>
        </w:r>
        <w:r>
          <w:rPr>
            <w:noProof/>
            <w:webHidden/>
          </w:rPr>
        </w:r>
        <w:r>
          <w:rPr>
            <w:noProof/>
            <w:webHidden/>
          </w:rPr>
          <w:fldChar w:fldCharType="separate"/>
        </w:r>
        <w:r w:rsidR="00D26320">
          <w:rPr>
            <w:noProof/>
            <w:webHidden/>
          </w:rPr>
          <w:t>159</w:t>
        </w:r>
        <w:r>
          <w:rPr>
            <w:noProof/>
            <w:webHidden/>
          </w:rPr>
          <w:fldChar w:fldCharType="end"/>
        </w:r>
      </w:hyperlink>
    </w:p>
    <w:p w14:paraId="6018D7F5" w14:textId="5B372210" w:rsidR="00C70938" w:rsidRDefault="00C70938">
      <w:pPr>
        <w:pStyle w:val="TOC9"/>
        <w:rPr>
          <w:noProof/>
          <w:sz w:val="22"/>
        </w:rPr>
      </w:pPr>
      <w:hyperlink w:anchor="_Toc130289133" w:history="1">
        <w:r w:rsidRPr="002B03FB">
          <w:rPr>
            <w:rStyle w:val="Hyperlink"/>
            <w:noProof/>
          </w:rPr>
          <w:t>9.4</w:t>
        </w:r>
        <w:r>
          <w:rPr>
            <w:noProof/>
            <w:sz w:val="22"/>
          </w:rPr>
          <w:tab/>
        </w:r>
        <w:r w:rsidRPr="002B03FB">
          <w:rPr>
            <w:rStyle w:val="Hyperlink"/>
            <w:noProof/>
          </w:rPr>
          <w:t>Reserves</w:t>
        </w:r>
        <w:r>
          <w:rPr>
            <w:noProof/>
            <w:webHidden/>
          </w:rPr>
          <w:tab/>
        </w:r>
        <w:r>
          <w:rPr>
            <w:noProof/>
            <w:webHidden/>
          </w:rPr>
          <w:fldChar w:fldCharType="begin"/>
        </w:r>
        <w:r>
          <w:rPr>
            <w:noProof/>
            <w:webHidden/>
          </w:rPr>
          <w:instrText xml:space="preserve"> PAGEREF _Toc130289133 \h </w:instrText>
        </w:r>
        <w:r>
          <w:rPr>
            <w:noProof/>
            <w:webHidden/>
          </w:rPr>
        </w:r>
        <w:r>
          <w:rPr>
            <w:noProof/>
            <w:webHidden/>
          </w:rPr>
          <w:fldChar w:fldCharType="separate"/>
        </w:r>
        <w:r w:rsidR="00D26320">
          <w:rPr>
            <w:noProof/>
            <w:webHidden/>
          </w:rPr>
          <w:t>163</w:t>
        </w:r>
        <w:r>
          <w:rPr>
            <w:noProof/>
            <w:webHidden/>
          </w:rPr>
          <w:fldChar w:fldCharType="end"/>
        </w:r>
      </w:hyperlink>
    </w:p>
    <w:p w14:paraId="3421B0DD" w14:textId="66D74606" w:rsidR="00C70938" w:rsidRDefault="00C70938">
      <w:pPr>
        <w:pStyle w:val="TOC9"/>
        <w:rPr>
          <w:noProof/>
          <w:sz w:val="22"/>
        </w:rPr>
      </w:pPr>
      <w:hyperlink w:anchor="_Toc130289134" w:history="1">
        <w:r w:rsidRPr="002B03FB">
          <w:rPr>
            <w:rStyle w:val="Hyperlink"/>
            <w:noProof/>
          </w:rPr>
          <w:t>9.5</w:t>
        </w:r>
        <w:r>
          <w:rPr>
            <w:noProof/>
            <w:sz w:val="22"/>
          </w:rPr>
          <w:tab/>
        </w:r>
        <w:r w:rsidRPr="002B03FB">
          <w:rPr>
            <w:rStyle w:val="Hyperlink"/>
            <w:noProof/>
          </w:rPr>
          <w:t>Entities consolidated pursuant to section</w:t>
        </w:r>
        <w:r>
          <w:rPr>
            <w:rStyle w:val="Hyperlink"/>
            <w:noProof/>
          </w:rPr>
          <w:t> </w:t>
        </w:r>
        <w:r w:rsidRPr="002B03FB">
          <w:rPr>
            <w:rStyle w:val="Hyperlink"/>
            <w:noProof/>
          </w:rPr>
          <w:t>53(1)(b) of the FMA</w:t>
        </w:r>
        <w:r>
          <w:rPr>
            <w:noProof/>
            <w:webHidden/>
          </w:rPr>
          <w:tab/>
        </w:r>
        <w:r>
          <w:rPr>
            <w:noProof/>
            <w:webHidden/>
          </w:rPr>
          <w:fldChar w:fldCharType="begin"/>
        </w:r>
        <w:r>
          <w:rPr>
            <w:noProof/>
            <w:webHidden/>
          </w:rPr>
          <w:instrText xml:space="preserve"> PAGEREF _Toc130289134 \h </w:instrText>
        </w:r>
        <w:r>
          <w:rPr>
            <w:noProof/>
            <w:webHidden/>
          </w:rPr>
        </w:r>
        <w:r>
          <w:rPr>
            <w:noProof/>
            <w:webHidden/>
          </w:rPr>
          <w:fldChar w:fldCharType="separate"/>
        </w:r>
        <w:r w:rsidR="00D26320">
          <w:rPr>
            <w:noProof/>
            <w:webHidden/>
          </w:rPr>
          <w:t>165</w:t>
        </w:r>
        <w:r>
          <w:rPr>
            <w:noProof/>
            <w:webHidden/>
          </w:rPr>
          <w:fldChar w:fldCharType="end"/>
        </w:r>
      </w:hyperlink>
    </w:p>
    <w:p w14:paraId="0B8AE67B" w14:textId="632EB13E" w:rsidR="00C70938" w:rsidRDefault="00C70938">
      <w:pPr>
        <w:pStyle w:val="TOC9"/>
        <w:rPr>
          <w:noProof/>
          <w:sz w:val="22"/>
        </w:rPr>
      </w:pPr>
      <w:hyperlink w:anchor="_Toc130289135" w:history="1">
        <w:r w:rsidRPr="002B03FB">
          <w:rPr>
            <w:rStyle w:val="Hyperlink"/>
            <w:noProof/>
          </w:rPr>
          <w:t>9.6</w:t>
        </w:r>
        <w:r>
          <w:rPr>
            <w:noProof/>
            <w:sz w:val="22"/>
          </w:rPr>
          <w:tab/>
        </w:r>
        <w:r w:rsidRPr="002B03FB">
          <w:rPr>
            <w:rStyle w:val="Hyperlink"/>
            <w:noProof/>
          </w:rPr>
          <w:t>Correction of a prior period error</w:t>
        </w:r>
        <w:r>
          <w:rPr>
            <w:noProof/>
            <w:webHidden/>
          </w:rPr>
          <w:tab/>
        </w:r>
        <w:r>
          <w:rPr>
            <w:noProof/>
            <w:webHidden/>
          </w:rPr>
          <w:fldChar w:fldCharType="begin"/>
        </w:r>
        <w:r>
          <w:rPr>
            <w:noProof/>
            <w:webHidden/>
          </w:rPr>
          <w:instrText xml:space="preserve"> PAGEREF _Toc130289135 \h </w:instrText>
        </w:r>
        <w:r>
          <w:rPr>
            <w:noProof/>
            <w:webHidden/>
          </w:rPr>
        </w:r>
        <w:r>
          <w:rPr>
            <w:noProof/>
            <w:webHidden/>
          </w:rPr>
          <w:fldChar w:fldCharType="separate"/>
        </w:r>
        <w:r w:rsidR="00D26320">
          <w:rPr>
            <w:noProof/>
            <w:webHidden/>
          </w:rPr>
          <w:t>165</w:t>
        </w:r>
        <w:r>
          <w:rPr>
            <w:noProof/>
            <w:webHidden/>
          </w:rPr>
          <w:fldChar w:fldCharType="end"/>
        </w:r>
      </w:hyperlink>
    </w:p>
    <w:p w14:paraId="6AB8A824" w14:textId="25CAAC51" w:rsidR="00C70938" w:rsidRDefault="00C70938">
      <w:pPr>
        <w:pStyle w:val="TOC9"/>
        <w:rPr>
          <w:noProof/>
          <w:sz w:val="22"/>
        </w:rPr>
      </w:pPr>
      <w:hyperlink w:anchor="_Toc130289136" w:history="1">
        <w:r w:rsidRPr="002B03FB">
          <w:rPr>
            <w:rStyle w:val="Hyperlink"/>
            <w:noProof/>
          </w:rPr>
          <w:t>9.7</w:t>
        </w:r>
        <w:r>
          <w:rPr>
            <w:noProof/>
            <w:sz w:val="22"/>
          </w:rPr>
          <w:tab/>
        </w:r>
        <w:r w:rsidRPr="002B03FB">
          <w:rPr>
            <w:rStyle w:val="Hyperlink"/>
            <w:noProof/>
          </w:rPr>
          <w:t>Responsible persons</w:t>
        </w:r>
        <w:r>
          <w:rPr>
            <w:noProof/>
            <w:webHidden/>
          </w:rPr>
          <w:tab/>
        </w:r>
        <w:r>
          <w:rPr>
            <w:noProof/>
            <w:webHidden/>
          </w:rPr>
          <w:fldChar w:fldCharType="begin"/>
        </w:r>
        <w:r>
          <w:rPr>
            <w:noProof/>
            <w:webHidden/>
          </w:rPr>
          <w:instrText xml:space="preserve"> PAGEREF _Toc130289136 \h </w:instrText>
        </w:r>
        <w:r>
          <w:rPr>
            <w:noProof/>
            <w:webHidden/>
          </w:rPr>
        </w:r>
        <w:r>
          <w:rPr>
            <w:noProof/>
            <w:webHidden/>
          </w:rPr>
          <w:fldChar w:fldCharType="separate"/>
        </w:r>
        <w:r w:rsidR="00D26320">
          <w:rPr>
            <w:noProof/>
            <w:webHidden/>
          </w:rPr>
          <w:t>170</w:t>
        </w:r>
        <w:r>
          <w:rPr>
            <w:noProof/>
            <w:webHidden/>
          </w:rPr>
          <w:fldChar w:fldCharType="end"/>
        </w:r>
      </w:hyperlink>
    </w:p>
    <w:p w14:paraId="49175467" w14:textId="47B3CFF2" w:rsidR="00C70938" w:rsidRDefault="00C70938">
      <w:pPr>
        <w:pStyle w:val="TOC9"/>
        <w:rPr>
          <w:noProof/>
          <w:sz w:val="22"/>
        </w:rPr>
      </w:pPr>
      <w:hyperlink w:anchor="_Toc130289137" w:history="1">
        <w:r w:rsidRPr="002B03FB">
          <w:rPr>
            <w:rStyle w:val="Hyperlink"/>
            <w:noProof/>
          </w:rPr>
          <w:t>9.8</w:t>
        </w:r>
        <w:r>
          <w:rPr>
            <w:noProof/>
            <w:sz w:val="22"/>
          </w:rPr>
          <w:tab/>
        </w:r>
        <w:r w:rsidRPr="002B03FB">
          <w:rPr>
            <w:rStyle w:val="Hyperlink"/>
            <w:noProof/>
          </w:rPr>
          <w:t>Remuneration of executives</w:t>
        </w:r>
        <w:r>
          <w:rPr>
            <w:noProof/>
            <w:webHidden/>
          </w:rPr>
          <w:tab/>
        </w:r>
        <w:r>
          <w:rPr>
            <w:noProof/>
            <w:webHidden/>
          </w:rPr>
          <w:fldChar w:fldCharType="begin"/>
        </w:r>
        <w:r>
          <w:rPr>
            <w:noProof/>
            <w:webHidden/>
          </w:rPr>
          <w:instrText xml:space="preserve"> PAGEREF _Toc130289137 \h </w:instrText>
        </w:r>
        <w:r>
          <w:rPr>
            <w:noProof/>
            <w:webHidden/>
          </w:rPr>
        </w:r>
        <w:r>
          <w:rPr>
            <w:noProof/>
            <w:webHidden/>
          </w:rPr>
          <w:fldChar w:fldCharType="separate"/>
        </w:r>
        <w:r w:rsidR="00D26320">
          <w:rPr>
            <w:noProof/>
            <w:webHidden/>
          </w:rPr>
          <w:t>170</w:t>
        </w:r>
        <w:r>
          <w:rPr>
            <w:noProof/>
            <w:webHidden/>
          </w:rPr>
          <w:fldChar w:fldCharType="end"/>
        </w:r>
      </w:hyperlink>
    </w:p>
    <w:p w14:paraId="1F0DDFC4" w14:textId="459A3367" w:rsidR="00C70938" w:rsidRDefault="00C70938">
      <w:pPr>
        <w:pStyle w:val="TOC9"/>
        <w:rPr>
          <w:noProof/>
          <w:sz w:val="22"/>
        </w:rPr>
      </w:pPr>
      <w:hyperlink w:anchor="_Toc130289138" w:history="1">
        <w:r w:rsidRPr="002B03FB">
          <w:rPr>
            <w:rStyle w:val="Hyperlink"/>
            <w:noProof/>
          </w:rPr>
          <w:t>9.9</w:t>
        </w:r>
        <w:r>
          <w:rPr>
            <w:noProof/>
            <w:sz w:val="22"/>
          </w:rPr>
          <w:tab/>
        </w:r>
        <w:r w:rsidRPr="002B03FB">
          <w:rPr>
            <w:rStyle w:val="Hyperlink"/>
            <w:noProof/>
          </w:rPr>
          <w:t>Related parties</w:t>
        </w:r>
        <w:r>
          <w:rPr>
            <w:noProof/>
            <w:webHidden/>
          </w:rPr>
          <w:tab/>
        </w:r>
        <w:r>
          <w:rPr>
            <w:noProof/>
            <w:webHidden/>
          </w:rPr>
          <w:fldChar w:fldCharType="begin"/>
        </w:r>
        <w:r>
          <w:rPr>
            <w:noProof/>
            <w:webHidden/>
          </w:rPr>
          <w:instrText xml:space="preserve"> PAGEREF _Toc130289138 \h </w:instrText>
        </w:r>
        <w:r>
          <w:rPr>
            <w:noProof/>
            <w:webHidden/>
          </w:rPr>
        </w:r>
        <w:r>
          <w:rPr>
            <w:noProof/>
            <w:webHidden/>
          </w:rPr>
          <w:fldChar w:fldCharType="separate"/>
        </w:r>
        <w:r w:rsidR="00D26320">
          <w:rPr>
            <w:noProof/>
            <w:webHidden/>
          </w:rPr>
          <w:t>173</w:t>
        </w:r>
        <w:r>
          <w:rPr>
            <w:noProof/>
            <w:webHidden/>
          </w:rPr>
          <w:fldChar w:fldCharType="end"/>
        </w:r>
      </w:hyperlink>
    </w:p>
    <w:p w14:paraId="724E2EB4" w14:textId="325980BC" w:rsidR="00C70938" w:rsidRDefault="00C70938">
      <w:pPr>
        <w:pStyle w:val="TOC9"/>
        <w:rPr>
          <w:noProof/>
          <w:sz w:val="22"/>
        </w:rPr>
      </w:pPr>
      <w:hyperlink w:anchor="_Toc130289139" w:history="1">
        <w:r w:rsidRPr="002B03FB">
          <w:rPr>
            <w:rStyle w:val="Hyperlink"/>
            <w:noProof/>
          </w:rPr>
          <w:t>9.10</w:t>
        </w:r>
        <w:r>
          <w:rPr>
            <w:noProof/>
            <w:sz w:val="22"/>
          </w:rPr>
          <w:tab/>
        </w:r>
        <w:r w:rsidRPr="002B03FB">
          <w:rPr>
            <w:rStyle w:val="Hyperlink"/>
            <w:noProof/>
          </w:rPr>
          <w:t>Remuneration of auditors</w:t>
        </w:r>
        <w:r>
          <w:rPr>
            <w:noProof/>
            <w:webHidden/>
          </w:rPr>
          <w:tab/>
        </w:r>
        <w:r>
          <w:rPr>
            <w:noProof/>
            <w:webHidden/>
          </w:rPr>
          <w:fldChar w:fldCharType="begin"/>
        </w:r>
        <w:r>
          <w:rPr>
            <w:noProof/>
            <w:webHidden/>
          </w:rPr>
          <w:instrText xml:space="preserve"> PAGEREF _Toc130289139 \h </w:instrText>
        </w:r>
        <w:r>
          <w:rPr>
            <w:noProof/>
            <w:webHidden/>
          </w:rPr>
        </w:r>
        <w:r>
          <w:rPr>
            <w:noProof/>
            <w:webHidden/>
          </w:rPr>
          <w:fldChar w:fldCharType="separate"/>
        </w:r>
        <w:r w:rsidR="00D26320">
          <w:rPr>
            <w:noProof/>
            <w:webHidden/>
          </w:rPr>
          <w:t>177</w:t>
        </w:r>
        <w:r>
          <w:rPr>
            <w:noProof/>
            <w:webHidden/>
          </w:rPr>
          <w:fldChar w:fldCharType="end"/>
        </w:r>
      </w:hyperlink>
    </w:p>
    <w:p w14:paraId="3C629AB0" w14:textId="2B18C499" w:rsidR="00C70938" w:rsidRDefault="00C70938">
      <w:pPr>
        <w:pStyle w:val="TOC9"/>
        <w:rPr>
          <w:noProof/>
          <w:sz w:val="22"/>
        </w:rPr>
      </w:pPr>
      <w:hyperlink w:anchor="_Toc130289140" w:history="1">
        <w:r w:rsidRPr="002B03FB">
          <w:rPr>
            <w:rStyle w:val="Hyperlink"/>
            <w:noProof/>
          </w:rPr>
          <w:t>9.11</w:t>
        </w:r>
        <w:r>
          <w:rPr>
            <w:noProof/>
            <w:sz w:val="22"/>
          </w:rPr>
          <w:tab/>
        </w:r>
        <w:r w:rsidRPr="002B03FB">
          <w:rPr>
            <w:rStyle w:val="Hyperlink"/>
            <w:noProof/>
          </w:rPr>
          <w:t>Subsequent events</w:t>
        </w:r>
        <w:r>
          <w:rPr>
            <w:noProof/>
            <w:webHidden/>
          </w:rPr>
          <w:tab/>
        </w:r>
        <w:r>
          <w:rPr>
            <w:noProof/>
            <w:webHidden/>
          </w:rPr>
          <w:fldChar w:fldCharType="begin"/>
        </w:r>
        <w:r>
          <w:rPr>
            <w:noProof/>
            <w:webHidden/>
          </w:rPr>
          <w:instrText xml:space="preserve"> PAGEREF _Toc130289140 \h </w:instrText>
        </w:r>
        <w:r>
          <w:rPr>
            <w:noProof/>
            <w:webHidden/>
          </w:rPr>
        </w:r>
        <w:r>
          <w:rPr>
            <w:noProof/>
            <w:webHidden/>
          </w:rPr>
          <w:fldChar w:fldCharType="separate"/>
        </w:r>
        <w:r w:rsidR="00D26320">
          <w:rPr>
            <w:noProof/>
            <w:webHidden/>
          </w:rPr>
          <w:t>178</w:t>
        </w:r>
        <w:r>
          <w:rPr>
            <w:noProof/>
            <w:webHidden/>
          </w:rPr>
          <w:fldChar w:fldCharType="end"/>
        </w:r>
      </w:hyperlink>
    </w:p>
    <w:p w14:paraId="2DD52FF9" w14:textId="1CE1288E" w:rsidR="00C70938" w:rsidRDefault="00C70938">
      <w:pPr>
        <w:pStyle w:val="TOC9"/>
        <w:rPr>
          <w:noProof/>
          <w:sz w:val="22"/>
        </w:rPr>
      </w:pPr>
      <w:hyperlink w:anchor="_Toc130289141" w:history="1">
        <w:r w:rsidRPr="002B03FB">
          <w:rPr>
            <w:rStyle w:val="Hyperlink"/>
            <w:noProof/>
          </w:rPr>
          <w:t>9.12</w:t>
        </w:r>
        <w:r>
          <w:rPr>
            <w:noProof/>
            <w:sz w:val="22"/>
          </w:rPr>
          <w:tab/>
        </w:r>
        <w:r w:rsidRPr="002B03FB">
          <w:rPr>
            <w:rStyle w:val="Hyperlink"/>
            <w:noProof/>
          </w:rPr>
          <w:t>Other accounting policies</w:t>
        </w:r>
        <w:r>
          <w:rPr>
            <w:noProof/>
            <w:webHidden/>
          </w:rPr>
          <w:tab/>
        </w:r>
        <w:r>
          <w:rPr>
            <w:noProof/>
            <w:webHidden/>
          </w:rPr>
          <w:fldChar w:fldCharType="begin"/>
        </w:r>
        <w:r>
          <w:rPr>
            <w:noProof/>
            <w:webHidden/>
          </w:rPr>
          <w:instrText xml:space="preserve"> PAGEREF _Toc130289141 \h </w:instrText>
        </w:r>
        <w:r>
          <w:rPr>
            <w:noProof/>
            <w:webHidden/>
          </w:rPr>
        </w:r>
        <w:r>
          <w:rPr>
            <w:noProof/>
            <w:webHidden/>
          </w:rPr>
          <w:fldChar w:fldCharType="separate"/>
        </w:r>
        <w:r w:rsidR="00D26320">
          <w:rPr>
            <w:noProof/>
            <w:webHidden/>
          </w:rPr>
          <w:t>179</w:t>
        </w:r>
        <w:r>
          <w:rPr>
            <w:noProof/>
            <w:webHidden/>
          </w:rPr>
          <w:fldChar w:fldCharType="end"/>
        </w:r>
      </w:hyperlink>
    </w:p>
    <w:p w14:paraId="669E3BB8" w14:textId="41334BE6" w:rsidR="00C70938" w:rsidRDefault="00C70938">
      <w:pPr>
        <w:pStyle w:val="TOC9"/>
        <w:rPr>
          <w:noProof/>
          <w:sz w:val="22"/>
        </w:rPr>
      </w:pPr>
      <w:hyperlink w:anchor="_Toc130289142" w:history="1">
        <w:r w:rsidRPr="002B03FB">
          <w:rPr>
            <w:rStyle w:val="Hyperlink"/>
            <w:noProof/>
          </w:rPr>
          <w:t>9.13</w:t>
        </w:r>
        <w:r>
          <w:rPr>
            <w:noProof/>
            <w:sz w:val="22"/>
          </w:rPr>
          <w:tab/>
        </w:r>
        <w:r w:rsidRPr="002B03FB">
          <w:rPr>
            <w:rStyle w:val="Hyperlink"/>
            <w:noProof/>
          </w:rPr>
          <w:t xml:space="preserve">Australian Accounting Standards issued </w:t>
        </w:r>
        <w:r>
          <w:rPr>
            <w:rStyle w:val="Hyperlink"/>
            <w:noProof/>
          </w:rPr>
          <w:br/>
        </w:r>
        <w:r w:rsidRPr="002B03FB">
          <w:rPr>
            <w:rStyle w:val="Hyperlink"/>
            <w:noProof/>
          </w:rPr>
          <w:t>that are not yet effective</w:t>
        </w:r>
        <w:r>
          <w:rPr>
            <w:noProof/>
            <w:webHidden/>
          </w:rPr>
          <w:tab/>
        </w:r>
        <w:r>
          <w:rPr>
            <w:noProof/>
            <w:webHidden/>
          </w:rPr>
          <w:fldChar w:fldCharType="begin"/>
        </w:r>
        <w:r>
          <w:rPr>
            <w:noProof/>
            <w:webHidden/>
          </w:rPr>
          <w:instrText xml:space="preserve"> PAGEREF _Toc130289142 \h </w:instrText>
        </w:r>
        <w:r>
          <w:rPr>
            <w:noProof/>
            <w:webHidden/>
          </w:rPr>
        </w:r>
        <w:r>
          <w:rPr>
            <w:noProof/>
            <w:webHidden/>
          </w:rPr>
          <w:fldChar w:fldCharType="separate"/>
        </w:r>
        <w:r w:rsidR="00D26320">
          <w:rPr>
            <w:noProof/>
            <w:webHidden/>
          </w:rPr>
          <w:t>180</w:t>
        </w:r>
        <w:r>
          <w:rPr>
            <w:noProof/>
            <w:webHidden/>
          </w:rPr>
          <w:fldChar w:fldCharType="end"/>
        </w:r>
      </w:hyperlink>
    </w:p>
    <w:p w14:paraId="5F6600FF" w14:textId="050B8EF9" w:rsidR="00C70938" w:rsidRDefault="00C70938">
      <w:pPr>
        <w:pStyle w:val="TOC9"/>
        <w:rPr>
          <w:noProof/>
          <w:sz w:val="22"/>
        </w:rPr>
      </w:pPr>
      <w:hyperlink w:anchor="_Toc130289143" w:history="1">
        <w:r w:rsidRPr="002B03FB">
          <w:rPr>
            <w:rStyle w:val="Hyperlink"/>
            <w:noProof/>
          </w:rPr>
          <w:t>9.14</w:t>
        </w:r>
        <w:r>
          <w:rPr>
            <w:noProof/>
            <w:sz w:val="22"/>
          </w:rPr>
          <w:tab/>
        </w:r>
        <w:r w:rsidRPr="002B03FB">
          <w:rPr>
            <w:rStyle w:val="Hyperlink"/>
            <w:noProof/>
          </w:rPr>
          <w:t>Glossary of technical terms</w:t>
        </w:r>
        <w:r>
          <w:rPr>
            <w:noProof/>
            <w:webHidden/>
          </w:rPr>
          <w:tab/>
        </w:r>
        <w:r>
          <w:rPr>
            <w:noProof/>
            <w:webHidden/>
          </w:rPr>
          <w:fldChar w:fldCharType="begin"/>
        </w:r>
        <w:r>
          <w:rPr>
            <w:noProof/>
            <w:webHidden/>
          </w:rPr>
          <w:instrText xml:space="preserve"> PAGEREF _Toc130289143 \h </w:instrText>
        </w:r>
        <w:r>
          <w:rPr>
            <w:noProof/>
            <w:webHidden/>
          </w:rPr>
        </w:r>
        <w:r>
          <w:rPr>
            <w:noProof/>
            <w:webHidden/>
          </w:rPr>
          <w:fldChar w:fldCharType="separate"/>
        </w:r>
        <w:r w:rsidR="00D26320">
          <w:rPr>
            <w:noProof/>
            <w:webHidden/>
          </w:rPr>
          <w:t>182</w:t>
        </w:r>
        <w:r>
          <w:rPr>
            <w:noProof/>
            <w:webHidden/>
          </w:rPr>
          <w:fldChar w:fldCharType="end"/>
        </w:r>
      </w:hyperlink>
    </w:p>
    <w:p w14:paraId="6C50D80E" w14:textId="674119D7" w:rsidR="003719CD" w:rsidRDefault="003719CD" w:rsidP="00DC39DE">
      <w:r w:rsidRPr="00940E38">
        <w:fldChar w:fldCharType="end"/>
      </w:r>
    </w:p>
    <w:p w14:paraId="747D8034" w14:textId="77777777" w:rsidR="003719CD" w:rsidRDefault="003719CD" w:rsidP="00DC39DE">
      <w:pPr>
        <w:sectPr w:rsidR="003719CD" w:rsidSect="006E0E99">
          <w:type w:val="continuous"/>
          <w:pgSz w:w="11906" w:h="16838" w:code="9"/>
          <w:pgMar w:top="1134" w:right="1134" w:bottom="1134" w:left="1134" w:header="624" w:footer="567" w:gutter="0"/>
          <w:cols w:num="2" w:space="708"/>
          <w:titlePg/>
          <w:docGrid w:linePitch="360"/>
        </w:sectPr>
      </w:pPr>
    </w:p>
    <w:p w14:paraId="5517A3B6" w14:textId="77777777" w:rsidR="00BD3823" w:rsidRDefault="00BD3823" w:rsidP="00BD3823">
      <w:bookmarkStart w:id="129" w:name="INDEX_ExGratia"/>
      <w:bookmarkStart w:id="130" w:name="_Toc64983176"/>
      <w:bookmarkStart w:id="131" w:name="Section_9"/>
      <w:bookmarkEnd w:id="129"/>
    </w:p>
    <w:p w14:paraId="2231D2DA" w14:textId="397B9533" w:rsidR="003719CD" w:rsidRDefault="003719CD" w:rsidP="007762BE">
      <w:pPr>
        <w:pStyle w:val="Heading2numbered"/>
      </w:pPr>
      <w:bookmarkStart w:id="132" w:name="_Toc130226007"/>
      <w:bookmarkStart w:id="133" w:name="_Toc130289130"/>
      <w:bookmarkStart w:id="134" w:name="_Toc96709983"/>
      <w:r>
        <w:t xml:space="preserve">Ex gratia expenses </w:t>
      </w:r>
      <w:r w:rsidRPr="00B00B61">
        <w:rPr>
          <w:vertAlign w:val="superscript"/>
        </w:rPr>
        <w:t>(a)</w:t>
      </w:r>
      <w:bookmarkEnd w:id="130"/>
      <w:bookmarkEnd w:id="132"/>
      <w:bookmarkEnd w:id="133"/>
      <w:bookmarkEnd w:id="134"/>
    </w:p>
    <w:p w14:paraId="6C72BD93" w14:textId="37A792DA" w:rsidR="003719CD" w:rsidRDefault="003719CD" w:rsidP="00DC39DE">
      <w:r>
        <w:t xml:space="preserve">Ex gratia expenses are the voluntary payments of money or other non-monetary benefit (e.g. a write off) that </w:t>
      </w:r>
      <w:r w:rsidR="00532856">
        <w:t xml:space="preserve">are </w:t>
      </w:r>
      <w:r>
        <w:t>not made either to acquire goods, services or other benefits for the entity or to meet a legal liability, or to settle or resolve a possible legal liability of or claim against the entity.</w:t>
      </w:r>
    </w:p>
    <w:p w14:paraId="08DF9C1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E5675C" w14:paraId="357B2B75" w14:textId="77777777" w:rsidTr="00E5675C">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47175FA1" w14:textId="77777777" w:rsidR="00E5675C" w:rsidRDefault="00E5675C" w:rsidP="00E5675C">
            <w:pPr>
              <w:keepNext/>
              <w:jc w:val="left"/>
            </w:pPr>
            <w:r>
              <w:rPr>
                <w:color w:val="4472C4"/>
                <w:sz w:val="13"/>
              </w:rPr>
              <w:t>Source reference</w:t>
            </w:r>
          </w:p>
        </w:tc>
        <w:tc>
          <w:tcPr>
            <w:tcW w:w="6558" w:type="dxa"/>
          </w:tcPr>
          <w:p w14:paraId="66BC8E09" w14:textId="77777777" w:rsidR="00E5675C" w:rsidRDefault="00E5675C" w:rsidP="00E5675C">
            <w:pPr>
              <w:keepNext/>
              <w:jc w:val="left"/>
            </w:pPr>
          </w:p>
        </w:tc>
        <w:tc>
          <w:tcPr>
            <w:tcW w:w="866" w:type="dxa"/>
          </w:tcPr>
          <w:p w14:paraId="6AA1D458" w14:textId="15F548FB" w:rsidR="00E5675C" w:rsidRPr="00E5675C" w:rsidRDefault="00E5675C" w:rsidP="00E5675C">
            <w:pPr>
              <w:keepNext/>
              <w:rPr>
                <w:iCs/>
              </w:rPr>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866" w:type="dxa"/>
          </w:tcPr>
          <w:p w14:paraId="5D5C3572" w14:textId="00A03658" w:rsidR="00E5675C" w:rsidRPr="00E5675C" w:rsidRDefault="00E5675C" w:rsidP="00E5675C">
            <w:pPr>
              <w:keepNext/>
              <w:rPr>
                <w:iCs/>
              </w:rPr>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182709" w14:paraId="0B74A32C" w14:textId="77777777" w:rsidTr="00E5675C">
        <w:tc>
          <w:tcPr>
            <w:tcW w:w="1349" w:type="dxa"/>
          </w:tcPr>
          <w:p w14:paraId="513F0790" w14:textId="77777777" w:rsidR="00182709" w:rsidRDefault="00182709">
            <w:pPr>
              <w:jc w:val="left"/>
            </w:pPr>
          </w:p>
        </w:tc>
        <w:tc>
          <w:tcPr>
            <w:tcW w:w="6558" w:type="dxa"/>
          </w:tcPr>
          <w:p w14:paraId="7A11F3E7" w14:textId="77777777" w:rsidR="00182709" w:rsidRDefault="0044097C">
            <w:pPr>
              <w:jc w:val="left"/>
            </w:pPr>
            <w:r>
              <w:t xml:space="preserve">Forgiveness or waiver of debt </w:t>
            </w:r>
            <w:r>
              <w:rPr>
                <w:vertAlign w:val="superscript"/>
              </w:rPr>
              <w:t>(b)</w:t>
            </w:r>
          </w:p>
        </w:tc>
        <w:tc>
          <w:tcPr>
            <w:tcW w:w="866" w:type="dxa"/>
          </w:tcPr>
          <w:p w14:paraId="1DC6E7E5" w14:textId="77777777" w:rsidR="00182709" w:rsidRDefault="0044097C">
            <w:r>
              <w:t>100</w:t>
            </w:r>
          </w:p>
        </w:tc>
        <w:tc>
          <w:tcPr>
            <w:tcW w:w="866" w:type="dxa"/>
          </w:tcPr>
          <w:p w14:paraId="72BB0325" w14:textId="77777777" w:rsidR="00182709" w:rsidRDefault="0044097C">
            <w:r>
              <w:t>..</w:t>
            </w:r>
          </w:p>
        </w:tc>
      </w:tr>
      <w:tr w:rsidR="00182709" w14:paraId="18FB36D8" w14:textId="77777777" w:rsidTr="00E5675C">
        <w:tc>
          <w:tcPr>
            <w:tcW w:w="1349" w:type="dxa"/>
          </w:tcPr>
          <w:p w14:paraId="14A484DC" w14:textId="77777777" w:rsidR="00182709" w:rsidRDefault="00182709">
            <w:pPr>
              <w:jc w:val="left"/>
            </w:pPr>
          </w:p>
        </w:tc>
        <w:tc>
          <w:tcPr>
            <w:tcW w:w="6558" w:type="dxa"/>
          </w:tcPr>
          <w:p w14:paraId="0689B668" w14:textId="77777777" w:rsidR="00182709" w:rsidRDefault="0044097C">
            <w:pPr>
              <w:jc w:val="left"/>
            </w:pPr>
            <w:r>
              <w:t xml:space="preserve">Compensation for economic loss </w:t>
            </w:r>
            <w:r>
              <w:rPr>
                <w:vertAlign w:val="superscript"/>
              </w:rPr>
              <w:t>(c)</w:t>
            </w:r>
          </w:p>
        </w:tc>
        <w:tc>
          <w:tcPr>
            <w:tcW w:w="866" w:type="dxa"/>
          </w:tcPr>
          <w:p w14:paraId="6C275605" w14:textId="77777777" w:rsidR="00182709" w:rsidRDefault="0044097C">
            <w:r>
              <w:t>56</w:t>
            </w:r>
          </w:p>
        </w:tc>
        <w:tc>
          <w:tcPr>
            <w:tcW w:w="866" w:type="dxa"/>
          </w:tcPr>
          <w:p w14:paraId="3C1BFE65" w14:textId="77777777" w:rsidR="00182709" w:rsidRDefault="0044097C">
            <w:r>
              <w:t>..</w:t>
            </w:r>
          </w:p>
        </w:tc>
      </w:tr>
      <w:tr w:rsidR="00182709" w14:paraId="133A1166" w14:textId="77777777" w:rsidTr="00E5675C">
        <w:tc>
          <w:tcPr>
            <w:tcW w:w="1349" w:type="dxa"/>
          </w:tcPr>
          <w:p w14:paraId="7873C140" w14:textId="77777777" w:rsidR="00182709" w:rsidRDefault="00182709">
            <w:pPr>
              <w:jc w:val="left"/>
            </w:pPr>
          </w:p>
        </w:tc>
        <w:tc>
          <w:tcPr>
            <w:tcW w:w="6558" w:type="dxa"/>
            <w:tcBorders>
              <w:bottom w:val="single" w:sz="12" w:space="0" w:color="auto"/>
            </w:tcBorders>
          </w:tcPr>
          <w:p w14:paraId="0BC9AAB7" w14:textId="77777777" w:rsidR="00182709" w:rsidRDefault="0044097C">
            <w:pPr>
              <w:jc w:val="left"/>
            </w:pPr>
            <w:r>
              <w:t xml:space="preserve">Property damage payments </w:t>
            </w:r>
            <w:r>
              <w:rPr>
                <w:vertAlign w:val="superscript"/>
              </w:rPr>
              <w:t>(d)</w:t>
            </w:r>
          </w:p>
        </w:tc>
        <w:tc>
          <w:tcPr>
            <w:tcW w:w="866" w:type="dxa"/>
            <w:tcBorders>
              <w:bottom w:val="single" w:sz="12" w:space="0" w:color="auto"/>
            </w:tcBorders>
          </w:tcPr>
          <w:p w14:paraId="52A6E8B3" w14:textId="77777777" w:rsidR="00182709" w:rsidRDefault="0044097C">
            <w:r>
              <w:t>..</w:t>
            </w:r>
          </w:p>
        </w:tc>
        <w:tc>
          <w:tcPr>
            <w:tcW w:w="866" w:type="dxa"/>
            <w:tcBorders>
              <w:bottom w:val="single" w:sz="12" w:space="0" w:color="auto"/>
            </w:tcBorders>
          </w:tcPr>
          <w:p w14:paraId="6839FA09" w14:textId="77777777" w:rsidR="00182709" w:rsidRDefault="0044097C">
            <w:r>
              <w:t>16</w:t>
            </w:r>
          </w:p>
        </w:tc>
      </w:tr>
      <w:tr w:rsidR="00671D55" w14:paraId="13EA0DC9" w14:textId="77777777" w:rsidTr="00E5675C">
        <w:tc>
          <w:tcPr>
            <w:tcW w:w="1349" w:type="dxa"/>
            <w:tcBorders>
              <w:bottom w:val="nil"/>
            </w:tcBorders>
          </w:tcPr>
          <w:p w14:paraId="35BA3FA3" w14:textId="74ECF1AA" w:rsidR="00182709" w:rsidRPr="00A910AD" w:rsidRDefault="0044097C">
            <w:pPr>
              <w:jc w:val="left"/>
              <w:rPr>
                <w:color w:val="4472C4" w:themeColor="accent1"/>
                <w:sz w:val="13"/>
                <w:szCs w:val="13"/>
              </w:rPr>
            </w:pPr>
            <w:r w:rsidRPr="00A910AD">
              <w:rPr>
                <w:color w:val="4472C4" w:themeColor="accent1"/>
                <w:sz w:val="13"/>
                <w:szCs w:val="13"/>
              </w:rPr>
              <w:t xml:space="preserve">FRD </w:t>
            </w:r>
            <w:r w:rsidRPr="00A910AD">
              <w:rPr>
                <w:color w:val="4472C4"/>
                <w:sz w:val="13"/>
              </w:rPr>
              <w:t>11</w:t>
            </w:r>
          </w:p>
        </w:tc>
        <w:tc>
          <w:tcPr>
            <w:tcW w:w="6558" w:type="dxa"/>
          </w:tcPr>
          <w:p w14:paraId="452811ED" w14:textId="77777777" w:rsidR="00182709" w:rsidRDefault="0044097C">
            <w:pPr>
              <w:jc w:val="left"/>
            </w:pPr>
            <w:r>
              <w:rPr>
                <w:b/>
              </w:rPr>
              <w:t xml:space="preserve">Total ex gratia expenses </w:t>
            </w:r>
            <w:r>
              <w:rPr>
                <w:b/>
                <w:vertAlign w:val="superscript"/>
              </w:rPr>
              <w:t>(e)</w:t>
            </w:r>
          </w:p>
        </w:tc>
        <w:tc>
          <w:tcPr>
            <w:tcW w:w="866" w:type="dxa"/>
          </w:tcPr>
          <w:p w14:paraId="2D449667" w14:textId="77777777" w:rsidR="00182709" w:rsidRDefault="0044097C">
            <w:r>
              <w:rPr>
                <w:b/>
              </w:rPr>
              <w:t>156</w:t>
            </w:r>
          </w:p>
        </w:tc>
        <w:tc>
          <w:tcPr>
            <w:tcW w:w="866" w:type="dxa"/>
          </w:tcPr>
          <w:p w14:paraId="3B4AB713" w14:textId="77777777" w:rsidR="00182709" w:rsidRDefault="0044097C">
            <w:r>
              <w:rPr>
                <w:b/>
              </w:rPr>
              <w:t>16</w:t>
            </w:r>
          </w:p>
        </w:tc>
      </w:tr>
    </w:tbl>
    <w:p w14:paraId="3789D6E5" w14:textId="77777777" w:rsidR="003719CD" w:rsidRDefault="003719CD" w:rsidP="007D536F">
      <w:pPr>
        <w:pStyle w:val="Note"/>
      </w:pPr>
      <w:r>
        <w:t>Notes:</w:t>
      </w:r>
    </w:p>
    <w:p w14:paraId="3E05D5ED" w14:textId="77777777" w:rsidR="003719CD" w:rsidRDefault="003719CD" w:rsidP="007D536F">
      <w:pPr>
        <w:pStyle w:val="Note"/>
      </w:pPr>
      <w:r>
        <w:t>(a)</w:t>
      </w:r>
      <w:r>
        <w:tab/>
        <w:t>Includes ex gratia expenses for both individual items and in aggregate that are greater than or equal to $5 000.</w:t>
      </w:r>
    </w:p>
    <w:p w14:paraId="00ECAA8F" w14:textId="77777777" w:rsidR="003719CD" w:rsidRPr="00F9021B" w:rsidRDefault="003719CD" w:rsidP="007D536F">
      <w:pPr>
        <w:pStyle w:val="Note"/>
        <w:rPr>
          <w:rStyle w:val="Guidance"/>
        </w:rPr>
      </w:pPr>
      <w:r>
        <w:t>(b)</w:t>
      </w:r>
      <w:r>
        <w:tab/>
        <w:t xml:space="preserve">Forgiveness of loans to several organisations under the ‘Upgrade Your Technology’ program, due to excessive hardship from severe flood damage in March </w:t>
      </w:r>
      <w:r w:rsidRPr="00F9021B">
        <w:rPr>
          <w:rStyle w:val="Guidance"/>
        </w:rPr>
        <w:t>[Refer to Guidance – Ex gratia expenses for more guidance on write offs.]</w:t>
      </w:r>
    </w:p>
    <w:p w14:paraId="1257F20A" w14:textId="77777777" w:rsidR="003719CD" w:rsidRDefault="003719CD" w:rsidP="007D536F">
      <w:pPr>
        <w:pStyle w:val="Note"/>
      </w:pPr>
      <w:r>
        <w:t>(c)</w:t>
      </w:r>
      <w:r>
        <w:tab/>
        <w:t>Payment to a commercial fishing operator who assisted authorities in a sea search and rescue.</w:t>
      </w:r>
    </w:p>
    <w:p w14:paraId="52ED250D" w14:textId="77777777" w:rsidR="003719CD" w:rsidRDefault="003719CD" w:rsidP="007D536F">
      <w:pPr>
        <w:pStyle w:val="Note"/>
      </w:pPr>
      <w:r>
        <w:t>(d)</w:t>
      </w:r>
      <w:r>
        <w:tab/>
        <w:t>Payments for water damage to properties adjacent to the Victorian Highway site due to burst pipes in the March storms (not being in settlement of a legal liability).</w:t>
      </w:r>
    </w:p>
    <w:p w14:paraId="6EB34AA2" w14:textId="14B1548B" w:rsidR="003719CD" w:rsidRDefault="003719CD" w:rsidP="007D536F">
      <w:pPr>
        <w:pStyle w:val="Note"/>
      </w:pPr>
      <w:r>
        <w:t>(e)</w:t>
      </w:r>
      <w:r>
        <w:tab/>
        <w:t>The total for ex gratia expenses is also presented in ‘other operating expenses’ of Note 3.</w:t>
      </w:r>
      <w:r w:rsidR="008F49C2">
        <w:t>3</w:t>
      </w:r>
      <w:r>
        <w:t xml:space="preserve"> Other operating expenses.</w:t>
      </w:r>
    </w:p>
    <w:p w14:paraId="7E70F111" w14:textId="32B98E96" w:rsidR="003719CD" w:rsidRPr="00B00B61" w:rsidRDefault="003719CD" w:rsidP="007D536F">
      <w:pPr>
        <w:pStyle w:val="GuidanceBlockHeading"/>
      </w:pPr>
      <w:r w:rsidRPr="00B00B61">
        <w:t>Guidance – Ex gratia expenses [FRD 11; FMA s3]</w:t>
      </w:r>
    </w:p>
    <w:p w14:paraId="4DDD25AA" w14:textId="77777777" w:rsidR="003719CD" w:rsidRPr="00B00B61" w:rsidRDefault="003719CD" w:rsidP="007D536F">
      <w:pPr>
        <w:rPr>
          <w:rStyle w:val="Guidance"/>
        </w:rPr>
      </w:pPr>
      <w:r w:rsidRPr="00B00B61">
        <w:rPr>
          <w:rStyle w:val="Guidance"/>
        </w:rPr>
        <w:t xml:space="preserve">The disclosure of ex gratia expenses is required for all entities that are defined as either a public body or a department under section 3 of the </w:t>
      </w:r>
      <w:r w:rsidRPr="00B00B61">
        <w:rPr>
          <w:rStyle w:val="Guidance"/>
          <w:i/>
          <w:iCs/>
        </w:rPr>
        <w:t>Financial Management Act 1994</w:t>
      </w:r>
      <w:r w:rsidRPr="00B00B61">
        <w:rPr>
          <w:rStyle w:val="Guidance"/>
        </w:rPr>
        <w:t>. Public bodies include the following:</w:t>
      </w:r>
    </w:p>
    <w:p w14:paraId="37FADAC7" w14:textId="06E38F12" w:rsidR="003719CD" w:rsidRPr="00B00B61" w:rsidRDefault="00013FF2" w:rsidP="00310F12">
      <w:pPr>
        <w:pStyle w:val="ListBullet"/>
        <w:rPr>
          <w:rStyle w:val="Guidance"/>
        </w:rPr>
      </w:pPr>
      <w:r>
        <w:rPr>
          <w:rStyle w:val="Guidance"/>
        </w:rPr>
        <w:t>P</w:t>
      </w:r>
      <w:r w:rsidR="003719CD" w:rsidRPr="00B00B61">
        <w:rPr>
          <w:rStyle w:val="Guidance"/>
        </w:rPr>
        <w:t>ublic statutory authority</w:t>
      </w:r>
    </w:p>
    <w:p w14:paraId="2DA7CCFA" w14:textId="62F450EC" w:rsidR="003719CD" w:rsidRPr="00B00B61" w:rsidRDefault="00013FF2" w:rsidP="00310F12">
      <w:pPr>
        <w:pStyle w:val="ListBullet"/>
        <w:rPr>
          <w:rStyle w:val="Guidance"/>
        </w:rPr>
      </w:pPr>
      <w:r>
        <w:rPr>
          <w:rStyle w:val="Guidance"/>
        </w:rPr>
        <w:t>A</w:t>
      </w:r>
      <w:r w:rsidR="003719CD" w:rsidRPr="00B00B61">
        <w:rPr>
          <w:rStyle w:val="Guidance"/>
        </w:rPr>
        <w:t xml:space="preserve"> State business corporation or State body within the meaning of the </w:t>
      </w:r>
      <w:r w:rsidR="003719CD" w:rsidRPr="00B00B61">
        <w:rPr>
          <w:rStyle w:val="Guidance"/>
          <w:i/>
          <w:iCs/>
        </w:rPr>
        <w:t>State Owned Enterprises Act 1992</w:t>
      </w:r>
    </w:p>
    <w:p w14:paraId="196F4DA4" w14:textId="082D2D90" w:rsidR="003719CD" w:rsidRPr="00B00B61" w:rsidRDefault="003719CD" w:rsidP="00310F12">
      <w:pPr>
        <w:pStyle w:val="ListBullet"/>
        <w:rPr>
          <w:rStyle w:val="Guidance"/>
        </w:rPr>
      </w:pPr>
      <w:r w:rsidRPr="00B00B61">
        <w:rPr>
          <w:rStyle w:val="Guidance"/>
        </w:rPr>
        <w:t>Court Services Victoria</w:t>
      </w:r>
    </w:p>
    <w:p w14:paraId="5E02569B" w14:textId="51D14E17" w:rsidR="003719CD" w:rsidRPr="00B00B61" w:rsidRDefault="00013FF2" w:rsidP="00310F12">
      <w:pPr>
        <w:pStyle w:val="ListBullet"/>
        <w:rPr>
          <w:rStyle w:val="Guidance"/>
        </w:rPr>
      </w:pPr>
      <w:r>
        <w:rPr>
          <w:rStyle w:val="Guidance"/>
        </w:rPr>
        <w:t>A</w:t>
      </w:r>
      <w:r w:rsidR="003719CD" w:rsidRPr="00B00B61">
        <w:rPr>
          <w:rStyle w:val="Guidance"/>
        </w:rPr>
        <w:t xml:space="preserve"> body, office or trust body that is:</w:t>
      </w:r>
    </w:p>
    <w:p w14:paraId="1AC163D5" w14:textId="4839A7FB" w:rsidR="003719CD" w:rsidRPr="00B00B61" w:rsidRDefault="003719CD" w:rsidP="00C42033">
      <w:pPr>
        <w:pStyle w:val="ListBullet2"/>
        <w:rPr>
          <w:rStyle w:val="Guidance"/>
        </w:rPr>
      </w:pPr>
      <w:r w:rsidRPr="00B00B61">
        <w:rPr>
          <w:rStyle w:val="Guidance"/>
        </w:rPr>
        <w:t>established by or under an Act or enactment</w:t>
      </w:r>
    </w:p>
    <w:p w14:paraId="081FAEF6" w14:textId="4F7CCC38" w:rsidR="003719CD" w:rsidRDefault="003719CD" w:rsidP="00C42033">
      <w:pPr>
        <w:pStyle w:val="ListBullet2"/>
        <w:rPr>
          <w:rStyle w:val="Guidance"/>
        </w:rPr>
      </w:pPr>
      <w:r w:rsidRPr="00B00B61">
        <w:rPr>
          <w:rStyle w:val="Guidance"/>
        </w:rPr>
        <w:t>established by the Governor in Council or a Minister</w:t>
      </w:r>
    </w:p>
    <w:p w14:paraId="01B36A4C" w14:textId="094660CA" w:rsidR="00CF11AB" w:rsidRPr="00B00B61" w:rsidRDefault="00CF11AB" w:rsidP="00CF11AB">
      <w:pPr>
        <w:pStyle w:val="ListBullet2"/>
        <w:rPr>
          <w:rStyle w:val="Guidance"/>
        </w:rPr>
      </w:pPr>
      <w:r w:rsidRPr="00CF11AB">
        <w:rPr>
          <w:rStyle w:val="Guidance"/>
        </w:rPr>
        <w:t xml:space="preserve">declared by the Minister, by notice published in the Government Gazette, to be a body or office to which Part 7 of </w:t>
      </w:r>
      <w:r w:rsidRPr="00432865">
        <w:rPr>
          <w:rStyle w:val="Guidance"/>
          <w:i/>
          <w:iCs/>
        </w:rPr>
        <w:t>Financial Management Act 1994</w:t>
      </w:r>
      <w:r w:rsidRPr="00CF11AB">
        <w:rPr>
          <w:rStyle w:val="Guidance"/>
        </w:rPr>
        <w:t xml:space="preserve"> applies.</w:t>
      </w:r>
    </w:p>
    <w:p w14:paraId="6BCD7631" w14:textId="77777777" w:rsidR="003719CD" w:rsidRPr="00B00B61" w:rsidRDefault="003719CD" w:rsidP="007D536F">
      <w:pPr>
        <w:rPr>
          <w:rStyle w:val="Guidance"/>
        </w:rPr>
      </w:pPr>
      <w:r w:rsidRPr="00B00B61">
        <w:rPr>
          <w:rStyle w:val="Guidance"/>
        </w:rPr>
        <w:t>Departments should include information on ex gratia expenses (greater or equal to $5 000 or material in nature) with a description of the nature and purpose of the expenses, together with amounts written off that are considered as ex gratia expenses.</w:t>
      </w:r>
    </w:p>
    <w:p w14:paraId="443C34CE" w14:textId="77777777" w:rsidR="003719CD" w:rsidRPr="00B00B61" w:rsidRDefault="003719CD" w:rsidP="007D536F">
      <w:pPr>
        <w:pStyle w:val="GuidanceHeading"/>
        <w:rPr>
          <w:rStyle w:val="Guidance"/>
        </w:rPr>
      </w:pPr>
      <w:r w:rsidRPr="00B00B61">
        <w:rPr>
          <w:rStyle w:val="Guidance"/>
        </w:rPr>
        <w:t xml:space="preserve">Materiality threshold of $5 000 for ex gratia expenses disclosure </w:t>
      </w:r>
    </w:p>
    <w:p w14:paraId="54C2982E" w14:textId="77777777" w:rsidR="003719CD" w:rsidRPr="00B00B61" w:rsidRDefault="003719CD" w:rsidP="007D536F">
      <w:pPr>
        <w:rPr>
          <w:rStyle w:val="Guidance"/>
        </w:rPr>
      </w:pPr>
      <w:r w:rsidRPr="00B00B61">
        <w:rPr>
          <w:rStyle w:val="Guidance"/>
        </w:rPr>
        <w:t>An entity shall apply the ex gratia expenses materiality threshold of $5 000 to both individual items and in aggregate, unless there are factors (e.g. material by nature) that make an expense item of less than $5 000 material in the circumstances.</w:t>
      </w:r>
    </w:p>
    <w:p w14:paraId="4854F247" w14:textId="77777777" w:rsidR="003719CD" w:rsidRPr="00B00B61" w:rsidRDefault="003719CD" w:rsidP="007D536F">
      <w:pPr>
        <w:pStyle w:val="GuidanceHeading"/>
        <w:rPr>
          <w:rStyle w:val="Guidance"/>
        </w:rPr>
      </w:pPr>
      <w:r w:rsidRPr="00B00B61">
        <w:rPr>
          <w:rStyle w:val="Guidance"/>
        </w:rPr>
        <w:t>Write offs captured as ex gratia expenses</w:t>
      </w:r>
    </w:p>
    <w:p w14:paraId="7DDF7843" w14:textId="00074304" w:rsidR="003719CD" w:rsidRPr="00B00B61" w:rsidRDefault="003719CD" w:rsidP="007D536F">
      <w:pPr>
        <w:rPr>
          <w:rStyle w:val="Guidance"/>
        </w:rPr>
      </w:pPr>
      <w:r w:rsidRPr="00B00B61">
        <w:rPr>
          <w:rStyle w:val="Guidance"/>
        </w:rPr>
        <w:t xml:space="preserve">To determine whether a write off meets the scope of ‘ex gratia’ under FRD 11 </w:t>
      </w:r>
      <w:r w:rsidRPr="00B00B61">
        <w:rPr>
          <w:rStyle w:val="Guidance"/>
          <w:i/>
          <w:iCs/>
        </w:rPr>
        <w:t>Disclosure of ex-gratia expenses</w:t>
      </w:r>
      <w:r w:rsidRPr="00B00B61">
        <w:rPr>
          <w:rStyle w:val="Guidance"/>
        </w:rPr>
        <w:t>, it is important to understand the underlying purpose of the write off.</w:t>
      </w:r>
    </w:p>
    <w:p w14:paraId="0115A6D1" w14:textId="77777777" w:rsidR="003719CD" w:rsidRPr="00B00B61" w:rsidRDefault="003719CD" w:rsidP="007D536F">
      <w:pPr>
        <w:rPr>
          <w:rStyle w:val="Guidance"/>
        </w:rPr>
      </w:pPr>
      <w:r w:rsidRPr="00B00B61">
        <w:rPr>
          <w:rStyle w:val="Guidance"/>
        </w:rPr>
        <w:t xml:space="preserve">For trade receivable write offs, while the reduction in economic benefits (i.e. receivable) is driven by AASB 136 </w:t>
      </w:r>
      <w:r w:rsidRPr="00B00B61">
        <w:rPr>
          <w:rStyle w:val="Guidance"/>
          <w:i/>
          <w:iCs/>
        </w:rPr>
        <w:t>Impairment of Assets</w:t>
      </w:r>
      <w:r w:rsidRPr="00B00B61">
        <w:rPr>
          <w:rStyle w:val="Guidance"/>
        </w:rPr>
        <w:t xml:space="preserve">, the entity needs to consider whether there is still an intention to pursue the recovery of the receivables from the customer. </w:t>
      </w:r>
    </w:p>
    <w:p w14:paraId="36AD58CC" w14:textId="77777777" w:rsidR="003719CD" w:rsidRPr="00B00B61" w:rsidRDefault="003719CD" w:rsidP="007D536F">
      <w:pPr>
        <w:rPr>
          <w:rStyle w:val="Guidance"/>
        </w:rPr>
      </w:pPr>
      <w:r w:rsidRPr="00B00B61">
        <w:rPr>
          <w:rStyle w:val="Guidance"/>
        </w:rPr>
        <w:t xml:space="preserve">If the entity writes off a trade receivable but still has and intends to keep the legal entitlement to payment for services rendered, a write off to debtors under such circumstances does not equate to a waiver of the debt. In this instance, trade receivable write offs would not be considered as ‘ex gratia’ expenses. </w:t>
      </w:r>
    </w:p>
    <w:p w14:paraId="33345EC8" w14:textId="31A29D09" w:rsidR="003719CD" w:rsidRPr="00B00B61" w:rsidRDefault="003719CD" w:rsidP="007D536F">
      <w:pPr>
        <w:rPr>
          <w:rStyle w:val="Guidance"/>
        </w:rPr>
      </w:pPr>
      <w:r w:rsidRPr="00B00B61">
        <w:rPr>
          <w:rStyle w:val="Guidance"/>
        </w:rPr>
        <w:t>Conversely, if the entity has voluntarily decided to waive the legal entitlement to the payment, it is reasonable to consider this as a ‘benefit’ to the debtor, and therefore such a write off should be disclosed as ‘ex gratia’ expenses for reporting purposes under FRD 11.</w:t>
      </w:r>
    </w:p>
    <w:p w14:paraId="7B24E755" w14:textId="77777777" w:rsidR="003719CD" w:rsidRDefault="003719CD" w:rsidP="007D536F">
      <w:pPr>
        <w:pStyle w:val="GuidanceEnd"/>
      </w:pPr>
    </w:p>
    <w:p w14:paraId="0E15B2B5" w14:textId="4C7710B1" w:rsidR="003719CD" w:rsidRDefault="003719CD" w:rsidP="007762BE">
      <w:pPr>
        <w:pStyle w:val="Heading2numbered"/>
      </w:pPr>
      <w:bookmarkStart w:id="135" w:name="_Toc64983177"/>
      <w:bookmarkStart w:id="136" w:name="_Toc130226008"/>
      <w:bookmarkStart w:id="137" w:name="_Toc130289131"/>
      <w:bookmarkStart w:id="138" w:name="_Toc96709984"/>
      <w:r>
        <w:lastRenderedPageBreak/>
        <w:t>Other economic flows included in net result</w:t>
      </w:r>
      <w:bookmarkEnd w:id="135"/>
      <w:bookmarkEnd w:id="136"/>
      <w:bookmarkEnd w:id="137"/>
      <w:bookmarkEnd w:id="138"/>
    </w:p>
    <w:p w14:paraId="71756F84" w14:textId="77777777" w:rsidR="003719CD" w:rsidRDefault="003719CD" w:rsidP="00DC39DE">
      <w:r>
        <w:t>Other economic flows are changes in the volume or value of an asset or liability that do not result from transactions. Other gains/(losses) from other economic flows include the gains or losses from:</w:t>
      </w:r>
    </w:p>
    <w:p w14:paraId="414409C6" w14:textId="466F3F08" w:rsidR="003719CD" w:rsidRDefault="003719CD" w:rsidP="00310F12">
      <w:pPr>
        <w:pStyle w:val="ListBullet"/>
      </w:pPr>
      <w:r>
        <w:t>the revaluation of the present value of the long service leave liability due to changes in the bond interest rates</w:t>
      </w:r>
    </w:p>
    <w:p w14:paraId="6A37BD48" w14:textId="77777777" w:rsidR="003719CD" w:rsidRDefault="003719CD" w:rsidP="00310F12">
      <w:pPr>
        <w:pStyle w:val="ListBullet"/>
      </w:pPr>
      <w:r>
        <w:t>reclassified amounts relating to available-for-sale financial instruments from the reserves to net result due to a disposal or derecognition of the financial instrument. This does not include reclassification between equity accounts due to machinery of government changes or ‘other transfers’ of assets.</w:t>
      </w:r>
    </w:p>
    <w:p w14:paraId="77655084"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E5675C" w14:paraId="7D8B8847" w14:textId="77777777" w:rsidTr="00E5675C">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017B6151" w14:textId="77777777" w:rsidR="00E5675C" w:rsidRDefault="00E5675C" w:rsidP="00E5675C">
            <w:pPr>
              <w:keepNext/>
              <w:jc w:val="left"/>
            </w:pPr>
            <w:r>
              <w:rPr>
                <w:color w:val="4472C4"/>
                <w:sz w:val="13"/>
              </w:rPr>
              <w:t>Source reference</w:t>
            </w:r>
          </w:p>
        </w:tc>
        <w:tc>
          <w:tcPr>
            <w:tcW w:w="6558" w:type="dxa"/>
          </w:tcPr>
          <w:p w14:paraId="75510417" w14:textId="77777777" w:rsidR="00E5675C" w:rsidRDefault="00E5675C" w:rsidP="00E5675C">
            <w:pPr>
              <w:keepNext/>
              <w:jc w:val="left"/>
            </w:pPr>
          </w:p>
        </w:tc>
        <w:tc>
          <w:tcPr>
            <w:tcW w:w="866" w:type="dxa"/>
          </w:tcPr>
          <w:p w14:paraId="4016D1E1" w14:textId="5D706734" w:rsidR="00E5675C" w:rsidRPr="00E5675C" w:rsidRDefault="00E5675C" w:rsidP="00E5675C">
            <w:pPr>
              <w:keepNext/>
              <w:rPr>
                <w:iCs/>
              </w:rPr>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866" w:type="dxa"/>
          </w:tcPr>
          <w:p w14:paraId="467E7CEE" w14:textId="35DEB880" w:rsidR="00E5675C" w:rsidRPr="00E5675C" w:rsidRDefault="00E5675C" w:rsidP="00E5675C">
            <w:pPr>
              <w:keepNext/>
              <w:rPr>
                <w:iCs/>
              </w:rPr>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182709" w14:paraId="65B3DB8B" w14:textId="77777777" w:rsidTr="00E5675C">
        <w:tc>
          <w:tcPr>
            <w:tcW w:w="1349" w:type="dxa"/>
          </w:tcPr>
          <w:p w14:paraId="6CF8197B" w14:textId="77777777" w:rsidR="00182709" w:rsidRDefault="0044097C">
            <w:pPr>
              <w:jc w:val="left"/>
            </w:pPr>
            <w:r>
              <w:rPr>
                <w:color w:val="4472C4"/>
                <w:sz w:val="13"/>
              </w:rPr>
              <w:t>AASB 101.97</w:t>
            </w:r>
          </w:p>
        </w:tc>
        <w:tc>
          <w:tcPr>
            <w:tcW w:w="6558" w:type="dxa"/>
          </w:tcPr>
          <w:p w14:paraId="04F6701C" w14:textId="77777777" w:rsidR="00182709" w:rsidRDefault="0044097C">
            <w:pPr>
              <w:jc w:val="left"/>
            </w:pPr>
            <w:r>
              <w:rPr>
                <w:b/>
              </w:rPr>
              <w:t>Net gain/(loss) on non‑financial assets</w:t>
            </w:r>
          </w:p>
        </w:tc>
        <w:tc>
          <w:tcPr>
            <w:tcW w:w="866" w:type="dxa"/>
          </w:tcPr>
          <w:p w14:paraId="7D378F5A" w14:textId="77777777" w:rsidR="00182709" w:rsidRDefault="00182709"/>
        </w:tc>
        <w:tc>
          <w:tcPr>
            <w:tcW w:w="866" w:type="dxa"/>
          </w:tcPr>
          <w:p w14:paraId="57835DD7" w14:textId="77777777" w:rsidR="00182709" w:rsidRDefault="00182709"/>
        </w:tc>
      </w:tr>
      <w:tr w:rsidR="00182709" w14:paraId="1F55764C" w14:textId="77777777" w:rsidTr="00E5675C">
        <w:tc>
          <w:tcPr>
            <w:tcW w:w="1349" w:type="dxa"/>
          </w:tcPr>
          <w:p w14:paraId="3FFA468D" w14:textId="77777777" w:rsidR="00182709" w:rsidRDefault="0044097C">
            <w:pPr>
              <w:jc w:val="left"/>
            </w:pPr>
            <w:r>
              <w:rPr>
                <w:color w:val="4472C4"/>
                <w:sz w:val="13"/>
              </w:rPr>
              <w:t>AASB 136.126 (a)</w:t>
            </w:r>
          </w:p>
        </w:tc>
        <w:tc>
          <w:tcPr>
            <w:tcW w:w="6558" w:type="dxa"/>
          </w:tcPr>
          <w:p w14:paraId="7F716E01" w14:textId="77777777" w:rsidR="00182709" w:rsidRDefault="0044097C">
            <w:pPr>
              <w:jc w:val="left"/>
            </w:pPr>
            <w:r>
              <w:t>Impairment of property plant and equipment (including intangible assets)</w:t>
            </w:r>
          </w:p>
        </w:tc>
        <w:tc>
          <w:tcPr>
            <w:tcW w:w="866" w:type="dxa"/>
          </w:tcPr>
          <w:p w14:paraId="3D9613F3" w14:textId="77777777" w:rsidR="00182709" w:rsidRDefault="0044097C">
            <w:r>
              <w:t>(2 010)</w:t>
            </w:r>
          </w:p>
        </w:tc>
        <w:tc>
          <w:tcPr>
            <w:tcW w:w="866" w:type="dxa"/>
          </w:tcPr>
          <w:p w14:paraId="41882738" w14:textId="77777777" w:rsidR="00182709" w:rsidRDefault="0044097C">
            <w:r>
              <w:t>585</w:t>
            </w:r>
          </w:p>
        </w:tc>
      </w:tr>
      <w:tr w:rsidR="00182709" w14:paraId="03869626" w14:textId="77777777" w:rsidTr="00E5675C">
        <w:tc>
          <w:tcPr>
            <w:tcW w:w="1349" w:type="dxa"/>
          </w:tcPr>
          <w:p w14:paraId="2CA80B1E" w14:textId="77777777" w:rsidR="00182709" w:rsidRDefault="00182709">
            <w:pPr>
              <w:jc w:val="left"/>
            </w:pPr>
          </w:p>
        </w:tc>
        <w:tc>
          <w:tcPr>
            <w:tcW w:w="6558" w:type="dxa"/>
          </w:tcPr>
          <w:p w14:paraId="45BF38A4" w14:textId="77777777" w:rsidR="00182709" w:rsidRDefault="0044097C">
            <w:pPr>
              <w:jc w:val="left"/>
            </w:pPr>
            <w:r>
              <w:t>Impairment of biological assets</w:t>
            </w:r>
          </w:p>
        </w:tc>
        <w:tc>
          <w:tcPr>
            <w:tcW w:w="866" w:type="dxa"/>
          </w:tcPr>
          <w:p w14:paraId="53ECD500" w14:textId="77777777" w:rsidR="00182709" w:rsidRDefault="0044097C">
            <w:r>
              <w:t>..</w:t>
            </w:r>
          </w:p>
        </w:tc>
        <w:tc>
          <w:tcPr>
            <w:tcW w:w="866" w:type="dxa"/>
          </w:tcPr>
          <w:p w14:paraId="3FB450A5" w14:textId="77777777" w:rsidR="00182709" w:rsidRDefault="0044097C">
            <w:r>
              <w:t>..</w:t>
            </w:r>
          </w:p>
        </w:tc>
      </w:tr>
      <w:tr w:rsidR="00182709" w14:paraId="2284E431" w14:textId="77777777" w:rsidTr="00E5675C">
        <w:tc>
          <w:tcPr>
            <w:tcW w:w="1349" w:type="dxa"/>
          </w:tcPr>
          <w:p w14:paraId="5D3AD8DD" w14:textId="77777777" w:rsidR="00182709" w:rsidRDefault="0044097C">
            <w:pPr>
              <w:jc w:val="left"/>
            </w:pPr>
            <w:r>
              <w:rPr>
                <w:color w:val="4472C4"/>
                <w:sz w:val="13"/>
              </w:rPr>
              <w:t>AASB 101.98 (a)</w:t>
            </w:r>
          </w:p>
        </w:tc>
        <w:tc>
          <w:tcPr>
            <w:tcW w:w="6558" w:type="dxa"/>
          </w:tcPr>
          <w:p w14:paraId="359E84CE" w14:textId="77777777" w:rsidR="00182709" w:rsidRDefault="0044097C">
            <w:pPr>
              <w:jc w:val="left"/>
            </w:pPr>
            <w:r>
              <w:t>Write down of inventory</w:t>
            </w:r>
          </w:p>
        </w:tc>
        <w:tc>
          <w:tcPr>
            <w:tcW w:w="866" w:type="dxa"/>
          </w:tcPr>
          <w:p w14:paraId="1D59A99B" w14:textId="77777777" w:rsidR="00182709" w:rsidRDefault="0044097C">
            <w:r>
              <w:t>(178)</w:t>
            </w:r>
          </w:p>
        </w:tc>
        <w:tc>
          <w:tcPr>
            <w:tcW w:w="866" w:type="dxa"/>
          </w:tcPr>
          <w:p w14:paraId="13CC5FD3" w14:textId="77777777" w:rsidR="00182709" w:rsidRDefault="0044097C">
            <w:r>
              <w:t>(19)</w:t>
            </w:r>
          </w:p>
        </w:tc>
      </w:tr>
      <w:tr w:rsidR="00182709" w14:paraId="749208BF" w14:textId="77777777" w:rsidTr="00E5675C">
        <w:tc>
          <w:tcPr>
            <w:tcW w:w="1349" w:type="dxa"/>
          </w:tcPr>
          <w:p w14:paraId="5F32EAAA" w14:textId="77777777" w:rsidR="00182709" w:rsidRDefault="00182709">
            <w:pPr>
              <w:jc w:val="left"/>
            </w:pPr>
          </w:p>
        </w:tc>
        <w:tc>
          <w:tcPr>
            <w:tcW w:w="6558" w:type="dxa"/>
          </w:tcPr>
          <w:p w14:paraId="3F6164CF" w14:textId="77777777" w:rsidR="00182709" w:rsidRDefault="0044097C">
            <w:pPr>
              <w:jc w:val="left"/>
            </w:pPr>
            <w:r>
              <w:t>Revaluation of investment property</w:t>
            </w:r>
          </w:p>
        </w:tc>
        <w:tc>
          <w:tcPr>
            <w:tcW w:w="866" w:type="dxa"/>
          </w:tcPr>
          <w:p w14:paraId="16652601" w14:textId="77777777" w:rsidR="00182709" w:rsidRDefault="0044097C">
            <w:r>
              <w:t>(3 485)</w:t>
            </w:r>
          </w:p>
        </w:tc>
        <w:tc>
          <w:tcPr>
            <w:tcW w:w="866" w:type="dxa"/>
          </w:tcPr>
          <w:p w14:paraId="416FAECF" w14:textId="77777777" w:rsidR="00182709" w:rsidRDefault="0044097C">
            <w:r>
              <w:t>450</w:t>
            </w:r>
          </w:p>
        </w:tc>
      </w:tr>
      <w:tr w:rsidR="00182709" w14:paraId="0BF44AD5" w14:textId="77777777" w:rsidTr="00E5675C">
        <w:tc>
          <w:tcPr>
            <w:tcW w:w="1349" w:type="dxa"/>
          </w:tcPr>
          <w:p w14:paraId="21668784" w14:textId="77777777" w:rsidR="00182709" w:rsidRDefault="0044097C">
            <w:pPr>
              <w:jc w:val="left"/>
            </w:pPr>
            <w:r>
              <w:rPr>
                <w:color w:val="4472C4"/>
                <w:sz w:val="13"/>
              </w:rPr>
              <w:t>AASB 141.40</w:t>
            </w:r>
          </w:p>
        </w:tc>
        <w:tc>
          <w:tcPr>
            <w:tcW w:w="6558" w:type="dxa"/>
          </w:tcPr>
          <w:p w14:paraId="75699DCE" w14:textId="77777777" w:rsidR="00182709" w:rsidRDefault="0044097C">
            <w:pPr>
              <w:jc w:val="left"/>
            </w:pPr>
            <w:r>
              <w:t>Net gain arising from changes in fair value less estimated point‑of‑sale costs of biological assets</w:t>
            </w:r>
          </w:p>
        </w:tc>
        <w:tc>
          <w:tcPr>
            <w:tcW w:w="866" w:type="dxa"/>
          </w:tcPr>
          <w:p w14:paraId="6FD7D348" w14:textId="77777777" w:rsidR="00182709" w:rsidRDefault="0044097C">
            <w:r>
              <w:t>1 476</w:t>
            </w:r>
          </w:p>
        </w:tc>
        <w:tc>
          <w:tcPr>
            <w:tcW w:w="866" w:type="dxa"/>
          </w:tcPr>
          <w:p w14:paraId="45D15D47" w14:textId="77777777" w:rsidR="00182709" w:rsidRDefault="0044097C">
            <w:r>
              <w:t>..</w:t>
            </w:r>
          </w:p>
        </w:tc>
      </w:tr>
      <w:tr w:rsidR="00182709" w14:paraId="4CDAF3D1" w14:textId="77777777" w:rsidTr="00E5675C">
        <w:tc>
          <w:tcPr>
            <w:tcW w:w="1349" w:type="dxa"/>
          </w:tcPr>
          <w:p w14:paraId="35E77F48" w14:textId="77777777" w:rsidR="00182709" w:rsidRDefault="0044097C">
            <w:pPr>
              <w:jc w:val="left"/>
            </w:pPr>
            <w:r>
              <w:rPr>
                <w:color w:val="4472C4"/>
                <w:sz w:val="13"/>
              </w:rPr>
              <w:t>AASB 101.98 (c)</w:t>
            </w:r>
          </w:p>
        </w:tc>
        <w:tc>
          <w:tcPr>
            <w:tcW w:w="6558" w:type="dxa"/>
          </w:tcPr>
          <w:p w14:paraId="0D0AC5F3" w14:textId="77777777" w:rsidR="00182709" w:rsidRDefault="0044097C">
            <w:pPr>
              <w:jc w:val="left"/>
            </w:pPr>
            <w:r>
              <w:t>Net gain/(loss) on disposal of property plant and equipment</w:t>
            </w:r>
          </w:p>
        </w:tc>
        <w:tc>
          <w:tcPr>
            <w:tcW w:w="866" w:type="dxa"/>
          </w:tcPr>
          <w:p w14:paraId="7158B81E" w14:textId="77777777" w:rsidR="00182709" w:rsidRDefault="0044097C">
            <w:r>
              <w:t>(844)</w:t>
            </w:r>
          </w:p>
        </w:tc>
        <w:tc>
          <w:tcPr>
            <w:tcW w:w="866" w:type="dxa"/>
          </w:tcPr>
          <w:p w14:paraId="739C439E" w14:textId="77777777" w:rsidR="00182709" w:rsidRDefault="0044097C">
            <w:r>
              <w:t>549</w:t>
            </w:r>
          </w:p>
        </w:tc>
      </w:tr>
      <w:tr w:rsidR="00182709" w14:paraId="43529BE7" w14:textId="77777777" w:rsidTr="00E5675C">
        <w:tc>
          <w:tcPr>
            <w:tcW w:w="1349" w:type="dxa"/>
          </w:tcPr>
          <w:p w14:paraId="06C876AA" w14:textId="77777777" w:rsidR="00182709" w:rsidRDefault="0044097C">
            <w:pPr>
              <w:jc w:val="left"/>
            </w:pPr>
            <w:r>
              <w:rPr>
                <w:color w:val="4472C4"/>
                <w:sz w:val="13"/>
              </w:rPr>
              <w:t>AASB 101.98 (d)</w:t>
            </w:r>
          </w:p>
        </w:tc>
        <w:tc>
          <w:tcPr>
            <w:tcW w:w="6558" w:type="dxa"/>
            <w:tcBorders>
              <w:bottom w:val="single" w:sz="12" w:space="0" w:color="auto"/>
            </w:tcBorders>
          </w:tcPr>
          <w:p w14:paraId="537D1426" w14:textId="77777777" w:rsidR="00182709" w:rsidRDefault="0044097C">
            <w:pPr>
              <w:jc w:val="left"/>
            </w:pPr>
            <w:r>
              <w:t>Net gain/(loss) on disposal of investment properties</w:t>
            </w:r>
          </w:p>
        </w:tc>
        <w:tc>
          <w:tcPr>
            <w:tcW w:w="866" w:type="dxa"/>
            <w:tcBorders>
              <w:bottom w:val="single" w:sz="12" w:space="0" w:color="auto"/>
            </w:tcBorders>
          </w:tcPr>
          <w:p w14:paraId="007ADF15" w14:textId="77777777" w:rsidR="00182709" w:rsidRDefault="0044097C">
            <w:r>
              <w:t>(120)</w:t>
            </w:r>
          </w:p>
        </w:tc>
        <w:tc>
          <w:tcPr>
            <w:tcW w:w="866" w:type="dxa"/>
            <w:tcBorders>
              <w:bottom w:val="single" w:sz="12" w:space="0" w:color="auto"/>
            </w:tcBorders>
          </w:tcPr>
          <w:p w14:paraId="04CCE3FA" w14:textId="77777777" w:rsidR="00182709" w:rsidRDefault="0044097C">
            <w:r>
              <w:t>240</w:t>
            </w:r>
          </w:p>
        </w:tc>
      </w:tr>
      <w:tr w:rsidR="00671D55" w14:paraId="792876EC" w14:textId="77777777" w:rsidTr="00E5675C">
        <w:tc>
          <w:tcPr>
            <w:tcW w:w="1349" w:type="dxa"/>
          </w:tcPr>
          <w:p w14:paraId="5333C717" w14:textId="77777777" w:rsidR="00182709" w:rsidRDefault="00182709">
            <w:pPr>
              <w:jc w:val="left"/>
            </w:pPr>
          </w:p>
        </w:tc>
        <w:tc>
          <w:tcPr>
            <w:tcW w:w="6558" w:type="dxa"/>
          </w:tcPr>
          <w:p w14:paraId="0469939A" w14:textId="77777777" w:rsidR="00182709" w:rsidRDefault="0044097C">
            <w:pPr>
              <w:jc w:val="left"/>
            </w:pPr>
            <w:r>
              <w:rPr>
                <w:b/>
              </w:rPr>
              <w:t>Total net gain/(loss) on non‑financial assets</w:t>
            </w:r>
          </w:p>
        </w:tc>
        <w:tc>
          <w:tcPr>
            <w:tcW w:w="866" w:type="dxa"/>
          </w:tcPr>
          <w:p w14:paraId="6150310B" w14:textId="77777777" w:rsidR="00182709" w:rsidRDefault="0044097C">
            <w:r>
              <w:rPr>
                <w:b/>
              </w:rPr>
              <w:t>(5 161)</w:t>
            </w:r>
          </w:p>
        </w:tc>
        <w:tc>
          <w:tcPr>
            <w:tcW w:w="866" w:type="dxa"/>
          </w:tcPr>
          <w:p w14:paraId="5C765261" w14:textId="77777777" w:rsidR="00182709" w:rsidRDefault="0044097C">
            <w:r>
              <w:rPr>
                <w:b/>
              </w:rPr>
              <w:t>1 805</w:t>
            </w:r>
          </w:p>
        </w:tc>
      </w:tr>
      <w:tr w:rsidR="00671D55" w14:paraId="328D4248" w14:textId="77777777" w:rsidTr="00E5675C">
        <w:tc>
          <w:tcPr>
            <w:tcW w:w="1349" w:type="dxa"/>
          </w:tcPr>
          <w:p w14:paraId="27757ACF" w14:textId="77777777" w:rsidR="00182709" w:rsidRDefault="00182709">
            <w:pPr>
              <w:jc w:val="left"/>
            </w:pPr>
          </w:p>
        </w:tc>
        <w:tc>
          <w:tcPr>
            <w:tcW w:w="6558" w:type="dxa"/>
          </w:tcPr>
          <w:p w14:paraId="60F51AC8" w14:textId="77777777" w:rsidR="00182709" w:rsidRDefault="0044097C">
            <w:pPr>
              <w:jc w:val="left"/>
            </w:pPr>
            <w:r>
              <w:rPr>
                <w:b/>
              </w:rPr>
              <w:t>Net gain/(loss) on financial instruments</w:t>
            </w:r>
          </w:p>
        </w:tc>
        <w:tc>
          <w:tcPr>
            <w:tcW w:w="866" w:type="dxa"/>
          </w:tcPr>
          <w:p w14:paraId="361164B7" w14:textId="77777777" w:rsidR="00182709" w:rsidRDefault="00182709"/>
        </w:tc>
        <w:tc>
          <w:tcPr>
            <w:tcW w:w="866" w:type="dxa"/>
          </w:tcPr>
          <w:p w14:paraId="54519633" w14:textId="77777777" w:rsidR="00182709" w:rsidRDefault="00182709"/>
        </w:tc>
      </w:tr>
      <w:tr w:rsidR="00182709" w14:paraId="485271C3" w14:textId="77777777" w:rsidTr="00E5675C">
        <w:tc>
          <w:tcPr>
            <w:tcW w:w="1349" w:type="dxa"/>
          </w:tcPr>
          <w:p w14:paraId="54E28145" w14:textId="77777777" w:rsidR="00182709" w:rsidRDefault="00182709">
            <w:pPr>
              <w:jc w:val="left"/>
            </w:pPr>
          </w:p>
        </w:tc>
        <w:tc>
          <w:tcPr>
            <w:tcW w:w="6558" w:type="dxa"/>
          </w:tcPr>
          <w:p w14:paraId="1086140E" w14:textId="77777777" w:rsidR="00182709" w:rsidRDefault="0044097C">
            <w:pPr>
              <w:jc w:val="left"/>
            </w:pPr>
            <w:r>
              <w:t xml:space="preserve">Impairment of: </w:t>
            </w:r>
            <w:r>
              <w:rPr>
                <w:vertAlign w:val="superscript"/>
              </w:rPr>
              <w:t>(a)</w:t>
            </w:r>
          </w:p>
        </w:tc>
        <w:tc>
          <w:tcPr>
            <w:tcW w:w="866" w:type="dxa"/>
          </w:tcPr>
          <w:p w14:paraId="02BC045A" w14:textId="77777777" w:rsidR="00182709" w:rsidRDefault="00182709"/>
        </w:tc>
        <w:tc>
          <w:tcPr>
            <w:tcW w:w="866" w:type="dxa"/>
          </w:tcPr>
          <w:p w14:paraId="01FFAB12" w14:textId="77777777" w:rsidR="00182709" w:rsidRDefault="00182709"/>
        </w:tc>
      </w:tr>
      <w:tr w:rsidR="00182709" w14:paraId="3358C89D" w14:textId="77777777" w:rsidTr="00E5675C">
        <w:tc>
          <w:tcPr>
            <w:tcW w:w="1349" w:type="dxa"/>
          </w:tcPr>
          <w:p w14:paraId="1DE3145D" w14:textId="77777777" w:rsidR="00182709" w:rsidRDefault="00182709">
            <w:pPr>
              <w:jc w:val="left"/>
            </w:pPr>
          </w:p>
        </w:tc>
        <w:tc>
          <w:tcPr>
            <w:tcW w:w="6558" w:type="dxa"/>
          </w:tcPr>
          <w:p w14:paraId="2B90ED68" w14:textId="77777777" w:rsidR="00182709" w:rsidRDefault="0044097C">
            <w:pPr>
              <w:jc w:val="left"/>
            </w:pPr>
            <w:r>
              <w:t>Loans and receivables</w:t>
            </w:r>
          </w:p>
        </w:tc>
        <w:tc>
          <w:tcPr>
            <w:tcW w:w="866" w:type="dxa"/>
          </w:tcPr>
          <w:p w14:paraId="71F07C67" w14:textId="77777777" w:rsidR="00182709" w:rsidRDefault="0044097C">
            <w:r>
              <w:t>..</w:t>
            </w:r>
          </w:p>
        </w:tc>
        <w:tc>
          <w:tcPr>
            <w:tcW w:w="866" w:type="dxa"/>
          </w:tcPr>
          <w:p w14:paraId="31E18284" w14:textId="77777777" w:rsidR="00182709" w:rsidRDefault="0044097C">
            <w:r>
              <w:t>(341)</w:t>
            </w:r>
          </w:p>
        </w:tc>
      </w:tr>
      <w:tr w:rsidR="00182709" w14:paraId="1F08E5A7" w14:textId="77777777" w:rsidTr="00E5675C">
        <w:tc>
          <w:tcPr>
            <w:tcW w:w="1349" w:type="dxa"/>
          </w:tcPr>
          <w:p w14:paraId="7014ED86" w14:textId="77777777" w:rsidR="00182709" w:rsidRDefault="00182709">
            <w:pPr>
              <w:jc w:val="left"/>
            </w:pPr>
          </w:p>
        </w:tc>
        <w:tc>
          <w:tcPr>
            <w:tcW w:w="6558" w:type="dxa"/>
          </w:tcPr>
          <w:p w14:paraId="6DE91A40" w14:textId="77777777" w:rsidR="00182709" w:rsidRDefault="0044097C">
            <w:pPr>
              <w:jc w:val="left"/>
            </w:pPr>
            <w:r>
              <w:t>Financial assets at amortised cost</w:t>
            </w:r>
          </w:p>
        </w:tc>
        <w:tc>
          <w:tcPr>
            <w:tcW w:w="866" w:type="dxa"/>
          </w:tcPr>
          <w:p w14:paraId="22A0EABC" w14:textId="77777777" w:rsidR="00182709" w:rsidRDefault="0044097C">
            <w:r>
              <w:t>(485)</w:t>
            </w:r>
          </w:p>
        </w:tc>
        <w:tc>
          <w:tcPr>
            <w:tcW w:w="866" w:type="dxa"/>
          </w:tcPr>
          <w:p w14:paraId="1259EDEA" w14:textId="77777777" w:rsidR="00182709" w:rsidRDefault="0044097C">
            <w:r>
              <w:t>..</w:t>
            </w:r>
          </w:p>
        </w:tc>
      </w:tr>
      <w:tr w:rsidR="00182709" w14:paraId="750A8D9A" w14:textId="77777777" w:rsidTr="00E5675C">
        <w:tc>
          <w:tcPr>
            <w:tcW w:w="1349" w:type="dxa"/>
          </w:tcPr>
          <w:p w14:paraId="335F01A0" w14:textId="77777777" w:rsidR="00182709" w:rsidRDefault="0044097C">
            <w:pPr>
              <w:jc w:val="left"/>
            </w:pPr>
            <w:r>
              <w:rPr>
                <w:color w:val="4472C4"/>
                <w:sz w:val="13"/>
              </w:rPr>
              <w:t>AASB 7.20 (a)</w:t>
            </w:r>
          </w:p>
        </w:tc>
        <w:tc>
          <w:tcPr>
            <w:tcW w:w="6558" w:type="dxa"/>
          </w:tcPr>
          <w:p w14:paraId="5ECE1550" w14:textId="77777777" w:rsidR="00182709" w:rsidRDefault="0044097C">
            <w:pPr>
              <w:jc w:val="left"/>
            </w:pPr>
            <w:r>
              <w:t>Net FX gain/(loss) arising from foreign cash held</w:t>
            </w:r>
          </w:p>
        </w:tc>
        <w:tc>
          <w:tcPr>
            <w:tcW w:w="866" w:type="dxa"/>
          </w:tcPr>
          <w:p w14:paraId="23149520" w14:textId="77777777" w:rsidR="00182709" w:rsidRDefault="0044097C">
            <w:r>
              <w:t>(385)</w:t>
            </w:r>
          </w:p>
        </w:tc>
        <w:tc>
          <w:tcPr>
            <w:tcW w:w="866" w:type="dxa"/>
          </w:tcPr>
          <w:p w14:paraId="67A9B827" w14:textId="77777777" w:rsidR="00182709" w:rsidRDefault="0044097C">
            <w:r>
              <w:t>105</w:t>
            </w:r>
          </w:p>
        </w:tc>
      </w:tr>
      <w:tr w:rsidR="00182709" w14:paraId="5E985CC5" w14:textId="77777777" w:rsidTr="00E5675C">
        <w:tc>
          <w:tcPr>
            <w:tcW w:w="1349" w:type="dxa"/>
          </w:tcPr>
          <w:p w14:paraId="30E73A31" w14:textId="77777777" w:rsidR="00182709" w:rsidRDefault="00182709">
            <w:pPr>
              <w:jc w:val="left"/>
            </w:pPr>
          </w:p>
        </w:tc>
        <w:tc>
          <w:tcPr>
            <w:tcW w:w="6558" w:type="dxa"/>
          </w:tcPr>
          <w:p w14:paraId="31B03D59" w14:textId="77777777" w:rsidR="00182709" w:rsidRDefault="0044097C">
            <w:pPr>
              <w:jc w:val="left"/>
            </w:pPr>
            <w:r>
              <w:t>Net FX gain/(loss) arising from financial instruments</w:t>
            </w:r>
          </w:p>
        </w:tc>
        <w:tc>
          <w:tcPr>
            <w:tcW w:w="866" w:type="dxa"/>
          </w:tcPr>
          <w:p w14:paraId="512E471D" w14:textId="77777777" w:rsidR="00182709" w:rsidRDefault="0044097C">
            <w:r>
              <w:t>(86)</w:t>
            </w:r>
          </w:p>
        </w:tc>
        <w:tc>
          <w:tcPr>
            <w:tcW w:w="866" w:type="dxa"/>
          </w:tcPr>
          <w:p w14:paraId="776AFDD2" w14:textId="77777777" w:rsidR="00182709" w:rsidRDefault="0044097C">
            <w:r>
              <w:t>55</w:t>
            </w:r>
          </w:p>
        </w:tc>
      </w:tr>
      <w:tr w:rsidR="00182709" w14:paraId="4880478C" w14:textId="77777777" w:rsidTr="00E5675C">
        <w:tc>
          <w:tcPr>
            <w:tcW w:w="1349" w:type="dxa"/>
          </w:tcPr>
          <w:p w14:paraId="162BD898" w14:textId="77777777" w:rsidR="00182709" w:rsidRDefault="00182709">
            <w:pPr>
              <w:jc w:val="left"/>
            </w:pPr>
          </w:p>
        </w:tc>
        <w:tc>
          <w:tcPr>
            <w:tcW w:w="6558" w:type="dxa"/>
          </w:tcPr>
          <w:p w14:paraId="2B210FB1" w14:textId="77777777" w:rsidR="00182709" w:rsidRDefault="0044097C">
            <w:pPr>
              <w:jc w:val="left"/>
            </w:pPr>
            <w:r>
              <w:t>Bad debts written off unilaterally</w:t>
            </w:r>
          </w:p>
        </w:tc>
        <w:tc>
          <w:tcPr>
            <w:tcW w:w="866" w:type="dxa"/>
          </w:tcPr>
          <w:p w14:paraId="2E63D64A" w14:textId="77777777" w:rsidR="00182709" w:rsidRDefault="0044097C">
            <w:r>
              <w:t>75</w:t>
            </w:r>
          </w:p>
        </w:tc>
        <w:tc>
          <w:tcPr>
            <w:tcW w:w="866" w:type="dxa"/>
          </w:tcPr>
          <w:p w14:paraId="47209851" w14:textId="77777777" w:rsidR="00182709" w:rsidRDefault="0044097C">
            <w:r>
              <w:t>50</w:t>
            </w:r>
          </w:p>
        </w:tc>
      </w:tr>
      <w:tr w:rsidR="00182709" w14:paraId="0B216406" w14:textId="77777777" w:rsidTr="00E5675C">
        <w:tc>
          <w:tcPr>
            <w:tcW w:w="1349" w:type="dxa"/>
          </w:tcPr>
          <w:p w14:paraId="7C45A3D1" w14:textId="77777777" w:rsidR="00182709" w:rsidRDefault="00182709">
            <w:pPr>
              <w:jc w:val="left"/>
            </w:pPr>
          </w:p>
        </w:tc>
        <w:tc>
          <w:tcPr>
            <w:tcW w:w="6558" w:type="dxa"/>
          </w:tcPr>
          <w:p w14:paraId="16AA8097" w14:textId="77777777" w:rsidR="00182709" w:rsidRDefault="0044097C">
            <w:pPr>
              <w:jc w:val="left"/>
            </w:pPr>
            <w:r>
              <w:t>Net gain/(loss) on disposal of financial instruments</w:t>
            </w:r>
          </w:p>
        </w:tc>
        <w:tc>
          <w:tcPr>
            <w:tcW w:w="866" w:type="dxa"/>
          </w:tcPr>
          <w:p w14:paraId="2613D77B" w14:textId="77777777" w:rsidR="00182709" w:rsidRDefault="0044097C">
            <w:r>
              <w:t>..</w:t>
            </w:r>
          </w:p>
        </w:tc>
        <w:tc>
          <w:tcPr>
            <w:tcW w:w="866" w:type="dxa"/>
          </w:tcPr>
          <w:p w14:paraId="623E4D1E" w14:textId="77777777" w:rsidR="00182709" w:rsidRDefault="0044097C">
            <w:r>
              <w:t>..</w:t>
            </w:r>
          </w:p>
        </w:tc>
      </w:tr>
      <w:tr w:rsidR="00182709" w14:paraId="3029323A" w14:textId="77777777" w:rsidTr="00E5675C">
        <w:tc>
          <w:tcPr>
            <w:tcW w:w="1349" w:type="dxa"/>
          </w:tcPr>
          <w:p w14:paraId="1B06F1C7" w14:textId="77777777" w:rsidR="00182709" w:rsidRDefault="00182709">
            <w:pPr>
              <w:jc w:val="left"/>
            </w:pPr>
          </w:p>
        </w:tc>
        <w:tc>
          <w:tcPr>
            <w:tcW w:w="6558" w:type="dxa"/>
          </w:tcPr>
          <w:p w14:paraId="74763096" w14:textId="77777777" w:rsidR="00182709" w:rsidRDefault="0044097C">
            <w:pPr>
              <w:jc w:val="left"/>
            </w:pPr>
            <w:r>
              <w:t>Net gain/(loss) arising from revaluation of financial assets at fair value through net result</w:t>
            </w:r>
          </w:p>
        </w:tc>
        <w:tc>
          <w:tcPr>
            <w:tcW w:w="866" w:type="dxa"/>
          </w:tcPr>
          <w:p w14:paraId="7532EDC3" w14:textId="77777777" w:rsidR="00182709" w:rsidRDefault="0044097C">
            <w:r>
              <w:t>(2 105)</w:t>
            </w:r>
          </w:p>
        </w:tc>
        <w:tc>
          <w:tcPr>
            <w:tcW w:w="866" w:type="dxa"/>
          </w:tcPr>
          <w:p w14:paraId="3DD85B09" w14:textId="77777777" w:rsidR="00182709" w:rsidRDefault="0044097C">
            <w:r>
              <w:t>400</w:t>
            </w:r>
          </w:p>
        </w:tc>
      </w:tr>
      <w:tr w:rsidR="00182709" w14:paraId="567350C3" w14:textId="77777777" w:rsidTr="00E5675C">
        <w:tc>
          <w:tcPr>
            <w:tcW w:w="1349" w:type="dxa"/>
          </w:tcPr>
          <w:p w14:paraId="37789943" w14:textId="77777777" w:rsidR="00182709" w:rsidRDefault="00182709">
            <w:pPr>
              <w:jc w:val="left"/>
            </w:pPr>
          </w:p>
        </w:tc>
        <w:tc>
          <w:tcPr>
            <w:tcW w:w="6558" w:type="dxa"/>
          </w:tcPr>
          <w:p w14:paraId="289C700A" w14:textId="77777777" w:rsidR="00182709" w:rsidRDefault="0044097C">
            <w:pPr>
              <w:jc w:val="left"/>
            </w:pPr>
            <w:r>
              <w:t>Net (gain)/loss arising from revaluation of financial liabilities at fair value through net result – market risk</w:t>
            </w:r>
          </w:p>
        </w:tc>
        <w:tc>
          <w:tcPr>
            <w:tcW w:w="866" w:type="dxa"/>
          </w:tcPr>
          <w:p w14:paraId="1482FB2A" w14:textId="77777777" w:rsidR="00182709" w:rsidRDefault="0044097C">
            <w:r>
              <w:t>20</w:t>
            </w:r>
          </w:p>
        </w:tc>
        <w:tc>
          <w:tcPr>
            <w:tcW w:w="866" w:type="dxa"/>
          </w:tcPr>
          <w:p w14:paraId="7FEA3154" w14:textId="77777777" w:rsidR="00182709" w:rsidRDefault="0044097C">
            <w:r>
              <w:t>..</w:t>
            </w:r>
          </w:p>
        </w:tc>
      </w:tr>
      <w:tr w:rsidR="00182709" w14:paraId="22ABF5C2" w14:textId="77777777" w:rsidTr="00E5675C">
        <w:tc>
          <w:tcPr>
            <w:tcW w:w="1349" w:type="dxa"/>
          </w:tcPr>
          <w:p w14:paraId="20EE1C63" w14:textId="77777777" w:rsidR="00182709" w:rsidRDefault="00182709">
            <w:pPr>
              <w:jc w:val="left"/>
            </w:pPr>
          </w:p>
        </w:tc>
        <w:tc>
          <w:tcPr>
            <w:tcW w:w="6558" w:type="dxa"/>
            <w:tcBorders>
              <w:bottom w:val="single" w:sz="12" w:space="0" w:color="auto"/>
            </w:tcBorders>
          </w:tcPr>
          <w:p w14:paraId="69C3C9BE" w14:textId="77777777" w:rsidR="00182709" w:rsidRDefault="0044097C">
            <w:pPr>
              <w:jc w:val="left"/>
            </w:pPr>
            <w:r>
              <w:t>Interest on government advances</w:t>
            </w:r>
          </w:p>
        </w:tc>
        <w:tc>
          <w:tcPr>
            <w:tcW w:w="866" w:type="dxa"/>
            <w:tcBorders>
              <w:bottom w:val="single" w:sz="12" w:space="0" w:color="auto"/>
            </w:tcBorders>
          </w:tcPr>
          <w:p w14:paraId="171F7EAE" w14:textId="77777777" w:rsidR="00182709" w:rsidRDefault="0044097C">
            <w:r>
              <w:t>(4 155)</w:t>
            </w:r>
          </w:p>
        </w:tc>
        <w:tc>
          <w:tcPr>
            <w:tcW w:w="866" w:type="dxa"/>
            <w:tcBorders>
              <w:bottom w:val="single" w:sz="12" w:space="0" w:color="auto"/>
            </w:tcBorders>
          </w:tcPr>
          <w:p w14:paraId="2E4B87F8" w14:textId="77777777" w:rsidR="00182709" w:rsidRDefault="0044097C">
            <w:r>
              <w:t>(4 240)</w:t>
            </w:r>
          </w:p>
        </w:tc>
      </w:tr>
      <w:tr w:rsidR="00671D55" w14:paraId="2C4240F5" w14:textId="77777777" w:rsidTr="00E5675C">
        <w:tc>
          <w:tcPr>
            <w:tcW w:w="1349" w:type="dxa"/>
          </w:tcPr>
          <w:p w14:paraId="39FFE3F3" w14:textId="77777777" w:rsidR="00182709" w:rsidRDefault="00182709">
            <w:pPr>
              <w:jc w:val="left"/>
            </w:pPr>
          </w:p>
        </w:tc>
        <w:tc>
          <w:tcPr>
            <w:tcW w:w="6558" w:type="dxa"/>
          </w:tcPr>
          <w:p w14:paraId="28D8BE44" w14:textId="77777777" w:rsidR="00182709" w:rsidRDefault="0044097C">
            <w:pPr>
              <w:jc w:val="left"/>
            </w:pPr>
            <w:r>
              <w:rPr>
                <w:b/>
              </w:rPr>
              <w:t>Total net gain/(loss) on financial instruments</w:t>
            </w:r>
          </w:p>
        </w:tc>
        <w:tc>
          <w:tcPr>
            <w:tcW w:w="866" w:type="dxa"/>
          </w:tcPr>
          <w:p w14:paraId="1E07FA24" w14:textId="77777777" w:rsidR="00182709" w:rsidRDefault="0044097C">
            <w:r>
              <w:rPr>
                <w:b/>
              </w:rPr>
              <w:t>(7 121)</w:t>
            </w:r>
          </w:p>
        </w:tc>
        <w:tc>
          <w:tcPr>
            <w:tcW w:w="866" w:type="dxa"/>
          </w:tcPr>
          <w:p w14:paraId="3313FCD6" w14:textId="77777777" w:rsidR="00182709" w:rsidRDefault="0044097C">
            <w:r>
              <w:rPr>
                <w:b/>
              </w:rPr>
              <w:t>(3 971)</w:t>
            </w:r>
          </w:p>
        </w:tc>
      </w:tr>
      <w:tr w:rsidR="00671D55" w14:paraId="40C180EB" w14:textId="77777777" w:rsidTr="00E5675C">
        <w:tc>
          <w:tcPr>
            <w:tcW w:w="1349" w:type="dxa"/>
          </w:tcPr>
          <w:p w14:paraId="05B179B1" w14:textId="77777777" w:rsidR="00182709" w:rsidRDefault="00182709">
            <w:pPr>
              <w:jc w:val="left"/>
            </w:pPr>
          </w:p>
        </w:tc>
        <w:tc>
          <w:tcPr>
            <w:tcW w:w="6558" w:type="dxa"/>
          </w:tcPr>
          <w:p w14:paraId="049631DA" w14:textId="77777777" w:rsidR="00182709" w:rsidRDefault="0044097C">
            <w:pPr>
              <w:jc w:val="left"/>
            </w:pPr>
            <w:r>
              <w:rPr>
                <w:b/>
              </w:rPr>
              <w:t>Share of net profits/(losses) of associates and joint entities, excluding dividends</w:t>
            </w:r>
          </w:p>
        </w:tc>
        <w:tc>
          <w:tcPr>
            <w:tcW w:w="866" w:type="dxa"/>
          </w:tcPr>
          <w:p w14:paraId="110334AA" w14:textId="77777777" w:rsidR="00182709" w:rsidRDefault="00182709"/>
        </w:tc>
        <w:tc>
          <w:tcPr>
            <w:tcW w:w="866" w:type="dxa"/>
          </w:tcPr>
          <w:p w14:paraId="430827A3" w14:textId="77777777" w:rsidR="00182709" w:rsidRDefault="00182709"/>
        </w:tc>
      </w:tr>
      <w:tr w:rsidR="00182709" w14:paraId="4B05E54A" w14:textId="77777777" w:rsidTr="00E5675C">
        <w:tc>
          <w:tcPr>
            <w:tcW w:w="1349" w:type="dxa"/>
          </w:tcPr>
          <w:p w14:paraId="3FE50E4B" w14:textId="77777777" w:rsidR="00182709" w:rsidRDefault="00182709">
            <w:pPr>
              <w:jc w:val="left"/>
            </w:pPr>
          </w:p>
        </w:tc>
        <w:tc>
          <w:tcPr>
            <w:tcW w:w="6558" w:type="dxa"/>
          </w:tcPr>
          <w:p w14:paraId="51621E66" w14:textId="77777777" w:rsidR="00182709" w:rsidRDefault="0044097C">
            <w:pPr>
              <w:jc w:val="left"/>
            </w:pPr>
            <w:r>
              <w:t>Share of net profits/(losses) of associates, excluding dividends</w:t>
            </w:r>
          </w:p>
        </w:tc>
        <w:tc>
          <w:tcPr>
            <w:tcW w:w="866" w:type="dxa"/>
          </w:tcPr>
          <w:p w14:paraId="3C351003" w14:textId="77777777" w:rsidR="00182709" w:rsidRDefault="0044097C">
            <w:r>
              <w:t>1 055</w:t>
            </w:r>
          </w:p>
        </w:tc>
        <w:tc>
          <w:tcPr>
            <w:tcW w:w="866" w:type="dxa"/>
          </w:tcPr>
          <w:p w14:paraId="5AB41E93" w14:textId="77777777" w:rsidR="00182709" w:rsidRDefault="0044097C">
            <w:r>
              <w:t>652</w:t>
            </w:r>
          </w:p>
        </w:tc>
      </w:tr>
      <w:tr w:rsidR="00182709" w14:paraId="2259BEE3" w14:textId="77777777" w:rsidTr="00E5675C">
        <w:tc>
          <w:tcPr>
            <w:tcW w:w="1349" w:type="dxa"/>
          </w:tcPr>
          <w:p w14:paraId="3C3A1356" w14:textId="77777777" w:rsidR="00182709" w:rsidRDefault="00182709">
            <w:pPr>
              <w:jc w:val="left"/>
            </w:pPr>
          </w:p>
        </w:tc>
        <w:tc>
          <w:tcPr>
            <w:tcW w:w="6558" w:type="dxa"/>
            <w:tcBorders>
              <w:bottom w:val="single" w:sz="12" w:space="0" w:color="auto"/>
            </w:tcBorders>
          </w:tcPr>
          <w:p w14:paraId="1B04A0B6" w14:textId="77777777" w:rsidR="00182709" w:rsidRDefault="0044097C">
            <w:pPr>
              <w:jc w:val="left"/>
            </w:pPr>
            <w:r>
              <w:t>Share of net profits/(losses) of joint entities, excluding dividends</w:t>
            </w:r>
          </w:p>
        </w:tc>
        <w:tc>
          <w:tcPr>
            <w:tcW w:w="866" w:type="dxa"/>
            <w:tcBorders>
              <w:bottom w:val="single" w:sz="12" w:space="0" w:color="auto"/>
            </w:tcBorders>
          </w:tcPr>
          <w:p w14:paraId="1B96311F" w14:textId="77777777" w:rsidR="00182709" w:rsidRDefault="0044097C">
            <w:r>
              <w:t>231</w:t>
            </w:r>
          </w:p>
        </w:tc>
        <w:tc>
          <w:tcPr>
            <w:tcW w:w="866" w:type="dxa"/>
            <w:tcBorders>
              <w:bottom w:val="single" w:sz="12" w:space="0" w:color="auto"/>
            </w:tcBorders>
          </w:tcPr>
          <w:p w14:paraId="6BE74548" w14:textId="77777777" w:rsidR="00182709" w:rsidRDefault="0044097C">
            <w:r>
              <w:t>745</w:t>
            </w:r>
          </w:p>
        </w:tc>
      </w:tr>
      <w:tr w:rsidR="00671D55" w14:paraId="4F622E9A" w14:textId="77777777" w:rsidTr="00E5675C">
        <w:tc>
          <w:tcPr>
            <w:tcW w:w="1349" w:type="dxa"/>
          </w:tcPr>
          <w:p w14:paraId="67FCDB4F" w14:textId="77777777" w:rsidR="00182709" w:rsidRDefault="00182709">
            <w:pPr>
              <w:jc w:val="left"/>
            </w:pPr>
          </w:p>
        </w:tc>
        <w:tc>
          <w:tcPr>
            <w:tcW w:w="6558" w:type="dxa"/>
          </w:tcPr>
          <w:p w14:paraId="6A766586" w14:textId="77777777" w:rsidR="00182709" w:rsidRDefault="0044097C">
            <w:pPr>
              <w:jc w:val="left"/>
            </w:pPr>
            <w:r>
              <w:rPr>
                <w:b/>
              </w:rPr>
              <w:t>Total share of net profits/(losses) of associates and joint entities, excluding dividends</w:t>
            </w:r>
          </w:p>
        </w:tc>
        <w:tc>
          <w:tcPr>
            <w:tcW w:w="866" w:type="dxa"/>
          </w:tcPr>
          <w:p w14:paraId="5B21C13C" w14:textId="77777777" w:rsidR="00182709" w:rsidRDefault="0044097C">
            <w:r>
              <w:rPr>
                <w:b/>
              </w:rPr>
              <w:t>1 286</w:t>
            </w:r>
          </w:p>
        </w:tc>
        <w:tc>
          <w:tcPr>
            <w:tcW w:w="866" w:type="dxa"/>
          </w:tcPr>
          <w:p w14:paraId="38FF08CB" w14:textId="77777777" w:rsidR="00182709" w:rsidRDefault="0044097C">
            <w:r>
              <w:rPr>
                <w:b/>
              </w:rPr>
              <w:t>1 397</w:t>
            </w:r>
          </w:p>
        </w:tc>
      </w:tr>
      <w:tr w:rsidR="00671D55" w14:paraId="6F805B88" w14:textId="77777777" w:rsidTr="00E5675C">
        <w:tc>
          <w:tcPr>
            <w:tcW w:w="1349" w:type="dxa"/>
          </w:tcPr>
          <w:p w14:paraId="65393C71" w14:textId="77777777" w:rsidR="00182709" w:rsidRDefault="00182709">
            <w:pPr>
              <w:jc w:val="left"/>
            </w:pPr>
          </w:p>
        </w:tc>
        <w:tc>
          <w:tcPr>
            <w:tcW w:w="6558" w:type="dxa"/>
          </w:tcPr>
          <w:p w14:paraId="5FD0A154" w14:textId="77777777" w:rsidR="00182709" w:rsidRDefault="0044097C">
            <w:pPr>
              <w:jc w:val="left"/>
            </w:pPr>
            <w:r>
              <w:rPr>
                <w:b/>
              </w:rPr>
              <w:t>Other gains/(losses) from other economic flows</w:t>
            </w:r>
          </w:p>
        </w:tc>
        <w:tc>
          <w:tcPr>
            <w:tcW w:w="866" w:type="dxa"/>
          </w:tcPr>
          <w:p w14:paraId="61C9EB08" w14:textId="77777777" w:rsidR="00182709" w:rsidRDefault="00182709"/>
        </w:tc>
        <w:tc>
          <w:tcPr>
            <w:tcW w:w="866" w:type="dxa"/>
          </w:tcPr>
          <w:p w14:paraId="1A4A71BE" w14:textId="77777777" w:rsidR="00182709" w:rsidRDefault="00182709"/>
        </w:tc>
      </w:tr>
      <w:tr w:rsidR="00182709" w14:paraId="5B81B16C" w14:textId="77777777" w:rsidTr="00E5675C">
        <w:tc>
          <w:tcPr>
            <w:tcW w:w="1349" w:type="dxa"/>
          </w:tcPr>
          <w:p w14:paraId="00514019" w14:textId="77777777" w:rsidR="00182709" w:rsidRDefault="00182709">
            <w:pPr>
              <w:jc w:val="left"/>
            </w:pPr>
          </w:p>
        </w:tc>
        <w:tc>
          <w:tcPr>
            <w:tcW w:w="6558" w:type="dxa"/>
          </w:tcPr>
          <w:p w14:paraId="48149E8D" w14:textId="77777777" w:rsidR="00182709" w:rsidRDefault="0044097C">
            <w:pPr>
              <w:jc w:val="left"/>
            </w:pPr>
            <w:r>
              <w:t xml:space="preserve">Net gain/(loss) arising from revaluation of long service liability </w:t>
            </w:r>
            <w:r>
              <w:rPr>
                <w:vertAlign w:val="superscript"/>
              </w:rPr>
              <w:t>(b)</w:t>
            </w:r>
          </w:p>
        </w:tc>
        <w:tc>
          <w:tcPr>
            <w:tcW w:w="866" w:type="dxa"/>
          </w:tcPr>
          <w:p w14:paraId="5A136C27" w14:textId="77777777" w:rsidR="00182709" w:rsidRDefault="0044097C">
            <w:r>
              <w:t>(2 846)</w:t>
            </w:r>
          </w:p>
        </w:tc>
        <w:tc>
          <w:tcPr>
            <w:tcW w:w="866" w:type="dxa"/>
          </w:tcPr>
          <w:p w14:paraId="3628EFBB" w14:textId="77777777" w:rsidR="00182709" w:rsidRDefault="0044097C">
            <w:r>
              <w:t>(2 009)</w:t>
            </w:r>
          </w:p>
        </w:tc>
      </w:tr>
      <w:tr w:rsidR="00182709" w14:paraId="0520E9BD" w14:textId="77777777" w:rsidTr="00E5675C">
        <w:tc>
          <w:tcPr>
            <w:tcW w:w="1349" w:type="dxa"/>
          </w:tcPr>
          <w:p w14:paraId="198069EF" w14:textId="77777777" w:rsidR="00182709" w:rsidRDefault="0044097C">
            <w:pPr>
              <w:jc w:val="left"/>
            </w:pPr>
            <w:r>
              <w:rPr>
                <w:color w:val="4472C4"/>
                <w:sz w:val="13"/>
              </w:rPr>
              <w:t>AASB 137.60</w:t>
            </w:r>
          </w:p>
        </w:tc>
        <w:tc>
          <w:tcPr>
            <w:tcW w:w="6558" w:type="dxa"/>
            <w:tcBorders>
              <w:bottom w:val="single" w:sz="12" w:space="0" w:color="auto"/>
            </w:tcBorders>
          </w:tcPr>
          <w:p w14:paraId="6E6CA64D" w14:textId="77777777" w:rsidR="00182709" w:rsidRDefault="0044097C">
            <w:pPr>
              <w:jc w:val="left"/>
            </w:pPr>
            <w:r>
              <w:t>Unwinding of other provision</w:t>
            </w:r>
          </w:p>
        </w:tc>
        <w:tc>
          <w:tcPr>
            <w:tcW w:w="866" w:type="dxa"/>
            <w:tcBorders>
              <w:bottom w:val="single" w:sz="12" w:space="0" w:color="auto"/>
            </w:tcBorders>
          </w:tcPr>
          <w:p w14:paraId="5934C5D1" w14:textId="77777777" w:rsidR="00182709" w:rsidRDefault="0044097C">
            <w:r>
              <w:t>(49)</w:t>
            </w:r>
          </w:p>
        </w:tc>
        <w:tc>
          <w:tcPr>
            <w:tcW w:w="866" w:type="dxa"/>
            <w:tcBorders>
              <w:bottom w:val="single" w:sz="12" w:space="0" w:color="auto"/>
            </w:tcBorders>
          </w:tcPr>
          <w:p w14:paraId="5895C7DA" w14:textId="77777777" w:rsidR="00182709" w:rsidRDefault="0044097C">
            <w:r>
              <w:t>(39)</w:t>
            </w:r>
          </w:p>
        </w:tc>
      </w:tr>
      <w:tr w:rsidR="00671D55" w14:paraId="1DFFE9AA" w14:textId="77777777" w:rsidTr="00E5675C">
        <w:tc>
          <w:tcPr>
            <w:tcW w:w="1349" w:type="dxa"/>
            <w:tcBorders>
              <w:bottom w:val="nil"/>
            </w:tcBorders>
          </w:tcPr>
          <w:p w14:paraId="5AB3AE95" w14:textId="77777777" w:rsidR="00182709" w:rsidRDefault="00182709">
            <w:pPr>
              <w:jc w:val="left"/>
            </w:pPr>
          </w:p>
        </w:tc>
        <w:tc>
          <w:tcPr>
            <w:tcW w:w="6558" w:type="dxa"/>
          </w:tcPr>
          <w:p w14:paraId="3A3D6970" w14:textId="77777777" w:rsidR="00182709" w:rsidRDefault="0044097C">
            <w:pPr>
              <w:jc w:val="left"/>
            </w:pPr>
            <w:r>
              <w:rPr>
                <w:b/>
              </w:rPr>
              <w:t>Total other gains/(losses) from other economic flows</w:t>
            </w:r>
          </w:p>
        </w:tc>
        <w:tc>
          <w:tcPr>
            <w:tcW w:w="866" w:type="dxa"/>
          </w:tcPr>
          <w:p w14:paraId="6102C953" w14:textId="77777777" w:rsidR="00182709" w:rsidRDefault="0044097C">
            <w:r>
              <w:rPr>
                <w:b/>
              </w:rPr>
              <w:t>(2 895)</w:t>
            </w:r>
          </w:p>
        </w:tc>
        <w:tc>
          <w:tcPr>
            <w:tcW w:w="866" w:type="dxa"/>
          </w:tcPr>
          <w:p w14:paraId="42F2549C" w14:textId="77777777" w:rsidR="00182709" w:rsidRDefault="0044097C">
            <w:r>
              <w:rPr>
                <w:b/>
              </w:rPr>
              <w:t>(2 048)</w:t>
            </w:r>
          </w:p>
        </w:tc>
      </w:tr>
    </w:tbl>
    <w:p w14:paraId="327E2BF4" w14:textId="77777777" w:rsidR="003719CD" w:rsidRDefault="003719CD" w:rsidP="007D536F">
      <w:pPr>
        <w:pStyle w:val="Note"/>
      </w:pPr>
      <w:r>
        <w:t>Notes:</w:t>
      </w:r>
    </w:p>
    <w:p w14:paraId="2D690AFB" w14:textId="77777777" w:rsidR="003719CD" w:rsidRDefault="003719CD" w:rsidP="007D536F">
      <w:pPr>
        <w:pStyle w:val="Note"/>
      </w:pPr>
      <w:r>
        <w:t>(a)</w:t>
      </w:r>
      <w:r>
        <w:tab/>
        <w:t>Including increase/(decrease) in provision for doubtful debts and bad debts from other economic flows – refer to Note 6.1.</w:t>
      </w:r>
    </w:p>
    <w:p w14:paraId="31D702C5" w14:textId="77777777" w:rsidR="003719CD" w:rsidRDefault="003719CD" w:rsidP="007D536F">
      <w:pPr>
        <w:pStyle w:val="Note"/>
      </w:pPr>
      <w:r>
        <w:t>(b)</w:t>
      </w:r>
      <w:r>
        <w:tab/>
        <w:t>Revaluation gain/(loss) due to changes in bond rates.</w:t>
      </w:r>
    </w:p>
    <w:p w14:paraId="20921343" w14:textId="77777777" w:rsidR="003719CD" w:rsidRPr="006809EA" w:rsidRDefault="003719CD" w:rsidP="007D536F">
      <w:pPr>
        <w:pStyle w:val="Note"/>
        <w:rPr>
          <w:rStyle w:val="Guidance"/>
        </w:rPr>
      </w:pPr>
      <w:r>
        <w:tab/>
      </w:r>
      <w:r w:rsidRPr="006809EA">
        <w:rPr>
          <w:rStyle w:val="Guidance"/>
        </w:rPr>
        <w:t>[Please note that revaluation gain/(loss) on the long service leave liability due to the changes in the discount bond rates is included in other economic flows.]</w:t>
      </w:r>
    </w:p>
    <w:p w14:paraId="1EF9C70F" w14:textId="77777777" w:rsidR="003719CD" w:rsidRDefault="003719CD" w:rsidP="00DC39DE"/>
    <w:p w14:paraId="6F565C7E" w14:textId="77777777" w:rsidR="003719CD" w:rsidRDefault="003719CD" w:rsidP="007D536F">
      <w:pPr>
        <w:pStyle w:val="GuidanceBlockHeading"/>
      </w:pPr>
      <w:r>
        <w:t>Guidance – Other economic flows</w:t>
      </w:r>
    </w:p>
    <w:p w14:paraId="5F274A01" w14:textId="77777777" w:rsidR="003719CD" w:rsidRPr="006809EA" w:rsidRDefault="003719CD" w:rsidP="007D536F">
      <w:pPr>
        <w:pStyle w:val="GuidanceHeading"/>
        <w:rPr>
          <w:rStyle w:val="Guidance"/>
        </w:rPr>
      </w:pPr>
      <w:r w:rsidRPr="006809EA">
        <w:rPr>
          <w:rStyle w:val="Guidance"/>
        </w:rPr>
        <w:t>Disclosure requirements</w:t>
      </w:r>
    </w:p>
    <w:p w14:paraId="014EE880" w14:textId="65ADB8D2" w:rsidR="003719CD" w:rsidRPr="006809EA" w:rsidRDefault="003719CD" w:rsidP="007D536F">
      <w:pPr>
        <w:rPr>
          <w:rStyle w:val="Guidance"/>
        </w:rPr>
      </w:pPr>
      <w:r w:rsidRPr="006809EA">
        <w:rPr>
          <w:rStyle w:val="Guidance"/>
        </w:rPr>
        <w:t xml:space="preserve">To align with whole of government reporting, which complies with AASB 1049 requirements, departments are required to classify items of expense between transactions and other economic flows as appropriate. Departments should refer to the Glossary of terms and style conventions (Note 9.14) in the Model for definitions on ‘transactions’ and ‘other economic </w:t>
      </w:r>
      <w:r w:rsidR="00CF11AB" w:rsidRPr="006809EA">
        <w:rPr>
          <w:rStyle w:val="Guidance"/>
        </w:rPr>
        <w:t>flows</w:t>
      </w:r>
      <w:r w:rsidR="00CF11AB">
        <w:rPr>
          <w:rStyle w:val="Guidance"/>
        </w:rPr>
        <w:t>.’</w:t>
      </w:r>
    </w:p>
    <w:p w14:paraId="11AB4A86" w14:textId="77777777" w:rsidR="003719CD" w:rsidRDefault="003719CD" w:rsidP="007D536F">
      <w:pPr>
        <w:pStyle w:val="GuidanceEnd"/>
      </w:pPr>
    </w:p>
    <w:p w14:paraId="7356A31C" w14:textId="77777777" w:rsidR="003719CD" w:rsidRDefault="003719CD" w:rsidP="007762BE">
      <w:pPr>
        <w:pStyle w:val="Heading2numbered"/>
      </w:pPr>
      <w:bookmarkStart w:id="139" w:name="_Toc130226009"/>
      <w:bookmarkStart w:id="140" w:name="_Toc130289132"/>
      <w:bookmarkStart w:id="141" w:name="_Toc64983178"/>
      <w:bookmarkStart w:id="142" w:name="_Toc96709985"/>
      <w:r>
        <w:lastRenderedPageBreak/>
        <w:t xml:space="preserve">Discontinued operations and non-current assets held for sale </w:t>
      </w:r>
      <w:r>
        <w:br/>
      </w:r>
      <w:r w:rsidRPr="006809EA">
        <w:rPr>
          <w:rStyle w:val="Reference"/>
        </w:rPr>
        <w:t>[AASB 5.41, 101.98(e)]</w:t>
      </w:r>
      <w:bookmarkEnd w:id="139"/>
      <w:bookmarkEnd w:id="140"/>
      <w:bookmarkEnd w:id="141"/>
      <w:bookmarkEnd w:id="142"/>
    </w:p>
    <w:p w14:paraId="5DBC5E5C" w14:textId="77777777" w:rsidR="003719CD" w:rsidRDefault="003719CD" w:rsidP="007762BE">
      <w:pPr>
        <w:pStyle w:val="Heading3numbered"/>
      </w:pPr>
      <w:r>
        <w:t>Disposal of activities of the Commissioner for Technology</w:t>
      </w:r>
    </w:p>
    <w:p w14:paraId="1E7CCC8F" w14:textId="4A13BF7B" w:rsidR="003719CD" w:rsidRDefault="003719CD" w:rsidP="00DC39DE">
      <w:r>
        <w:t xml:space="preserve">On 28 March </w:t>
      </w:r>
      <w:fldSimple w:instr="DOCPROPERTY  YearCurrent  \* MERGEFORMAT">
        <w:r w:rsidR="00A545BA">
          <w:t>20X2</w:t>
        </w:r>
      </w:fldSimple>
      <w:r>
        <w:t>, the Minister for the Department, the Hon. John Bristol, MP</w:t>
      </w:r>
      <w:r w:rsidR="00110701">
        <w:t>,</w:t>
      </w:r>
      <w:r>
        <w:t xml:space="preserve"> approved a sale plan to dispose of the activities of the Commissioner for Technology under the strategic policy advice output to the third parties external to Victorian Government. The proceeds of the sale substantially exceeded the book value of the related net assets. </w:t>
      </w:r>
    </w:p>
    <w:p w14:paraId="34C05B53" w14:textId="6060FB1A" w:rsidR="003719CD" w:rsidRDefault="003719CD" w:rsidP="00DC39DE">
      <w:r>
        <w:t xml:space="preserve">The disposal of Commissioner for Technology activities is consistent with the Department’s long-term policy to promote the adoption of new technology and monitor its appropriate use. The disposal was completed on 30 June </w:t>
      </w:r>
      <w:fldSimple w:instr="DOCPROPERTY  YearCurrent  \* MERGEFORMAT">
        <w:r w:rsidR="00A545BA">
          <w:t>20X2</w:t>
        </w:r>
      </w:fldSimple>
      <w:r>
        <w:t xml:space="preserve">, being the date control of the officer passed to the acquirer. </w:t>
      </w:r>
    </w:p>
    <w:p w14:paraId="527C3CAB" w14:textId="77777777" w:rsidR="003719CD" w:rsidRDefault="003719CD" w:rsidP="007762BE">
      <w:pPr>
        <w:pStyle w:val="Heading3numbered"/>
      </w:pPr>
      <w:r>
        <w:t xml:space="preserve">Plan to dispose of Gene Services business </w:t>
      </w:r>
    </w:p>
    <w:p w14:paraId="03304AD6" w14:textId="0948305E" w:rsidR="003719CD" w:rsidRDefault="003719CD" w:rsidP="00DC39DE">
      <w:r>
        <w:t xml:space="preserve">On 30 November </w:t>
      </w:r>
      <w:fldSimple w:instr="DOCPROPERTY  YearPrevious  \* MERGEFORMAT">
        <w:r w:rsidR="00227A5B">
          <w:t>20X1</w:t>
        </w:r>
      </w:fldSimple>
      <w:r>
        <w:t xml:space="preserve">, the Minister for the Department, the Hon. John Bristol, MP announced a plan to dispose of the Department’s Gene Services business to parties outside of the Victorian Government Sector, which involves provision of information technology and telecommunication systems for new biological technology. The disposal is consistent with the Department’s long-term policy to focus its activities in the information technology and telecommunications services industry. The Department is actively seeking a buyer for its Gene Services business and expects to complete the sale by 31 July </w:t>
      </w:r>
      <w:fldSimple w:instr="DOCPROPERTY  YearCurrent  \* MERGEFORMAT">
        <w:r w:rsidR="00A545BA">
          <w:t>20X2</w:t>
        </w:r>
      </w:fldSimple>
      <w:r>
        <w:t xml:space="preserve">. </w:t>
      </w:r>
    </w:p>
    <w:p w14:paraId="6EB397A1" w14:textId="77777777" w:rsidR="003719CD" w:rsidRDefault="003719CD" w:rsidP="007D536F">
      <w:pPr>
        <w:pStyle w:val="Heading4"/>
      </w:pPr>
      <w:r>
        <w:t xml:space="preserve">Reclassification of these operations as held for sale </w:t>
      </w:r>
      <w:r w:rsidRPr="006809EA">
        <w:rPr>
          <w:rStyle w:val="Reference"/>
        </w:rPr>
        <w:t>[AASB 5.33(b), 34 and 38]</w:t>
      </w:r>
    </w:p>
    <w:p w14:paraId="7ACCFBEA" w14:textId="77777777" w:rsidR="003719CD" w:rsidRDefault="003719CD" w:rsidP="00DC39DE">
      <w:r>
        <w:t>On initial reclassification of these operations as held for sale, the Department has not recognised any impairment losses.</w:t>
      </w:r>
    </w:p>
    <w:p w14:paraId="24E93DAA" w14:textId="77777777" w:rsidR="003719CD" w:rsidRDefault="003719CD" w:rsidP="00DC39DE">
      <w:r>
        <w:t>The results of the discontinued operations, which have been included in the comprehensive operating statement are as set out. The comparative net result and cash flows from discontinued operations have been represented to include those operations classified as discontinued in the current period.</w:t>
      </w:r>
    </w:p>
    <w:p w14:paraId="22EF6DC3" w14:textId="77777777" w:rsidR="003719CD" w:rsidRDefault="003719CD" w:rsidP="00DC39DE">
      <w:r>
        <w:t>Amounts recognised in other comprehensive income relating to discontinued operations reflect cumulative income or expense recognised in other comprehensive income that are attributable to the discontinued operation.</w:t>
      </w:r>
    </w:p>
    <w:p w14:paraId="5652A4DC" w14:textId="77777777" w:rsidR="003719CD" w:rsidRDefault="003719CD" w:rsidP="007762BE">
      <w:pPr>
        <w:pStyle w:val="Heading3numbered"/>
      </w:pPr>
      <w:r>
        <w:t xml:space="preserve">Net result from discontinued operations </w:t>
      </w:r>
      <w:r w:rsidRPr="006809EA">
        <w:rPr>
          <w:rStyle w:val="Reference"/>
        </w:rPr>
        <w:t>[AASB 5.33(b) and 34]</w:t>
      </w:r>
    </w:p>
    <w:p w14:paraId="3B8B6FA7"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E5675C" w14:paraId="04FEB466" w14:textId="77777777" w:rsidTr="00E5675C">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7E891E1A" w14:textId="77777777" w:rsidR="00E5675C" w:rsidRDefault="00E5675C" w:rsidP="00E5675C">
            <w:pPr>
              <w:keepNext/>
              <w:jc w:val="left"/>
            </w:pPr>
            <w:r>
              <w:rPr>
                <w:color w:val="4472C4"/>
                <w:sz w:val="13"/>
              </w:rPr>
              <w:t>Source reference</w:t>
            </w:r>
          </w:p>
        </w:tc>
        <w:tc>
          <w:tcPr>
            <w:tcW w:w="6558" w:type="dxa"/>
          </w:tcPr>
          <w:p w14:paraId="6D54B5C4" w14:textId="77777777" w:rsidR="00E5675C" w:rsidRDefault="00E5675C" w:rsidP="00E5675C">
            <w:pPr>
              <w:keepNext/>
              <w:jc w:val="left"/>
            </w:pPr>
          </w:p>
        </w:tc>
        <w:tc>
          <w:tcPr>
            <w:tcW w:w="866" w:type="dxa"/>
          </w:tcPr>
          <w:p w14:paraId="65CE16D0" w14:textId="6E7451EF" w:rsidR="00E5675C" w:rsidRPr="00E5675C" w:rsidRDefault="00E5675C" w:rsidP="00E5675C">
            <w:pPr>
              <w:keepNext/>
              <w:rPr>
                <w:iCs/>
              </w:rPr>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866" w:type="dxa"/>
          </w:tcPr>
          <w:p w14:paraId="2E4E1815" w14:textId="42A88799" w:rsidR="00E5675C" w:rsidRPr="00E5675C" w:rsidRDefault="00E5675C" w:rsidP="00E5675C">
            <w:pPr>
              <w:keepNext/>
              <w:rPr>
                <w:iCs/>
              </w:rPr>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182709" w14:paraId="1F1737F0" w14:textId="77777777" w:rsidTr="00E5675C">
        <w:tc>
          <w:tcPr>
            <w:tcW w:w="1349" w:type="dxa"/>
          </w:tcPr>
          <w:p w14:paraId="3A5B6D92" w14:textId="77777777" w:rsidR="00182709" w:rsidRDefault="0044097C">
            <w:pPr>
              <w:jc w:val="left"/>
            </w:pPr>
            <w:r>
              <w:rPr>
                <w:color w:val="4472C4"/>
                <w:sz w:val="13"/>
              </w:rPr>
              <w:t>AASB 5.33(b) and 34</w:t>
            </w:r>
          </w:p>
        </w:tc>
        <w:tc>
          <w:tcPr>
            <w:tcW w:w="6558" w:type="dxa"/>
          </w:tcPr>
          <w:p w14:paraId="60873C93" w14:textId="77777777" w:rsidR="00182709" w:rsidRDefault="0044097C">
            <w:pPr>
              <w:jc w:val="left"/>
            </w:pPr>
            <w:r>
              <w:rPr>
                <w:b/>
              </w:rPr>
              <w:t>Income from transactions</w:t>
            </w:r>
          </w:p>
        </w:tc>
        <w:tc>
          <w:tcPr>
            <w:tcW w:w="866" w:type="dxa"/>
          </w:tcPr>
          <w:p w14:paraId="3F2BB8A1" w14:textId="77777777" w:rsidR="00182709" w:rsidRDefault="00182709"/>
        </w:tc>
        <w:tc>
          <w:tcPr>
            <w:tcW w:w="866" w:type="dxa"/>
          </w:tcPr>
          <w:p w14:paraId="0B56E18B" w14:textId="77777777" w:rsidR="00182709" w:rsidRDefault="00182709"/>
        </w:tc>
      </w:tr>
      <w:tr w:rsidR="00182709" w14:paraId="214A31CE" w14:textId="77777777" w:rsidTr="00E5675C">
        <w:tc>
          <w:tcPr>
            <w:tcW w:w="1349" w:type="dxa"/>
          </w:tcPr>
          <w:p w14:paraId="58C9ACA1" w14:textId="77777777" w:rsidR="00182709" w:rsidRDefault="00182709">
            <w:pPr>
              <w:jc w:val="left"/>
            </w:pPr>
          </w:p>
        </w:tc>
        <w:tc>
          <w:tcPr>
            <w:tcW w:w="6558" w:type="dxa"/>
          </w:tcPr>
          <w:p w14:paraId="4BF09067" w14:textId="77777777" w:rsidR="00182709" w:rsidRDefault="0044097C">
            <w:pPr>
              <w:jc w:val="left"/>
            </w:pPr>
            <w:r>
              <w:t>Output appropriations</w:t>
            </w:r>
          </w:p>
        </w:tc>
        <w:tc>
          <w:tcPr>
            <w:tcW w:w="866" w:type="dxa"/>
          </w:tcPr>
          <w:p w14:paraId="66E0992E" w14:textId="77777777" w:rsidR="00182709" w:rsidRDefault="0044097C">
            <w:r>
              <w:t>10 426</w:t>
            </w:r>
          </w:p>
        </w:tc>
        <w:tc>
          <w:tcPr>
            <w:tcW w:w="866" w:type="dxa"/>
          </w:tcPr>
          <w:p w14:paraId="51616AC7" w14:textId="77777777" w:rsidR="00182709" w:rsidRDefault="0044097C">
            <w:r>
              <w:t>14 242</w:t>
            </w:r>
          </w:p>
        </w:tc>
      </w:tr>
      <w:tr w:rsidR="00182709" w14:paraId="019B50C6" w14:textId="77777777" w:rsidTr="00E5675C">
        <w:tc>
          <w:tcPr>
            <w:tcW w:w="1349" w:type="dxa"/>
          </w:tcPr>
          <w:p w14:paraId="366579B0" w14:textId="77777777" w:rsidR="00182709" w:rsidRDefault="00182709">
            <w:pPr>
              <w:jc w:val="left"/>
            </w:pPr>
          </w:p>
        </w:tc>
        <w:tc>
          <w:tcPr>
            <w:tcW w:w="6558" w:type="dxa"/>
          </w:tcPr>
          <w:p w14:paraId="6DFA2436" w14:textId="77777777" w:rsidR="00182709" w:rsidRDefault="0044097C">
            <w:pPr>
              <w:jc w:val="left"/>
            </w:pPr>
            <w:r>
              <w:t>Special appropriations</w:t>
            </w:r>
          </w:p>
        </w:tc>
        <w:tc>
          <w:tcPr>
            <w:tcW w:w="866" w:type="dxa"/>
          </w:tcPr>
          <w:p w14:paraId="304C0C33" w14:textId="77777777" w:rsidR="00182709" w:rsidRDefault="0044097C">
            <w:r>
              <w:t>1 781</w:t>
            </w:r>
          </w:p>
        </w:tc>
        <w:tc>
          <w:tcPr>
            <w:tcW w:w="866" w:type="dxa"/>
          </w:tcPr>
          <w:p w14:paraId="707CDF9C" w14:textId="77777777" w:rsidR="00182709" w:rsidRDefault="0044097C">
            <w:r>
              <w:t>2 401</w:t>
            </w:r>
          </w:p>
        </w:tc>
      </w:tr>
      <w:tr w:rsidR="00182709" w14:paraId="04088F83" w14:textId="77777777" w:rsidTr="00E5675C">
        <w:tc>
          <w:tcPr>
            <w:tcW w:w="1349" w:type="dxa"/>
          </w:tcPr>
          <w:p w14:paraId="3E765B06" w14:textId="77777777" w:rsidR="00182709" w:rsidRDefault="00182709">
            <w:pPr>
              <w:jc w:val="left"/>
            </w:pPr>
          </w:p>
        </w:tc>
        <w:tc>
          <w:tcPr>
            <w:tcW w:w="6558" w:type="dxa"/>
          </w:tcPr>
          <w:p w14:paraId="5D8EDDA1" w14:textId="77777777" w:rsidR="00182709" w:rsidRDefault="0044097C">
            <w:pPr>
              <w:jc w:val="left"/>
            </w:pPr>
            <w:r>
              <w:t>Interest</w:t>
            </w:r>
          </w:p>
        </w:tc>
        <w:tc>
          <w:tcPr>
            <w:tcW w:w="866" w:type="dxa"/>
          </w:tcPr>
          <w:p w14:paraId="4CD956BC" w14:textId="77777777" w:rsidR="00182709" w:rsidRDefault="0044097C">
            <w:r>
              <w:t>245</w:t>
            </w:r>
          </w:p>
        </w:tc>
        <w:tc>
          <w:tcPr>
            <w:tcW w:w="866" w:type="dxa"/>
          </w:tcPr>
          <w:p w14:paraId="48E13DB1" w14:textId="77777777" w:rsidR="00182709" w:rsidRDefault="0044097C">
            <w:r>
              <w:t>578</w:t>
            </w:r>
          </w:p>
        </w:tc>
      </w:tr>
      <w:tr w:rsidR="00182709" w14:paraId="42687240" w14:textId="77777777" w:rsidTr="00E5675C">
        <w:tc>
          <w:tcPr>
            <w:tcW w:w="1349" w:type="dxa"/>
          </w:tcPr>
          <w:p w14:paraId="577650C2" w14:textId="77777777" w:rsidR="00182709" w:rsidRDefault="00182709">
            <w:pPr>
              <w:jc w:val="left"/>
            </w:pPr>
          </w:p>
        </w:tc>
        <w:tc>
          <w:tcPr>
            <w:tcW w:w="6558" w:type="dxa"/>
          </w:tcPr>
          <w:p w14:paraId="7104F6D8" w14:textId="77777777" w:rsidR="00182709" w:rsidRDefault="0044097C">
            <w:pPr>
              <w:jc w:val="left"/>
            </w:pPr>
            <w:r>
              <w:t>Sale of goods and services</w:t>
            </w:r>
          </w:p>
        </w:tc>
        <w:tc>
          <w:tcPr>
            <w:tcW w:w="866" w:type="dxa"/>
          </w:tcPr>
          <w:p w14:paraId="667EAA89" w14:textId="77777777" w:rsidR="00182709" w:rsidRDefault="0044097C">
            <w:r>
              <w:t>278</w:t>
            </w:r>
          </w:p>
        </w:tc>
        <w:tc>
          <w:tcPr>
            <w:tcW w:w="866" w:type="dxa"/>
          </w:tcPr>
          <w:p w14:paraId="24614388" w14:textId="77777777" w:rsidR="00182709" w:rsidRDefault="0044097C">
            <w:r>
              <w:t>532</w:t>
            </w:r>
          </w:p>
        </w:tc>
      </w:tr>
      <w:tr w:rsidR="00182709" w14:paraId="46D20447" w14:textId="77777777" w:rsidTr="00E5675C">
        <w:tc>
          <w:tcPr>
            <w:tcW w:w="1349" w:type="dxa"/>
          </w:tcPr>
          <w:p w14:paraId="3BF3E3C8" w14:textId="77777777" w:rsidR="00182709" w:rsidRDefault="00182709">
            <w:pPr>
              <w:jc w:val="left"/>
            </w:pPr>
          </w:p>
        </w:tc>
        <w:tc>
          <w:tcPr>
            <w:tcW w:w="6558" w:type="dxa"/>
          </w:tcPr>
          <w:p w14:paraId="16764407" w14:textId="77777777" w:rsidR="00182709" w:rsidRDefault="0044097C">
            <w:pPr>
              <w:jc w:val="left"/>
            </w:pPr>
            <w:r>
              <w:t>Grants</w:t>
            </w:r>
          </w:p>
        </w:tc>
        <w:tc>
          <w:tcPr>
            <w:tcW w:w="866" w:type="dxa"/>
          </w:tcPr>
          <w:p w14:paraId="521C8840" w14:textId="77777777" w:rsidR="00182709" w:rsidRDefault="0044097C">
            <w:r>
              <w:t>87</w:t>
            </w:r>
          </w:p>
        </w:tc>
        <w:tc>
          <w:tcPr>
            <w:tcW w:w="866" w:type="dxa"/>
          </w:tcPr>
          <w:p w14:paraId="2BA3D292" w14:textId="77777777" w:rsidR="00182709" w:rsidRDefault="0044097C">
            <w:r>
              <w:t>75</w:t>
            </w:r>
          </w:p>
        </w:tc>
      </w:tr>
      <w:tr w:rsidR="00182709" w14:paraId="5B8E1659" w14:textId="77777777" w:rsidTr="00E5675C">
        <w:tc>
          <w:tcPr>
            <w:tcW w:w="1349" w:type="dxa"/>
          </w:tcPr>
          <w:p w14:paraId="01FAFE73" w14:textId="77777777" w:rsidR="00182709" w:rsidRDefault="00182709">
            <w:pPr>
              <w:jc w:val="left"/>
            </w:pPr>
          </w:p>
        </w:tc>
        <w:tc>
          <w:tcPr>
            <w:tcW w:w="6558" w:type="dxa"/>
          </w:tcPr>
          <w:p w14:paraId="15002F69" w14:textId="77777777" w:rsidR="00182709" w:rsidRDefault="0044097C">
            <w:pPr>
              <w:jc w:val="left"/>
            </w:pPr>
            <w:r>
              <w:t>Fair value of assets and services received free of charge or for nominal consideration</w:t>
            </w:r>
          </w:p>
        </w:tc>
        <w:tc>
          <w:tcPr>
            <w:tcW w:w="866" w:type="dxa"/>
          </w:tcPr>
          <w:p w14:paraId="43279A60" w14:textId="77777777" w:rsidR="00182709" w:rsidRDefault="0044097C">
            <w:r>
              <w:t>..</w:t>
            </w:r>
          </w:p>
        </w:tc>
        <w:tc>
          <w:tcPr>
            <w:tcW w:w="866" w:type="dxa"/>
          </w:tcPr>
          <w:p w14:paraId="615A2D70" w14:textId="77777777" w:rsidR="00182709" w:rsidRDefault="0044097C">
            <w:r>
              <w:t>58</w:t>
            </w:r>
          </w:p>
        </w:tc>
      </w:tr>
      <w:tr w:rsidR="00182709" w14:paraId="4E8EEF62" w14:textId="77777777" w:rsidTr="00E5675C">
        <w:tc>
          <w:tcPr>
            <w:tcW w:w="1349" w:type="dxa"/>
          </w:tcPr>
          <w:p w14:paraId="74FC4D6A" w14:textId="77777777" w:rsidR="00182709" w:rsidRDefault="00182709">
            <w:pPr>
              <w:jc w:val="left"/>
            </w:pPr>
          </w:p>
        </w:tc>
        <w:tc>
          <w:tcPr>
            <w:tcW w:w="6558" w:type="dxa"/>
            <w:tcBorders>
              <w:bottom w:val="single" w:sz="12" w:space="0" w:color="auto"/>
            </w:tcBorders>
          </w:tcPr>
          <w:p w14:paraId="0E32C9BB" w14:textId="77777777" w:rsidR="00182709" w:rsidRDefault="0044097C">
            <w:pPr>
              <w:jc w:val="left"/>
            </w:pPr>
            <w:r>
              <w:t>Other income</w:t>
            </w:r>
          </w:p>
        </w:tc>
        <w:tc>
          <w:tcPr>
            <w:tcW w:w="866" w:type="dxa"/>
            <w:tcBorders>
              <w:bottom w:val="single" w:sz="12" w:space="0" w:color="auto"/>
            </w:tcBorders>
          </w:tcPr>
          <w:p w14:paraId="4D71C5E7" w14:textId="77777777" w:rsidR="00182709" w:rsidRDefault="0044097C">
            <w:r>
              <w:t>125</w:t>
            </w:r>
          </w:p>
        </w:tc>
        <w:tc>
          <w:tcPr>
            <w:tcW w:w="866" w:type="dxa"/>
            <w:tcBorders>
              <w:bottom w:val="single" w:sz="12" w:space="0" w:color="auto"/>
            </w:tcBorders>
          </w:tcPr>
          <w:p w14:paraId="20C206E3" w14:textId="77777777" w:rsidR="00182709" w:rsidRDefault="0044097C">
            <w:r>
              <w:t>414</w:t>
            </w:r>
          </w:p>
        </w:tc>
      </w:tr>
      <w:tr w:rsidR="00671D55" w14:paraId="77A62D2E" w14:textId="77777777" w:rsidTr="00E5675C">
        <w:tc>
          <w:tcPr>
            <w:tcW w:w="1349" w:type="dxa"/>
          </w:tcPr>
          <w:p w14:paraId="5C824FED" w14:textId="77777777" w:rsidR="00182709" w:rsidRDefault="00182709">
            <w:pPr>
              <w:jc w:val="left"/>
            </w:pPr>
          </w:p>
        </w:tc>
        <w:tc>
          <w:tcPr>
            <w:tcW w:w="6558" w:type="dxa"/>
          </w:tcPr>
          <w:p w14:paraId="0E412253" w14:textId="77777777" w:rsidR="00182709" w:rsidRDefault="0044097C">
            <w:pPr>
              <w:jc w:val="left"/>
            </w:pPr>
            <w:r>
              <w:rPr>
                <w:b/>
              </w:rPr>
              <w:t>Total income from transactions</w:t>
            </w:r>
          </w:p>
        </w:tc>
        <w:tc>
          <w:tcPr>
            <w:tcW w:w="866" w:type="dxa"/>
          </w:tcPr>
          <w:p w14:paraId="73CE7ADA" w14:textId="77777777" w:rsidR="00182709" w:rsidRDefault="0044097C">
            <w:r>
              <w:rPr>
                <w:b/>
              </w:rPr>
              <w:t>12 942</w:t>
            </w:r>
          </w:p>
        </w:tc>
        <w:tc>
          <w:tcPr>
            <w:tcW w:w="866" w:type="dxa"/>
          </w:tcPr>
          <w:p w14:paraId="534BFFF2" w14:textId="77777777" w:rsidR="00182709" w:rsidRDefault="0044097C">
            <w:r>
              <w:rPr>
                <w:b/>
              </w:rPr>
              <w:t>18 300</w:t>
            </w:r>
          </w:p>
        </w:tc>
      </w:tr>
      <w:tr w:rsidR="00671D55" w14:paraId="17B7D9FC" w14:textId="77777777" w:rsidTr="00E5675C">
        <w:tc>
          <w:tcPr>
            <w:tcW w:w="1349" w:type="dxa"/>
          </w:tcPr>
          <w:p w14:paraId="0909C01E" w14:textId="77777777" w:rsidR="00182709" w:rsidRDefault="00182709">
            <w:pPr>
              <w:jc w:val="left"/>
            </w:pPr>
          </w:p>
        </w:tc>
        <w:tc>
          <w:tcPr>
            <w:tcW w:w="6558" w:type="dxa"/>
          </w:tcPr>
          <w:p w14:paraId="561BEF60" w14:textId="77777777" w:rsidR="00182709" w:rsidRDefault="0044097C">
            <w:pPr>
              <w:jc w:val="left"/>
            </w:pPr>
            <w:r>
              <w:rPr>
                <w:b/>
              </w:rPr>
              <w:t>Total expenses from transactions</w:t>
            </w:r>
          </w:p>
        </w:tc>
        <w:tc>
          <w:tcPr>
            <w:tcW w:w="866" w:type="dxa"/>
          </w:tcPr>
          <w:p w14:paraId="08BB23B9" w14:textId="77777777" w:rsidR="00182709" w:rsidRDefault="0044097C">
            <w:r>
              <w:rPr>
                <w:b/>
              </w:rPr>
              <w:t>(10 269)</w:t>
            </w:r>
          </w:p>
        </w:tc>
        <w:tc>
          <w:tcPr>
            <w:tcW w:w="866" w:type="dxa"/>
          </w:tcPr>
          <w:p w14:paraId="0E562EA0" w14:textId="77777777" w:rsidR="00182709" w:rsidRDefault="0044097C">
            <w:r>
              <w:rPr>
                <w:b/>
              </w:rPr>
              <w:t>(12 970)</w:t>
            </w:r>
          </w:p>
        </w:tc>
      </w:tr>
      <w:tr w:rsidR="00671D55" w14:paraId="3B8734C2" w14:textId="77777777" w:rsidTr="00E5675C">
        <w:tc>
          <w:tcPr>
            <w:tcW w:w="1349" w:type="dxa"/>
          </w:tcPr>
          <w:p w14:paraId="1E882851" w14:textId="77777777" w:rsidR="00182709" w:rsidRDefault="00182709">
            <w:pPr>
              <w:jc w:val="left"/>
            </w:pPr>
          </w:p>
        </w:tc>
        <w:tc>
          <w:tcPr>
            <w:tcW w:w="6558" w:type="dxa"/>
          </w:tcPr>
          <w:p w14:paraId="687F639F" w14:textId="77777777" w:rsidR="00182709" w:rsidRDefault="0044097C">
            <w:pPr>
              <w:jc w:val="left"/>
            </w:pPr>
            <w:r>
              <w:rPr>
                <w:b/>
              </w:rPr>
              <w:t>Net result from transactions (net operating balance)</w:t>
            </w:r>
          </w:p>
        </w:tc>
        <w:tc>
          <w:tcPr>
            <w:tcW w:w="866" w:type="dxa"/>
          </w:tcPr>
          <w:p w14:paraId="7A1DAD70" w14:textId="77777777" w:rsidR="00182709" w:rsidRDefault="0044097C">
            <w:r>
              <w:rPr>
                <w:b/>
              </w:rPr>
              <w:t>2 673</w:t>
            </w:r>
          </w:p>
        </w:tc>
        <w:tc>
          <w:tcPr>
            <w:tcW w:w="866" w:type="dxa"/>
          </w:tcPr>
          <w:p w14:paraId="5F93AA5B" w14:textId="77777777" w:rsidR="00182709" w:rsidRDefault="0044097C">
            <w:r>
              <w:rPr>
                <w:b/>
              </w:rPr>
              <w:t>5 330</w:t>
            </w:r>
          </w:p>
        </w:tc>
      </w:tr>
      <w:tr w:rsidR="00671D55" w14:paraId="0B694D4E" w14:textId="77777777" w:rsidTr="00E5675C">
        <w:tc>
          <w:tcPr>
            <w:tcW w:w="1349" w:type="dxa"/>
          </w:tcPr>
          <w:p w14:paraId="4974BA89" w14:textId="77777777" w:rsidR="00182709" w:rsidRDefault="00182709">
            <w:pPr>
              <w:jc w:val="left"/>
            </w:pPr>
          </w:p>
        </w:tc>
        <w:tc>
          <w:tcPr>
            <w:tcW w:w="6558" w:type="dxa"/>
          </w:tcPr>
          <w:p w14:paraId="1E24EBF8" w14:textId="77777777" w:rsidR="00182709" w:rsidRDefault="0044097C">
            <w:pPr>
              <w:jc w:val="left"/>
            </w:pPr>
            <w:r>
              <w:rPr>
                <w:b/>
              </w:rPr>
              <w:t>Other economic flows included in net result</w:t>
            </w:r>
          </w:p>
        </w:tc>
        <w:tc>
          <w:tcPr>
            <w:tcW w:w="866" w:type="dxa"/>
          </w:tcPr>
          <w:p w14:paraId="097D468A" w14:textId="77777777" w:rsidR="00182709" w:rsidRDefault="00182709"/>
        </w:tc>
        <w:tc>
          <w:tcPr>
            <w:tcW w:w="866" w:type="dxa"/>
          </w:tcPr>
          <w:p w14:paraId="2607CD83" w14:textId="77777777" w:rsidR="00182709" w:rsidRDefault="00182709"/>
        </w:tc>
      </w:tr>
      <w:tr w:rsidR="00182709" w14:paraId="710C0A4D" w14:textId="77777777" w:rsidTr="00E5675C">
        <w:tc>
          <w:tcPr>
            <w:tcW w:w="1349" w:type="dxa"/>
          </w:tcPr>
          <w:p w14:paraId="57ED256B" w14:textId="77777777" w:rsidR="00182709" w:rsidRDefault="00182709">
            <w:pPr>
              <w:jc w:val="left"/>
            </w:pPr>
          </w:p>
        </w:tc>
        <w:tc>
          <w:tcPr>
            <w:tcW w:w="6558" w:type="dxa"/>
          </w:tcPr>
          <w:p w14:paraId="3FC163F8" w14:textId="77777777" w:rsidR="00182709" w:rsidRDefault="0044097C">
            <w:pPr>
              <w:jc w:val="left"/>
            </w:pPr>
            <w:r>
              <w:t>Net gain/(loss) on non‑financial assets</w:t>
            </w:r>
          </w:p>
        </w:tc>
        <w:tc>
          <w:tcPr>
            <w:tcW w:w="866" w:type="dxa"/>
          </w:tcPr>
          <w:p w14:paraId="792502B9" w14:textId="77777777" w:rsidR="00182709" w:rsidRDefault="0044097C">
            <w:r>
              <w:t>43</w:t>
            </w:r>
          </w:p>
        </w:tc>
        <w:tc>
          <w:tcPr>
            <w:tcW w:w="866" w:type="dxa"/>
          </w:tcPr>
          <w:p w14:paraId="1BE6670C" w14:textId="77777777" w:rsidR="00182709" w:rsidRDefault="0044097C">
            <w:r>
              <w:t>329</w:t>
            </w:r>
          </w:p>
        </w:tc>
      </w:tr>
      <w:tr w:rsidR="00182709" w14:paraId="75F2541F" w14:textId="77777777" w:rsidTr="00E5675C">
        <w:tc>
          <w:tcPr>
            <w:tcW w:w="1349" w:type="dxa"/>
          </w:tcPr>
          <w:p w14:paraId="75F42F18" w14:textId="77777777" w:rsidR="00182709" w:rsidRDefault="00182709">
            <w:pPr>
              <w:jc w:val="left"/>
            </w:pPr>
          </w:p>
        </w:tc>
        <w:tc>
          <w:tcPr>
            <w:tcW w:w="6558" w:type="dxa"/>
          </w:tcPr>
          <w:p w14:paraId="33BFA720" w14:textId="77777777" w:rsidR="00182709" w:rsidRDefault="0044097C">
            <w:pPr>
              <w:jc w:val="left"/>
            </w:pPr>
            <w:r>
              <w:t>Net gain/(loss) on financial instruments</w:t>
            </w:r>
          </w:p>
        </w:tc>
        <w:tc>
          <w:tcPr>
            <w:tcW w:w="866" w:type="dxa"/>
          </w:tcPr>
          <w:p w14:paraId="5A7B56C2" w14:textId="77777777" w:rsidR="00182709" w:rsidRDefault="0044097C">
            <w:r>
              <w:t>(440)</w:t>
            </w:r>
          </w:p>
        </w:tc>
        <w:tc>
          <w:tcPr>
            <w:tcW w:w="866" w:type="dxa"/>
          </w:tcPr>
          <w:p w14:paraId="48BC2C0A" w14:textId="77777777" w:rsidR="00182709" w:rsidRDefault="0044097C">
            <w:r>
              <w:t>(863)</w:t>
            </w:r>
          </w:p>
        </w:tc>
      </w:tr>
      <w:tr w:rsidR="00182709" w14:paraId="2DCDA79A" w14:textId="77777777" w:rsidTr="00E5675C">
        <w:tc>
          <w:tcPr>
            <w:tcW w:w="1349" w:type="dxa"/>
          </w:tcPr>
          <w:p w14:paraId="6C9216F4" w14:textId="77777777" w:rsidR="00182709" w:rsidRDefault="00182709">
            <w:pPr>
              <w:jc w:val="left"/>
            </w:pPr>
          </w:p>
        </w:tc>
        <w:tc>
          <w:tcPr>
            <w:tcW w:w="6558" w:type="dxa"/>
            <w:tcBorders>
              <w:bottom w:val="single" w:sz="12" w:space="0" w:color="auto"/>
            </w:tcBorders>
          </w:tcPr>
          <w:p w14:paraId="3B878BD9" w14:textId="77777777" w:rsidR="00182709" w:rsidRDefault="0044097C">
            <w:pPr>
              <w:jc w:val="left"/>
            </w:pPr>
            <w:r>
              <w:t>Other gains/(losses) from other economic flows</w:t>
            </w:r>
          </w:p>
        </w:tc>
        <w:tc>
          <w:tcPr>
            <w:tcW w:w="866" w:type="dxa"/>
            <w:tcBorders>
              <w:bottom w:val="single" w:sz="12" w:space="0" w:color="auto"/>
            </w:tcBorders>
          </w:tcPr>
          <w:p w14:paraId="5A0CCB63" w14:textId="77777777" w:rsidR="00182709" w:rsidRDefault="0044097C">
            <w:r>
              <w:t>(1 046)</w:t>
            </w:r>
          </w:p>
        </w:tc>
        <w:tc>
          <w:tcPr>
            <w:tcW w:w="866" w:type="dxa"/>
            <w:tcBorders>
              <w:bottom w:val="single" w:sz="12" w:space="0" w:color="auto"/>
            </w:tcBorders>
          </w:tcPr>
          <w:p w14:paraId="37E380B6" w14:textId="77777777" w:rsidR="00182709" w:rsidRDefault="0044097C">
            <w:r>
              <w:t>(940)</w:t>
            </w:r>
          </w:p>
        </w:tc>
      </w:tr>
      <w:tr w:rsidR="00671D55" w14:paraId="3879E6A6" w14:textId="77777777" w:rsidTr="00E5675C">
        <w:tc>
          <w:tcPr>
            <w:tcW w:w="1349" w:type="dxa"/>
          </w:tcPr>
          <w:p w14:paraId="45A37E7C" w14:textId="77777777" w:rsidR="00182709" w:rsidRDefault="00182709">
            <w:pPr>
              <w:jc w:val="left"/>
            </w:pPr>
          </w:p>
        </w:tc>
        <w:tc>
          <w:tcPr>
            <w:tcW w:w="6558" w:type="dxa"/>
          </w:tcPr>
          <w:p w14:paraId="2C383616" w14:textId="77777777" w:rsidR="00182709" w:rsidRDefault="0044097C">
            <w:pPr>
              <w:jc w:val="left"/>
            </w:pPr>
            <w:r>
              <w:rPr>
                <w:b/>
              </w:rPr>
              <w:t>Total other economic flows included in net result</w:t>
            </w:r>
          </w:p>
        </w:tc>
        <w:tc>
          <w:tcPr>
            <w:tcW w:w="866" w:type="dxa"/>
          </w:tcPr>
          <w:p w14:paraId="037FB812" w14:textId="77777777" w:rsidR="00182709" w:rsidRDefault="0044097C">
            <w:r>
              <w:rPr>
                <w:b/>
              </w:rPr>
              <w:t>(1 443)</w:t>
            </w:r>
          </w:p>
        </w:tc>
        <w:tc>
          <w:tcPr>
            <w:tcW w:w="866" w:type="dxa"/>
          </w:tcPr>
          <w:p w14:paraId="55C5485B" w14:textId="77777777" w:rsidR="00182709" w:rsidRDefault="0044097C">
            <w:r>
              <w:rPr>
                <w:b/>
              </w:rPr>
              <w:t>(1 474)</w:t>
            </w:r>
          </w:p>
        </w:tc>
      </w:tr>
      <w:tr w:rsidR="00671D55" w14:paraId="00FACFB9" w14:textId="77777777" w:rsidTr="00E5675C">
        <w:tc>
          <w:tcPr>
            <w:tcW w:w="1349" w:type="dxa"/>
            <w:tcBorders>
              <w:bottom w:val="nil"/>
            </w:tcBorders>
          </w:tcPr>
          <w:p w14:paraId="176C46EE" w14:textId="77777777" w:rsidR="00182709" w:rsidRDefault="00182709">
            <w:pPr>
              <w:jc w:val="left"/>
            </w:pPr>
          </w:p>
        </w:tc>
        <w:tc>
          <w:tcPr>
            <w:tcW w:w="6558" w:type="dxa"/>
          </w:tcPr>
          <w:p w14:paraId="2FE9CDA9" w14:textId="77777777" w:rsidR="00182709" w:rsidRDefault="0044097C">
            <w:pPr>
              <w:jc w:val="left"/>
            </w:pPr>
            <w:r>
              <w:rPr>
                <w:b/>
              </w:rPr>
              <w:t>Net result from discontinued operations</w:t>
            </w:r>
          </w:p>
        </w:tc>
        <w:tc>
          <w:tcPr>
            <w:tcW w:w="866" w:type="dxa"/>
          </w:tcPr>
          <w:p w14:paraId="3783A4E3" w14:textId="77777777" w:rsidR="00182709" w:rsidRDefault="0044097C">
            <w:r>
              <w:rPr>
                <w:b/>
              </w:rPr>
              <w:t>1 230</w:t>
            </w:r>
          </w:p>
        </w:tc>
        <w:tc>
          <w:tcPr>
            <w:tcW w:w="866" w:type="dxa"/>
          </w:tcPr>
          <w:p w14:paraId="50595FCC" w14:textId="77777777" w:rsidR="00182709" w:rsidRDefault="0044097C">
            <w:r>
              <w:rPr>
                <w:b/>
              </w:rPr>
              <w:t>3 856</w:t>
            </w:r>
          </w:p>
        </w:tc>
      </w:tr>
    </w:tbl>
    <w:p w14:paraId="446586F6" w14:textId="77777777" w:rsidR="003719CD" w:rsidRDefault="003719CD" w:rsidP="007D536F"/>
    <w:p w14:paraId="5B7EB020" w14:textId="77777777" w:rsidR="00BD3823" w:rsidRDefault="00BD3823">
      <w:pPr>
        <w:keepLines w:val="0"/>
        <w:rPr>
          <w:rFonts w:asciiTheme="majorHAnsi" w:eastAsiaTheme="majorEastAsia" w:hAnsiTheme="majorHAnsi" w:cstheme="majorBidi"/>
          <w:b/>
          <w:sz w:val="22"/>
          <w:szCs w:val="24"/>
        </w:rPr>
      </w:pPr>
      <w:r>
        <w:br w:type="page"/>
      </w:r>
    </w:p>
    <w:p w14:paraId="05F759BF" w14:textId="5A99DB4B" w:rsidR="003719CD" w:rsidRDefault="003719CD" w:rsidP="007762BE">
      <w:pPr>
        <w:pStyle w:val="Heading3numbered"/>
      </w:pPr>
      <w:r>
        <w:lastRenderedPageBreak/>
        <w:t xml:space="preserve">Net cash flows from discontinued operations </w:t>
      </w:r>
      <w:r w:rsidRPr="006809EA">
        <w:rPr>
          <w:rStyle w:val="Reference"/>
        </w:rPr>
        <w:t>[AASB 5.33(c)]</w:t>
      </w:r>
    </w:p>
    <w:p w14:paraId="7D3AA7B6"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E5675C" w14:paraId="1475815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DB4B71F" w14:textId="77777777" w:rsidR="00E5675C" w:rsidRDefault="00E5675C" w:rsidP="00E5675C">
            <w:pPr>
              <w:keepNext/>
            </w:pPr>
          </w:p>
        </w:tc>
        <w:tc>
          <w:tcPr>
            <w:tcW w:w="907" w:type="dxa"/>
          </w:tcPr>
          <w:p w14:paraId="78E2050A" w14:textId="737F4CB0" w:rsidR="00E5675C" w:rsidRDefault="00E5675C" w:rsidP="00E5675C">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907" w:type="dxa"/>
          </w:tcPr>
          <w:p w14:paraId="11E8363D" w14:textId="2DCE8CEA" w:rsidR="00E5675C" w:rsidRDefault="00E5675C" w:rsidP="00E5675C">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8E5233" w14:paraId="6E740B34" w14:textId="77777777">
        <w:tc>
          <w:tcPr>
            <w:cnfStyle w:val="001000000000" w:firstRow="0" w:lastRow="0" w:firstColumn="1" w:lastColumn="0" w:oddVBand="0" w:evenVBand="0" w:oddHBand="0" w:evenHBand="0" w:firstRowFirstColumn="0" w:firstRowLastColumn="0" w:lastRowFirstColumn="0" w:lastRowLastColumn="0"/>
            <w:tcW w:w="7825" w:type="dxa"/>
          </w:tcPr>
          <w:p w14:paraId="7AEF2BB5" w14:textId="77777777" w:rsidR="008E5233" w:rsidRDefault="005648A9">
            <w:r>
              <w:t>Net cash flows from operating activities</w:t>
            </w:r>
          </w:p>
        </w:tc>
        <w:tc>
          <w:tcPr>
            <w:tcW w:w="907" w:type="dxa"/>
          </w:tcPr>
          <w:p w14:paraId="446CC7CC" w14:textId="77777777" w:rsidR="008E5233" w:rsidRDefault="005648A9">
            <w:pPr>
              <w:cnfStyle w:val="000000000000" w:firstRow="0" w:lastRow="0" w:firstColumn="0" w:lastColumn="0" w:oddVBand="0" w:evenVBand="0" w:oddHBand="0" w:evenHBand="0" w:firstRowFirstColumn="0" w:firstRowLastColumn="0" w:lastRowFirstColumn="0" w:lastRowLastColumn="0"/>
            </w:pPr>
            <w:r>
              <w:t>1 326</w:t>
            </w:r>
          </w:p>
        </w:tc>
        <w:tc>
          <w:tcPr>
            <w:tcW w:w="907" w:type="dxa"/>
          </w:tcPr>
          <w:p w14:paraId="1C39BF7E" w14:textId="77777777" w:rsidR="008E5233" w:rsidRDefault="005648A9">
            <w:pPr>
              <w:cnfStyle w:val="000000000000" w:firstRow="0" w:lastRow="0" w:firstColumn="0" w:lastColumn="0" w:oddVBand="0" w:evenVBand="0" w:oddHBand="0" w:evenHBand="0" w:firstRowFirstColumn="0" w:firstRowLastColumn="0" w:lastRowFirstColumn="0" w:lastRowLastColumn="0"/>
            </w:pPr>
            <w:r>
              <w:t>6 655</w:t>
            </w:r>
          </w:p>
        </w:tc>
      </w:tr>
      <w:tr w:rsidR="008E5233" w14:paraId="1921DD11" w14:textId="77777777">
        <w:tc>
          <w:tcPr>
            <w:cnfStyle w:val="001000000000" w:firstRow="0" w:lastRow="0" w:firstColumn="1" w:lastColumn="0" w:oddVBand="0" w:evenVBand="0" w:oddHBand="0" w:evenHBand="0" w:firstRowFirstColumn="0" w:firstRowLastColumn="0" w:lastRowFirstColumn="0" w:lastRowLastColumn="0"/>
            <w:tcW w:w="7825" w:type="dxa"/>
          </w:tcPr>
          <w:p w14:paraId="74DEC033" w14:textId="77777777" w:rsidR="008E5233" w:rsidRDefault="005648A9">
            <w:r>
              <w:t>Net cash flows from investing activities</w:t>
            </w:r>
          </w:p>
        </w:tc>
        <w:tc>
          <w:tcPr>
            <w:tcW w:w="907" w:type="dxa"/>
          </w:tcPr>
          <w:p w14:paraId="20805D8A" w14:textId="77777777" w:rsidR="008E5233" w:rsidRDefault="005648A9">
            <w:pPr>
              <w:cnfStyle w:val="000000000000" w:firstRow="0" w:lastRow="0" w:firstColumn="0" w:lastColumn="0" w:oddVBand="0" w:evenVBand="0" w:oddHBand="0" w:evenHBand="0" w:firstRowFirstColumn="0" w:firstRowLastColumn="0" w:lastRowFirstColumn="0" w:lastRowLastColumn="0"/>
            </w:pPr>
            <w:r>
              <w:t>(1 376)</w:t>
            </w:r>
          </w:p>
        </w:tc>
        <w:tc>
          <w:tcPr>
            <w:tcW w:w="907" w:type="dxa"/>
          </w:tcPr>
          <w:p w14:paraId="77913818" w14:textId="77777777" w:rsidR="008E5233" w:rsidRDefault="005648A9">
            <w:pPr>
              <w:cnfStyle w:val="000000000000" w:firstRow="0" w:lastRow="0" w:firstColumn="0" w:lastColumn="0" w:oddVBand="0" w:evenVBand="0" w:oddHBand="0" w:evenHBand="0" w:firstRowFirstColumn="0" w:firstRowLastColumn="0" w:lastRowFirstColumn="0" w:lastRowLastColumn="0"/>
            </w:pPr>
            <w:r>
              <w:t>(2 484)</w:t>
            </w:r>
          </w:p>
        </w:tc>
      </w:tr>
      <w:tr w:rsidR="008E5233" w14:paraId="2A92A2FE"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432AA1D4" w14:textId="77777777" w:rsidR="008E5233" w:rsidRDefault="005648A9">
            <w:r>
              <w:t>Net cash flows from financing activities</w:t>
            </w:r>
          </w:p>
        </w:tc>
        <w:tc>
          <w:tcPr>
            <w:tcW w:w="907" w:type="dxa"/>
            <w:tcBorders>
              <w:bottom w:val="single" w:sz="12" w:space="0" w:color="auto"/>
            </w:tcBorders>
          </w:tcPr>
          <w:p w14:paraId="558F14E3" w14:textId="77777777" w:rsidR="008E5233" w:rsidRDefault="005648A9">
            <w:pPr>
              <w:cnfStyle w:val="000000000000" w:firstRow="0" w:lastRow="0" w:firstColumn="0" w:lastColumn="0" w:oddVBand="0" w:evenVBand="0" w:oddHBand="0" w:evenHBand="0" w:firstRowFirstColumn="0" w:firstRowLastColumn="0" w:lastRowFirstColumn="0" w:lastRowLastColumn="0"/>
            </w:pPr>
            <w:r>
              <w:t>(326)</w:t>
            </w:r>
          </w:p>
        </w:tc>
        <w:tc>
          <w:tcPr>
            <w:tcW w:w="907" w:type="dxa"/>
            <w:tcBorders>
              <w:bottom w:val="single" w:sz="12" w:space="0" w:color="auto"/>
            </w:tcBorders>
          </w:tcPr>
          <w:p w14:paraId="6D211E41" w14:textId="77777777" w:rsidR="008E5233" w:rsidRDefault="005648A9">
            <w:pPr>
              <w:cnfStyle w:val="000000000000" w:firstRow="0" w:lastRow="0" w:firstColumn="0" w:lastColumn="0" w:oddVBand="0" w:evenVBand="0" w:oddHBand="0" w:evenHBand="0" w:firstRowFirstColumn="0" w:firstRowLastColumn="0" w:lastRowFirstColumn="0" w:lastRowLastColumn="0"/>
            </w:pPr>
            <w:r>
              <w:t>(116)</w:t>
            </w:r>
          </w:p>
        </w:tc>
      </w:tr>
      <w:tr w:rsidR="00671D55" w14:paraId="5872DBB2"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5683BC05" w14:textId="77777777" w:rsidR="008E5233" w:rsidRDefault="005648A9">
            <w:r>
              <w:rPr>
                <w:b/>
              </w:rPr>
              <w:t>Net cash flows from discontinued operations</w:t>
            </w:r>
          </w:p>
        </w:tc>
        <w:tc>
          <w:tcPr>
            <w:tcW w:w="907" w:type="dxa"/>
          </w:tcPr>
          <w:p w14:paraId="16D0EC2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(376)</w:t>
            </w:r>
          </w:p>
        </w:tc>
        <w:tc>
          <w:tcPr>
            <w:tcW w:w="907" w:type="dxa"/>
          </w:tcPr>
          <w:p w14:paraId="68014473"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4 055</w:t>
            </w:r>
          </w:p>
        </w:tc>
      </w:tr>
    </w:tbl>
    <w:p w14:paraId="2FA85347" w14:textId="77777777" w:rsidR="003719CD" w:rsidRDefault="003719CD" w:rsidP="00DC39DE"/>
    <w:p w14:paraId="678F8D54" w14:textId="77777777" w:rsidR="003719CD" w:rsidRDefault="003719CD" w:rsidP="007762BE">
      <w:pPr>
        <w:pStyle w:val="Heading3numbered"/>
      </w:pPr>
      <w:r>
        <w:t xml:space="preserve">Discontinued operations: Carrying amounts of assets and liabilities (major classes) comprising the operations classified as held for sale </w:t>
      </w:r>
      <w:r w:rsidRPr="006809EA">
        <w:rPr>
          <w:rStyle w:val="Reference"/>
        </w:rPr>
        <w:t>[AASB 5.38]</w:t>
      </w:r>
    </w:p>
    <w:p w14:paraId="092DB4BF" w14:textId="77777777" w:rsidR="003719CD" w:rsidRDefault="003719CD" w:rsidP="007D536F">
      <w:pPr>
        <w:pStyle w:val="TableUnits"/>
      </w:pPr>
      <w:r>
        <w:t xml:space="preserve">($ thousand) </w:t>
      </w:r>
    </w:p>
    <w:tbl>
      <w:tblPr>
        <w:tblStyle w:val="DTFTable"/>
        <w:tblW w:w="9639" w:type="dxa"/>
        <w:tblLayout w:type="fixed"/>
        <w:tblLook w:val="06A0" w:firstRow="1" w:lastRow="0" w:firstColumn="1" w:lastColumn="0" w:noHBand="1" w:noVBand="1"/>
      </w:tblPr>
      <w:tblGrid>
        <w:gridCol w:w="7825"/>
        <w:gridCol w:w="907"/>
        <w:gridCol w:w="907"/>
      </w:tblGrid>
      <w:tr w:rsidR="00E5675C" w14:paraId="25274317"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44143986" w14:textId="77777777" w:rsidR="00E5675C" w:rsidRDefault="00E5675C" w:rsidP="00E5675C">
            <w:pPr>
              <w:keepNext/>
            </w:pPr>
          </w:p>
        </w:tc>
        <w:tc>
          <w:tcPr>
            <w:tcW w:w="907" w:type="dxa"/>
          </w:tcPr>
          <w:p w14:paraId="56EF95F5" w14:textId="25730D79" w:rsidR="00E5675C" w:rsidRDefault="00E5675C" w:rsidP="00E5675C">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907" w:type="dxa"/>
          </w:tcPr>
          <w:p w14:paraId="4058AE66" w14:textId="190FEE1F" w:rsidR="00E5675C" w:rsidRDefault="00E5675C" w:rsidP="00E5675C">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8E5233" w14:paraId="4888F405" w14:textId="77777777">
        <w:tc>
          <w:tcPr>
            <w:cnfStyle w:val="001000000000" w:firstRow="0" w:lastRow="0" w:firstColumn="1" w:lastColumn="0" w:oddVBand="0" w:evenVBand="0" w:oddHBand="0" w:evenHBand="0" w:firstRowFirstColumn="0" w:firstRowLastColumn="0" w:lastRowFirstColumn="0" w:lastRowLastColumn="0"/>
            <w:tcW w:w="7825" w:type="dxa"/>
          </w:tcPr>
          <w:p w14:paraId="6E45A07F" w14:textId="77777777" w:rsidR="008E5233" w:rsidRDefault="005648A9">
            <w:r>
              <w:t>Cash and deposits</w:t>
            </w:r>
          </w:p>
        </w:tc>
        <w:tc>
          <w:tcPr>
            <w:tcW w:w="907" w:type="dxa"/>
          </w:tcPr>
          <w:p w14:paraId="002B0B7F" w14:textId="77777777" w:rsidR="008E5233" w:rsidRDefault="005648A9">
            <w:pPr>
              <w:cnfStyle w:val="000000000000" w:firstRow="0" w:lastRow="0" w:firstColumn="0" w:lastColumn="0" w:oddVBand="0" w:evenVBand="0" w:oddHBand="0" w:evenHBand="0" w:firstRowFirstColumn="0" w:firstRowLastColumn="0" w:lastRowFirstColumn="0" w:lastRowLastColumn="0"/>
            </w:pPr>
            <w:r>
              <w:t>5 254</w:t>
            </w:r>
          </w:p>
        </w:tc>
        <w:tc>
          <w:tcPr>
            <w:tcW w:w="907" w:type="dxa"/>
          </w:tcPr>
          <w:p w14:paraId="0E64B539" w14:textId="77777777" w:rsidR="008E5233" w:rsidRDefault="005648A9">
            <w:pPr>
              <w:cnfStyle w:val="000000000000" w:firstRow="0" w:lastRow="0" w:firstColumn="0" w:lastColumn="0" w:oddVBand="0" w:evenVBand="0" w:oddHBand="0" w:evenHBand="0" w:firstRowFirstColumn="0" w:firstRowLastColumn="0" w:lastRowFirstColumn="0" w:lastRowLastColumn="0"/>
            </w:pPr>
            <w:r>
              <w:t>1 283</w:t>
            </w:r>
          </w:p>
        </w:tc>
      </w:tr>
      <w:tr w:rsidR="008E5233" w14:paraId="7495E070" w14:textId="77777777">
        <w:tc>
          <w:tcPr>
            <w:cnfStyle w:val="001000000000" w:firstRow="0" w:lastRow="0" w:firstColumn="1" w:lastColumn="0" w:oddVBand="0" w:evenVBand="0" w:oddHBand="0" w:evenHBand="0" w:firstRowFirstColumn="0" w:firstRowLastColumn="0" w:lastRowFirstColumn="0" w:lastRowLastColumn="0"/>
            <w:tcW w:w="7825" w:type="dxa"/>
          </w:tcPr>
          <w:p w14:paraId="49064162" w14:textId="77777777" w:rsidR="008E5233" w:rsidRDefault="005648A9">
            <w:r>
              <w:t>Receivables</w:t>
            </w:r>
          </w:p>
        </w:tc>
        <w:tc>
          <w:tcPr>
            <w:tcW w:w="907" w:type="dxa"/>
          </w:tcPr>
          <w:p w14:paraId="1007294B" w14:textId="77777777" w:rsidR="008E5233" w:rsidRDefault="005648A9">
            <w:pPr>
              <w:cnfStyle w:val="000000000000" w:firstRow="0" w:lastRow="0" w:firstColumn="0" w:lastColumn="0" w:oddVBand="0" w:evenVBand="0" w:oddHBand="0" w:evenHBand="0" w:firstRowFirstColumn="0" w:firstRowLastColumn="0" w:lastRowFirstColumn="0" w:lastRowLastColumn="0"/>
            </w:pPr>
            <w:r>
              <w:t>2 797</w:t>
            </w:r>
          </w:p>
        </w:tc>
        <w:tc>
          <w:tcPr>
            <w:tcW w:w="907" w:type="dxa"/>
          </w:tcPr>
          <w:p w14:paraId="7DC7C9CE" w14:textId="77777777" w:rsidR="008E5233" w:rsidRDefault="005648A9">
            <w:pPr>
              <w:cnfStyle w:val="000000000000" w:firstRow="0" w:lastRow="0" w:firstColumn="0" w:lastColumn="0" w:oddVBand="0" w:evenVBand="0" w:oddHBand="0" w:evenHBand="0" w:firstRowFirstColumn="0" w:firstRowLastColumn="0" w:lastRowFirstColumn="0" w:lastRowLastColumn="0"/>
            </w:pPr>
            <w:r>
              <w:t>4 736</w:t>
            </w:r>
          </w:p>
        </w:tc>
      </w:tr>
      <w:tr w:rsidR="008E5233" w14:paraId="471DD93E" w14:textId="77777777">
        <w:tc>
          <w:tcPr>
            <w:cnfStyle w:val="001000000000" w:firstRow="0" w:lastRow="0" w:firstColumn="1" w:lastColumn="0" w:oddVBand="0" w:evenVBand="0" w:oddHBand="0" w:evenHBand="0" w:firstRowFirstColumn="0" w:firstRowLastColumn="0" w:lastRowFirstColumn="0" w:lastRowLastColumn="0"/>
            <w:tcW w:w="7825" w:type="dxa"/>
          </w:tcPr>
          <w:p w14:paraId="34D02B97" w14:textId="77777777" w:rsidR="008E5233" w:rsidRDefault="005648A9">
            <w:r>
              <w:t>Investments and other financial assets</w:t>
            </w:r>
          </w:p>
        </w:tc>
        <w:tc>
          <w:tcPr>
            <w:tcW w:w="907" w:type="dxa"/>
          </w:tcPr>
          <w:p w14:paraId="3124FFEC" w14:textId="77777777" w:rsidR="008E5233" w:rsidRDefault="005648A9">
            <w:pPr>
              <w:cnfStyle w:val="000000000000" w:firstRow="0" w:lastRow="0" w:firstColumn="0" w:lastColumn="0" w:oddVBand="0" w:evenVBand="0" w:oddHBand="0" w:evenHBand="0" w:firstRowFirstColumn="0" w:firstRowLastColumn="0" w:lastRowFirstColumn="0" w:lastRowLastColumn="0"/>
            </w:pPr>
            <w:r>
              <w:t>521</w:t>
            </w:r>
          </w:p>
        </w:tc>
        <w:tc>
          <w:tcPr>
            <w:tcW w:w="907" w:type="dxa"/>
          </w:tcPr>
          <w:p w14:paraId="737ABFD2" w14:textId="77777777" w:rsidR="008E5233" w:rsidRDefault="005648A9">
            <w:pPr>
              <w:cnfStyle w:val="000000000000" w:firstRow="0" w:lastRow="0" w:firstColumn="0" w:lastColumn="0" w:oddVBand="0" w:evenVBand="0" w:oddHBand="0" w:evenHBand="0" w:firstRowFirstColumn="0" w:firstRowLastColumn="0" w:lastRowFirstColumn="0" w:lastRowLastColumn="0"/>
            </w:pPr>
            <w:r>
              <w:t>5 737</w:t>
            </w:r>
          </w:p>
        </w:tc>
      </w:tr>
      <w:tr w:rsidR="008E5233" w14:paraId="6E3745B2" w14:textId="77777777">
        <w:tc>
          <w:tcPr>
            <w:cnfStyle w:val="001000000000" w:firstRow="0" w:lastRow="0" w:firstColumn="1" w:lastColumn="0" w:oddVBand="0" w:evenVBand="0" w:oddHBand="0" w:evenHBand="0" w:firstRowFirstColumn="0" w:firstRowLastColumn="0" w:lastRowFirstColumn="0" w:lastRowLastColumn="0"/>
            <w:tcW w:w="7825" w:type="dxa"/>
          </w:tcPr>
          <w:p w14:paraId="5F240666" w14:textId="77777777" w:rsidR="008E5233" w:rsidRDefault="005648A9">
            <w:r>
              <w:t>Inventories</w:t>
            </w:r>
          </w:p>
        </w:tc>
        <w:tc>
          <w:tcPr>
            <w:tcW w:w="907" w:type="dxa"/>
          </w:tcPr>
          <w:p w14:paraId="04165FF5" w14:textId="77777777" w:rsidR="008E5233" w:rsidRDefault="005648A9">
            <w:pPr>
              <w:cnfStyle w:val="000000000000" w:firstRow="0" w:lastRow="0" w:firstColumn="0" w:lastColumn="0" w:oddVBand="0" w:evenVBand="0" w:oddHBand="0" w:evenHBand="0" w:firstRowFirstColumn="0" w:firstRowLastColumn="0" w:lastRowFirstColumn="0" w:lastRowLastColumn="0"/>
            </w:pPr>
            <w:r>
              <w:t>2 827</w:t>
            </w:r>
          </w:p>
        </w:tc>
        <w:tc>
          <w:tcPr>
            <w:tcW w:w="907" w:type="dxa"/>
          </w:tcPr>
          <w:p w14:paraId="696BF8DE" w14:textId="77777777" w:rsidR="008E5233" w:rsidRDefault="005648A9">
            <w:pPr>
              <w:cnfStyle w:val="000000000000" w:firstRow="0" w:lastRow="0" w:firstColumn="0" w:lastColumn="0" w:oddVBand="0" w:evenVBand="0" w:oddHBand="0" w:evenHBand="0" w:firstRowFirstColumn="0" w:firstRowLastColumn="0" w:lastRowFirstColumn="0" w:lastRowLastColumn="0"/>
            </w:pPr>
            <w:r>
              <w:t>5 937</w:t>
            </w:r>
          </w:p>
        </w:tc>
      </w:tr>
      <w:tr w:rsidR="008E5233" w14:paraId="4845478C"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5979B0D4" w14:textId="1AAD2305" w:rsidR="008E5233" w:rsidRDefault="005648A9">
            <w:r>
              <w:t>Property, plant and equipment</w:t>
            </w:r>
          </w:p>
        </w:tc>
        <w:tc>
          <w:tcPr>
            <w:tcW w:w="907" w:type="dxa"/>
            <w:tcBorders>
              <w:bottom w:val="single" w:sz="12" w:space="0" w:color="auto"/>
            </w:tcBorders>
          </w:tcPr>
          <w:p w14:paraId="2C8195E6" w14:textId="77777777" w:rsidR="008E5233" w:rsidRDefault="005648A9">
            <w:pPr>
              <w:cnfStyle w:val="000000000000" w:firstRow="0" w:lastRow="0" w:firstColumn="0" w:lastColumn="0" w:oddVBand="0" w:evenVBand="0" w:oddHBand="0" w:evenHBand="0" w:firstRowFirstColumn="0" w:firstRowLastColumn="0" w:lastRowFirstColumn="0" w:lastRowLastColumn="0"/>
            </w:pPr>
            <w:r>
              <w:t>3 201</w:t>
            </w:r>
          </w:p>
        </w:tc>
        <w:tc>
          <w:tcPr>
            <w:tcW w:w="907" w:type="dxa"/>
            <w:tcBorders>
              <w:bottom w:val="single" w:sz="12" w:space="0" w:color="auto"/>
            </w:tcBorders>
          </w:tcPr>
          <w:p w14:paraId="02606D14" w14:textId="77777777" w:rsidR="008E5233" w:rsidRDefault="005648A9">
            <w:pPr>
              <w:cnfStyle w:val="000000000000" w:firstRow="0" w:lastRow="0" w:firstColumn="0" w:lastColumn="0" w:oddVBand="0" w:evenVBand="0" w:oddHBand="0" w:evenHBand="0" w:firstRowFirstColumn="0" w:firstRowLastColumn="0" w:lastRowFirstColumn="0" w:lastRowLastColumn="0"/>
            </w:pPr>
            <w:r>
              <w:t>7 194</w:t>
            </w:r>
          </w:p>
        </w:tc>
      </w:tr>
      <w:tr w:rsidR="00671D55" w14:paraId="7BE1B91D"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24D690F1" w14:textId="77777777" w:rsidR="008E5233" w:rsidRDefault="005648A9">
            <w:r>
              <w:rPr>
                <w:b/>
              </w:rPr>
              <w:t>Total assets classified as held for sale</w:t>
            </w:r>
          </w:p>
        </w:tc>
        <w:tc>
          <w:tcPr>
            <w:tcW w:w="907" w:type="dxa"/>
          </w:tcPr>
          <w:p w14:paraId="5683382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14 600</w:t>
            </w:r>
          </w:p>
        </w:tc>
        <w:tc>
          <w:tcPr>
            <w:tcW w:w="907" w:type="dxa"/>
          </w:tcPr>
          <w:p w14:paraId="030F134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24 887</w:t>
            </w:r>
          </w:p>
        </w:tc>
      </w:tr>
      <w:tr w:rsidR="00671D55" w14:paraId="73136BE3"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006C2766" w14:textId="77777777" w:rsidR="008E5233" w:rsidRDefault="005648A9">
            <w:r>
              <w:t>Payables</w:t>
            </w:r>
          </w:p>
        </w:tc>
        <w:tc>
          <w:tcPr>
            <w:tcW w:w="907" w:type="dxa"/>
          </w:tcPr>
          <w:p w14:paraId="5030226F" w14:textId="77777777" w:rsidR="008E5233" w:rsidRDefault="005648A9">
            <w:pPr>
              <w:cnfStyle w:val="000000000000" w:firstRow="0" w:lastRow="0" w:firstColumn="0" w:lastColumn="0" w:oddVBand="0" w:evenVBand="0" w:oddHBand="0" w:evenHBand="0" w:firstRowFirstColumn="0" w:firstRowLastColumn="0" w:lastRowFirstColumn="0" w:lastRowLastColumn="0"/>
            </w:pPr>
            <w:r>
              <w:t>(378)</w:t>
            </w:r>
          </w:p>
        </w:tc>
        <w:tc>
          <w:tcPr>
            <w:tcW w:w="907" w:type="dxa"/>
          </w:tcPr>
          <w:p w14:paraId="61A5E6DF" w14:textId="77777777" w:rsidR="008E5233" w:rsidRDefault="005648A9">
            <w:pPr>
              <w:cnfStyle w:val="000000000000" w:firstRow="0" w:lastRow="0" w:firstColumn="0" w:lastColumn="0" w:oddVBand="0" w:evenVBand="0" w:oddHBand="0" w:evenHBand="0" w:firstRowFirstColumn="0" w:firstRowLastColumn="0" w:lastRowFirstColumn="0" w:lastRowLastColumn="0"/>
            </w:pPr>
            <w:r>
              <w:t>(2 713)</w:t>
            </w:r>
          </w:p>
        </w:tc>
      </w:tr>
      <w:tr w:rsidR="008E5233" w14:paraId="4EEB117B" w14:textId="77777777">
        <w:tc>
          <w:tcPr>
            <w:cnfStyle w:val="001000000000" w:firstRow="0" w:lastRow="0" w:firstColumn="1" w:lastColumn="0" w:oddVBand="0" w:evenVBand="0" w:oddHBand="0" w:evenHBand="0" w:firstRowFirstColumn="0" w:firstRowLastColumn="0" w:lastRowFirstColumn="0" w:lastRowLastColumn="0"/>
            <w:tcW w:w="7825" w:type="dxa"/>
          </w:tcPr>
          <w:p w14:paraId="1C8ABFAF" w14:textId="77777777" w:rsidR="008E5233" w:rsidRDefault="005648A9">
            <w:r>
              <w:t>Borrowings</w:t>
            </w:r>
          </w:p>
        </w:tc>
        <w:tc>
          <w:tcPr>
            <w:tcW w:w="907" w:type="dxa"/>
          </w:tcPr>
          <w:p w14:paraId="11E860E9" w14:textId="77777777" w:rsidR="008E5233" w:rsidRDefault="005648A9">
            <w:pPr>
              <w:cnfStyle w:val="000000000000" w:firstRow="0" w:lastRow="0" w:firstColumn="0" w:lastColumn="0" w:oddVBand="0" w:evenVBand="0" w:oddHBand="0" w:evenHBand="0" w:firstRowFirstColumn="0" w:firstRowLastColumn="0" w:lastRowFirstColumn="0" w:lastRowLastColumn="0"/>
            </w:pPr>
            <w:r>
              <w:t>(860)</w:t>
            </w:r>
          </w:p>
        </w:tc>
        <w:tc>
          <w:tcPr>
            <w:tcW w:w="907" w:type="dxa"/>
          </w:tcPr>
          <w:p w14:paraId="1ADA974C" w14:textId="77777777" w:rsidR="008E5233" w:rsidRDefault="005648A9">
            <w:pPr>
              <w:cnfStyle w:val="000000000000" w:firstRow="0" w:lastRow="0" w:firstColumn="0" w:lastColumn="0" w:oddVBand="0" w:evenVBand="0" w:oddHBand="0" w:evenHBand="0" w:firstRowFirstColumn="0" w:firstRowLastColumn="0" w:lastRowFirstColumn="0" w:lastRowLastColumn="0"/>
            </w:pPr>
            <w:r>
              <w:t>(2 567)</w:t>
            </w:r>
          </w:p>
        </w:tc>
      </w:tr>
      <w:tr w:rsidR="008E5233" w14:paraId="4C8B4C44" w14:textId="77777777">
        <w:tc>
          <w:tcPr>
            <w:cnfStyle w:val="001000000000" w:firstRow="0" w:lastRow="0" w:firstColumn="1" w:lastColumn="0" w:oddVBand="0" w:evenVBand="0" w:oddHBand="0" w:evenHBand="0" w:firstRowFirstColumn="0" w:firstRowLastColumn="0" w:lastRowFirstColumn="0" w:lastRowLastColumn="0"/>
            <w:tcW w:w="7825" w:type="dxa"/>
          </w:tcPr>
          <w:p w14:paraId="2B0A717A" w14:textId="77777777" w:rsidR="008E5233" w:rsidRDefault="005648A9">
            <w:r>
              <w:t>Provisions</w:t>
            </w:r>
          </w:p>
        </w:tc>
        <w:tc>
          <w:tcPr>
            <w:tcW w:w="907" w:type="dxa"/>
          </w:tcPr>
          <w:p w14:paraId="4AB02E56" w14:textId="77777777" w:rsidR="008E5233" w:rsidRDefault="005648A9">
            <w:pPr>
              <w:cnfStyle w:val="000000000000" w:firstRow="0" w:lastRow="0" w:firstColumn="0" w:lastColumn="0" w:oddVBand="0" w:evenVBand="0" w:oddHBand="0" w:evenHBand="0" w:firstRowFirstColumn="0" w:firstRowLastColumn="0" w:lastRowFirstColumn="0" w:lastRowLastColumn="0"/>
            </w:pPr>
            <w:r>
              <w:t>(3 149)</w:t>
            </w:r>
          </w:p>
        </w:tc>
        <w:tc>
          <w:tcPr>
            <w:tcW w:w="907" w:type="dxa"/>
          </w:tcPr>
          <w:p w14:paraId="63EE6AFD" w14:textId="77777777" w:rsidR="008E5233" w:rsidRDefault="005648A9">
            <w:pPr>
              <w:cnfStyle w:val="000000000000" w:firstRow="0" w:lastRow="0" w:firstColumn="0" w:lastColumn="0" w:oddVBand="0" w:evenVBand="0" w:oddHBand="0" w:evenHBand="0" w:firstRowFirstColumn="0" w:firstRowLastColumn="0" w:lastRowFirstColumn="0" w:lastRowLastColumn="0"/>
            </w:pPr>
            <w:r>
              <w:t>(3 680)</w:t>
            </w:r>
          </w:p>
        </w:tc>
      </w:tr>
      <w:tr w:rsidR="008E5233" w14:paraId="7FC1B18C" w14:textId="77777777" w:rsidTr="008E5233">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16F9BD2C" w14:textId="77777777" w:rsidR="008E5233" w:rsidRDefault="005648A9">
            <w:r>
              <w:t>Other liabilities</w:t>
            </w:r>
          </w:p>
        </w:tc>
        <w:tc>
          <w:tcPr>
            <w:tcW w:w="907" w:type="dxa"/>
            <w:tcBorders>
              <w:bottom w:val="single" w:sz="12" w:space="0" w:color="auto"/>
            </w:tcBorders>
          </w:tcPr>
          <w:p w14:paraId="05DB0D1E" w14:textId="77777777" w:rsidR="008E5233" w:rsidRDefault="005648A9">
            <w:pPr>
              <w:cnfStyle w:val="000000000000" w:firstRow="0" w:lastRow="0" w:firstColumn="0" w:lastColumn="0" w:oddVBand="0" w:evenVBand="0" w:oddHBand="0" w:evenHBand="0" w:firstRowFirstColumn="0" w:firstRowLastColumn="0" w:lastRowFirstColumn="0" w:lastRowLastColumn="0"/>
            </w:pPr>
            <w:r>
              <w:t>(51)</w:t>
            </w:r>
          </w:p>
        </w:tc>
        <w:tc>
          <w:tcPr>
            <w:tcW w:w="907" w:type="dxa"/>
            <w:tcBorders>
              <w:bottom w:val="single" w:sz="12" w:space="0" w:color="auto"/>
            </w:tcBorders>
          </w:tcPr>
          <w:p w14:paraId="3F92D9FE" w14:textId="77777777" w:rsidR="008E5233" w:rsidRDefault="005648A9">
            <w:pPr>
              <w:cnfStyle w:val="000000000000" w:firstRow="0" w:lastRow="0" w:firstColumn="0" w:lastColumn="0" w:oddVBand="0" w:evenVBand="0" w:oddHBand="0" w:evenHBand="0" w:firstRowFirstColumn="0" w:firstRowLastColumn="0" w:lastRowFirstColumn="0" w:lastRowLastColumn="0"/>
            </w:pPr>
            <w:r>
              <w:t>(20)</w:t>
            </w:r>
          </w:p>
        </w:tc>
      </w:tr>
      <w:tr w:rsidR="00671D55" w14:paraId="7C38FB9E" w14:textId="77777777" w:rsidTr="008E5233">
        <w:tc>
          <w:tcPr>
            <w:cnfStyle w:val="001000000000" w:firstRow="0" w:lastRow="0" w:firstColumn="1" w:lastColumn="0" w:oddVBand="0" w:evenVBand="0" w:oddHBand="0" w:evenHBand="0" w:firstRowFirstColumn="0" w:firstRowLastColumn="0" w:lastRowFirstColumn="0" w:lastRowLastColumn="0"/>
            <w:tcW w:w="7825" w:type="dxa"/>
          </w:tcPr>
          <w:p w14:paraId="44C5449D" w14:textId="77777777" w:rsidR="008E5233" w:rsidRDefault="005648A9">
            <w:r>
              <w:rPr>
                <w:b/>
              </w:rPr>
              <w:t>Total liabilities classified as held for sale</w:t>
            </w:r>
          </w:p>
        </w:tc>
        <w:tc>
          <w:tcPr>
            <w:tcW w:w="907" w:type="dxa"/>
          </w:tcPr>
          <w:p w14:paraId="5EE62582"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(4 438)</w:t>
            </w:r>
          </w:p>
        </w:tc>
        <w:tc>
          <w:tcPr>
            <w:tcW w:w="907" w:type="dxa"/>
          </w:tcPr>
          <w:p w14:paraId="3E39CA56"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(8 980)</w:t>
            </w:r>
          </w:p>
        </w:tc>
      </w:tr>
      <w:tr w:rsidR="00671D55" w14:paraId="49D75EC1"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01C830FE" w14:textId="77777777" w:rsidR="008E5233" w:rsidRDefault="005648A9">
            <w:r>
              <w:rPr>
                <w:b/>
              </w:rPr>
              <w:t>Net assets held for sale</w:t>
            </w:r>
          </w:p>
        </w:tc>
        <w:tc>
          <w:tcPr>
            <w:tcW w:w="907" w:type="dxa"/>
          </w:tcPr>
          <w:p w14:paraId="780C3D7D"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10 162</w:t>
            </w:r>
          </w:p>
        </w:tc>
        <w:tc>
          <w:tcPr>
            <w:tcW w:w="907" w:type="dxa"/>
          </w:tcPr>
          <w:p w14:paraId="089FCD9E" w14:textId="77777777" w:rsidR="008E5233" w:rsidRDefault="005648A9">
            <w:pPr>
              <w:cnfStyle w:val="000000000000" w:firstRow="0" w:lastRow="0" w:firstColumn="0" w:lastColumn="0" w:oddVBand="0" w:evenVBand="0" w:oddHBand="0" w:evenHBand="0" w:firstRowFirstColumn="0" w:firstRowLastColumn="0" w:lastRowFirstColumn="0" w:lastRowLastColumn="0"/>
            </w:pPr>
            <w:r>
              <w:rPr>
                <w:b/>
              </w:rPr>
              <w:t>17 376</w:t>
            </w:r>
          </w:p>
        </w:tc>
      </w:tr>
    </w:tbl>
    <w:p w14:paraId="562ACADA" w14:textId="55D1F6C1" w:rsidR="003719CD" w:rsidRDefault="003719CD" w:rsidP="00BD3823"/>
    <w:p w14:paraId="42B4FD37" w14:textId="77777777" w:rsidR="003719CD" w:rsidRDefault="003719CD" w:rsidP="007762BE">
      <w:pPr>
        <w:pStyle w:val="Heading3numbered"/>
      </w:pPr>
      <w:r>
        <w:t xml:space="preserve">Non-financial assets held for sale </w:t>
      </w:r>
      <w:r w:rsidRPr="006809EA">
        <w:rPr>
          <w:rStyle w:val="Reference"/>
        </w:rPr>
        <w:t>[AASB 5.38, 5.41]</w:t>
      </w:r>
    </w:p>
    <w:p w14:paraId="3462EFA9" w14:textId="77777777" w:rsidR="003719CD" w:rsidRDefault="003719CD" w:rsidP="00DC39DE">
      <w:r>
        <w:t>In addition to the assets and liabilities disclosed above as part of the disposal groups, the following non-financial assets held for sale exist at the reporting date:</w:t>
      </w:r>
    </w:p>
    <w:p w14:paraId="52910793"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E5675C" w14:paraId="08699BA9"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0E4E50E1" w14:textId="77777777" w:rsidR="00E5675C" w:rsidRDefault="00E5675C" w:rsidP="00E5675C">
            <w:pPr>
              <w:keepNext/>
            </w:pPr>
          </w:p>
        </w:tc>
        <w:tc>
          <w:tcPr>
            <w:tcW w:w="907" w:type="dxa"/>
          </w:tcPr>
          <w:p w14:paraId="6D8192E4" w14:textId="05A83188" w:rsidR="00E5675C" w:rsidRDefault="00E5675C" w:rsidP="00E5675C">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907" w:type="dxa"/>
          </w:tcPr>
          <w:p w14:paraId="1EED15CA" w14:textId="093BA5BD" w:rsidR="00E5675C" w:rsidRDefault="00E5675C" w:rsidP="00E5675C">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182709" w14:paraId="6406A029" w14:textId="77777777">
        <w:tc>
          <w:tcPr>
            <w:cnfStyle w:val="001000000000" w:firstRow="0" w:lastRow="0" w:firstColumn="1" w:lastColumn="0" w:oddVBand="0" w:evenVBand="0" w:oddHBand="0" w:evenHBand="0" w:firstRowFirstColumn="0" w:firstRowLastColumn="0" w:lastRowFirstColumn="0" w:lastRowLastColumn="0"/>
            <w:tcW w:w="7825" w:type="dxa"/>
          </w:tcPr>
          <w:p w14:paraId="56855B7D" w14:textId="1B6E6373" w:rsidR="00182709" w:rsidRDefault="0044097C">
            <w:r w:rsidRPr="46DFB224">
              <w:rPr>
                <w:i/>
                <w:iCs/>
              </w:rPr>
              <w:t>Non</w:t>
            </w:r>
            <w:r w:rsidR="000850DD">
              <w:rPr>
                <w:i/>
                <w:iCs/>
              </w:rPr>
              <w:t>-</w:t>
            </w:r>
            <w:r w:rsidRPr="46DFB224">
              <w:rPr>
                <w:i/>
                <w:iCs/>
              </w:rPr>
              <w:t>Current</w:t>
            </w:r>
            <w:r>
              <w:rPr>
                <w:i/>
              </w:rPr>
              <w:t xml:space="preserve"> assets:</w:t>
            </w:r>
          </w:p>
        </w:tc>
        <w:tc>
          <w:tcPr>
            <w:tcW w:w="907" w:type="dxa"/>
          </w:tcPr>
          <w:p w14:paraId="5513B3FC"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6FECA1C3"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3FC9C2E0" w14:textId="77777777">
        <w:tc>
          <w:tcPr>
            <w:cnfStyle w:val="001000000000" w:firstRow="0" w:lastRow="0" w:firstColumn="1" w:lastColumn="0" w:oddVBand="0" w:evenVBand="0" w:oddHBand="0" w:evenHBand="0" w:firstRowFirstColumn="0" w:firstRowLastColumn="0" w:lastRowFirstColumn="0" w:lastRowLastColumn="0"/>
            <w:tcW w:w="7825" w:type="dxa"/>
          </w:tcPr>
          <w:p w14:paraId="6D3B3B81" w14:textId="77777777" w:rsidR="00182709" w:rsidRDefault="0044097C">
            <w:r>
              <w:t>Freehold land held for sale</w:t>
            </w:r>
            <w:r>
              <w:rPr>
                <w:vertAlign w:val="superscript"/>
              </w:rPr>
              <w:t xml:space="preserve"> (a)</w:t>
            </w:r>
          </w:p>
        </w:tc>
        <w:tc>
          <w:tcPr>
            <w:tcW w:w="907" w:type="dxa"/>
          </w:tcPr>
          <w:p w14:paraId="1466B250" w14:textId="77777777" w:rsidR="00182709" w:rsidRDefault="0044097C">
            <w:pPr>
              <w:cnfStyle w:val="000000000000" w:firstRow="0" w:lastRow="0" w:firstColumn="0" w:lastColumn="0" w:oddVBand="0" w:evenVBand="0" w:oddHBand="0" w:evenHBand="0" w:firstRowFirstColumn="0" w:firstRowLastColumn="0" w:lastRowFirstColumn="0" w:lastRowLastColumn="0"/>
            </w:pPr>
            <w:r>
              <w:t>753</w:t>
            </w:r>
          </w:p>
        </w:tc>
        <w:tc>
          <w:tcPr>
            <w:tcW w:w="907" w:type="dxa"/>
          </w:tcPr>
          <w:p w14:paraId="42D350A6" w14:textId="77777777" w:rsidR="00182709" w:rsidRDefault="0044097C">
            <w:pPr>
              <w:cnfStyle w:val="000000000000" w:firstRow="0" w:lastRow="0" w:firstColumn="0" w:lastColumn="0" w:oddVBand="0" w:evenVBand="0" w:oddHBand="0" w:evenHBand="0" w:firstRowFirstColumn="0" w:firstRowLastColumn="0" w:lastRowFirstColumn="0" w:lastRowLastColumn="0"/>
            </w:pPr>
            <w:r>
              <w:t>1 469</w:t>
            </w:r>
          </w:p>
        </w:tc>
      </w:tr>
      <w:tr w:rsidR="00182709" w14:paraId="30959F1D" w14:textId="77777777">
        <w:tc>
          <w:tcPr>
            <w:cnfStyle w:val="001000000000" w:firstRow="0" w:lastRow="0" w:firstColumn="1" w:lastColumn="0" w:oddVBand="0" w:evenVBand="0" w:oddHBand="0" w:evenHBand="0" w:firstRowFirstColumn="0" w:firstRowLastColumn="0" w:lastRowFirstColumn="0" w:lastRowLastColumn="0"/>
            <w:tcW w:w="7825" w:type="dxa"/>
          </w:tcPr>
          <w:p w14:paraId="3A45EBA9" w14:textId="77777777" w:rsidR="00182709" w:rsidRDefault="0044097C">
            <w:r>
              <w:rPr>
                <w:i/>
              </w:rPr>
              <w:t>Disposal group assets:</w:t>
            </w:r>
          </w:p>
        </w:tc>
        <w:tc>
          <w:tcPr>
            <w:tcW w:w="907" w:type="dxa"/>
          </w:tcPr>
          <w:p w14:paraId="276E7588"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c>
          <w:tcPr>
            <w:tcW w:w="907" w:type="dxa"/>
          </w:tcPr>
          <w:p w14:paraId="539FB2A7" w14:textId="77777777" w:rsidR="00182709" w:rsidRDefault="00182709">
            <w:pPr>
              <w:cnfStyle w:val="000000000000" w:firstRow="0" w:lastRow="0" w:firstColumn="0" w:lastColumn="0" w:oddVBand="0" w:evenVBand="0" w:oddHBand="0" w:evenHBand="0" w:firstRowFirstColumn="0" w:firstRowLastColumn="0" w:lastRowFirstColumn="0" w:lastRowLastColumn="0"/>
            </w:pPr>
          </w:p>
        </w:tc>
      </w:tr>
      <w:tr w:rsidR="00182709" w14:paraId="552C0B4E"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7705EB55" w14:textId="77777777" w:rsidR="00182709" w:rsidRDefault="0044097C">
            <w:r>
              <w:t>Assets of discontinued operations (Note 9.3.5)</w:t>
            </w:r>
          </w:p>
        </w:tc>
        <w:tc>
          <w:tcPr>
            <w:tcW w:w="907" w:type="dxa"/>
            <w:tcBorders>
              <w:bottom w:val="single" w:sz="12" w:space="0" w:color="auto"/>
            </w:tcBorders>
          </w:tcPr>
          <w:p w14:paraId="392206E1" w14:textId="77777777" w:rsidR="00182709" w:rsidRDefault="0044097C">
            <w:pPr>
              <w:cnfStyle w:val="000000000000" w:firstRow="0" w:lastRow="0" w:firstColumn="0" w:lastColumn="0" w:oddVBand="0" w:evenVBand="0" w:oddHBand="0" w:evenHBand="0" w:firstRowFirstColumn="0" w:firstRowLastColumn="0" w:lastRowFirstColumn="0" w:lastRowLastColumn="0"/>
            </w:pPr>
            <w:r>
              <w:t>6 028</w:t>
            </w:r>
          </w:p>
        </w:tc>
        <w:tc>
          <w:tcPr>
            <w:tcW w:w="907" w:type="dxa"/>
            <w:tcBorders>
              <w:bottom w:val="single" w:sz="12" w:space="0" w:color="auto"/>
            </w:tcBorders>
          </w:tcPr>
          <w:p w14:paraId="696EA7E6" w14:textId="77777777" w:rsidR="00182709" w:rsidRDefault="0044097C">
            <w:pPr>
              <w:cnfStyle w:val="000000000000" w:firstRow="0" w:lastRow="0" w:firstColumn="0" w:lastColumn="0" w:oddVBand="0" w:evenVBand="0" w:oddHBand="0" w:evenHBand="0" w:firstRowFirstColumn="0" w:firstRowLastColumn="0" w:lastRowFirstColumn="0" w:lastRowLastColumn="0"/>
            </w:pPr>
            <w:r>
              <w:t>13 131</w:t>
            </w:r>
          </w:p>
        </w:tc>
      </w:tr>
      <w:tr w:rsidR="00671D55" w14:paraId="4C53BC32"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5BA86A1" w14:textId="77777777" w:rsidR="00182709" w:rsidRDefault="0044097C">
            <w:r>
              <w:rPr>
                <w:b/>
              </w:rPr>
              <w:t>Total non</w:t>
            </w:r>
            <w:r>
              <w:rPr>
                <w:b/>
              </w:rPr>
              <w:noBreakHyphen/>
              <w:t>financial physical assets and disposal group classified as held for sale</w:t>
            </w:r>
          </w:p>
        </w:tc>
        <w:tc>
          <w:tcPr>
            <w:tcW w:w="907" w:type="dxa"/>
          </w:tcPr>
          <w:p w14:paraId="2FCB996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6 781</w:t>
            </w:r>
          </w:p>
        </w:tc>
        <w:tc>
          <w:tcPr>
            <w:tcW w:w="907" w:type="dxa"/>
          </w:tcPr>
          <w:p w14:paraId="30C969E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14 600</w:t>
            </w:r>
          </w:p>
        </w:tc>
      </w:tr>
    </w:tbl>
    <w:p w14:paraId="0A79269A" w14:textId="77777777" w:rsidR="003719CD" w:rsidRDefault="003719CD" w:rsidP="007D536F">
      <w:pPr>
        <w:pStyle w:val="Note"/>
      </w:pPr>
      <w:r>
        <w:t>Note:</w:t>
      </w:r>
    </w:p>
    <w:p w14:paraId="64CAA980" w14:textId="77777777" w:rsidR="003719CD" w:rsidRDefault="003719CD" w:rsidP="007D536F">
      <w:pPr>
        <w:pStyle w:val="Note"/>
      </w:pPr>
      <w:r>
        <w:t>(a)</w:t>
      </w:r>
      <w:r>
        <w:tab/>
        <w:t>The Department intends to dispose of freehold land it no longer utilises in the next 10 months. The land was previously vacant land used as a storage site. A search is under way for a buyer. No impairment loss was recognised on reclassification of the freehold land as held for sale or at the end of the reporting period.</w:t>
      </w:r>
    </w:p>
    <w:p w14:paraId="127F755F" w14:textId="77777777" w:rsidR="003719CD" w:rsidRDefault="003719CD" w:rsidP="007D536F">
      <w:pPr>
        <w:pStyle w:val="Heading4"/>
      </w:pPr>
      <w:r>
        <w:t>Measurement of non-financial physical assets (including disposal group assets)</w:t>
      </w:r>
    </w:p>
    <w:p w14:paraId="3EC67D0D" w14:textId="77777777" w:rsidR="003719CD" w:rsidRDefault="003719CD" w:rsidP="00DC39DE">
      <w:r>
        <w:t>Non-financial physical assets (including disposal group assets) are treated as current and classified as held for sale if their carrying amount will be recovered through a sale transaction rather than through continuing use.</w:t>
      </w:r>
    </w:p>
    <w:p w14:paraId="5FB836C2" w14:textId="77777777" w:rsidR="003719CD" w:rsidRDefault="003719CD" w:rsidP="00DC39DE">
      <w:r>
        <w:t>This condition is regarded as met only when:</w:t>
      </w:r>
    </w:p>
    <w:p w14:paraId="3919A4EA" w14:textId="7773594D" w:rsidR="003719CD" w:rsidRDefault="003719CD" w:rsidP="00310F12">
      <w:pPr>
        <w:pStyle w:val="ListBullet"/>
      </w:pPr>
      <w:r>
        <w:t>the asset is available for immediate use in the current condition</w:t>
      </w:r>
    </w:p>
    <w:p w14:paraId="27D88930" w14:textId="77777777" w:rsidR="003719CD" w:rsidRDefault="003719CD" w:rsidP="00310F12">
      <w:pPr>
        <w:pStyle w:val="ListBullet"/>
      </w:pPr>
      <w:r>
        <w:t>the sale is highly probable and the asset’s sale is expected to be completed within 12 months from the date of classification.</w:t>
      </w:r>
    </w:p>
    <w:p w14:paraId="3913CAA8" w14:textId="77777777" w:rsidR="003719CD" w:rsidRDefault="003719CD" w:rsidP="00DC39DE">
      <w:r>
        <w:t>These non-financial physical assets, related liabilities and financial assets are measured at the lower of carrying amount and fair value less costs to sell and are not subject to depreciation or amortisation.</w:t>
      </w:r>
    </w:p>
    <w:p w14:paraId="47526F2A" w14:textId="77777777" w:rsidR="003719CD" w:rsidRDefault="003719CD" w:rsidP="00DC39DE">
      <w:r>
        <w:t>Freehold land held for sale is carried at fair value less costs to disposal. Refer to Note 8.3 for the valuation technique applied to non-specialised land.</w:t>
      </w:r>
    </w:p>
    <w:p w14:paraId="407F79D2" w14:textId="50131F0A" w:rsidR="003719CD" w:rsidRDefault="003719CD" w:rsidP="00DC39DE">
      <w:r>
        <w:lastRenderedPageBreak/>
        <w:t xml:space="preserve">The discontinued operation includes an investment in unlisted securities with a carrying amount of $521 000 in </w:t>
      </w:r>
      <w:fldSimple w:instr="DOCPROPERTY  YearCurrent  \* MERGEFORMAT">
        <w:r w:rsidR="00A545BA">
          <w:t>20X2</w:t>
        </w:r>
      </w:fldSimple>
      <w:r>
        <w:t>. These are classified as available for sale and carried at fair value through other economic flows – other comprehensive income. The Department did not pledge the financial assets nor receive any collateral for it. For details on the recognition, measurement valuation techniques and inputs used for these assets, refer to Note 8.3.</w:t>
      </w:r>
    </w:p>
    <w:p w14:paraId="757145C7" w14:textId="77777777" w:rsidR="003719CD" w:rsidRDefault="003719CD" w:rsidP="00DC39DE"/>
    <w:p w14:paraId="158ED0FE" w14:textId="77777777" w:rsidR="003719CD" w:rsidRPr="006809EA" w:rsidRDefault="003719CD" w:rsidP="007D536F">
      <w:pPr>
        <w:pStyle w:val="GuidanceBlockHeading"/>
      </w:pPr>
      <w:r w:rsidRPr="006809EA">
        <w:t>Guidance – Discontinued operations and non-current assets held for sale</w:t>
      </w:r>
    </w:p>
    <w:p w14:paraId="22F450C1" w14:textId="77777777" w:rsidR="003719CD" w:rsidRPr="006809EA" w:rsidRDefault="003719CD" w:rsidP="007D536F">
      <w:pPr>
        <w:rPr>
          <w:rStyle w:val="Guidance"/>
        </w:rPr>
      </w:pPr>
      <w:r w:rsidRPr="006809EA">
        <w:rPr>
          <w:rStyle w:val="Guidance"/>
          <w:b/>
          <w:bCs/>
        </w:rPr>
        <w:t>Scope</w:t>
      </w:r>
      <w:r w:rsidRPr="006809EA">
        <w:rPr>
          <w:rStyle w:val="Guidance"/>
        </w:rPr>
        <w:t xml:space="preserve">: The illustrated disclosures are for a discontinued operation that is material to the economic entity and where the operation was classified as held for sale in the previous reporting period and was sold during the current reporting period. The disclosures will need to be amended to cover the specific disclosure requirements of AASB 5 relevant to the circumstances of each discontinued operation. </w:t>
      </w:r>
    </w:p>
    <w:p w14:paraId="11CAC399" w14:textId="57AB14AC" w:rsidR="003719CD" w:rsidRPr="006809EA" w:rsidRDefault="003719CD" w:rsidP="007D536F">
      <w:pPr>
        <w:rPr>
          <w:rStyle w:val="Guidance"/>
        </w:rPr>
      </w:pPr>
      <w:r w:rsidRPr="006809EA">
        <w:rPr>
          <w:rStyle w:val="Guidance"/>
        </w:rPr>
        <w:t>Disclosure requirements of other standards do not apply to assets held for sale or discontinued operations unless those standards require</w:t>
      </w:r>
      <w:r w:rsidR="00993B97">
        <w:rPr>
          <w:rStyle w:val="Guidance"/>
        </w:rPr>
        <w:t xml:space="preserve"> either</w:t>
      </w:r>
      <w:r w:rsidRPr="006809EA">
        <w:rPr>
          <w:rStyle w:val="Guidance"/>
        </w:rPr>
        <w:t xml:space="preserve">: </w:t>
      </w:r>
      <w:r w:rsidRPr="006809EA">
        <w:rPr>
          <w:rStyle w:val="Reference"/>
        </w:rPr>
        <w:t>[AASB 5.5B]</w:t>
      </w:r>
    </w:p>
    <w:p w14:paraId="2ABE8300" w14:textId="1F35E7DE" w:rsidR="003719CD" w:rsidRPr="006809EA" w:rsidRDefault="003719CD" w:rsidP="00310F12">
      <w:pPr>
        <w:pStyle w:val="ListBullet"/>
        <w:rPr>
          <w:rStyle w:val="Guidance"/>
        </w:rPr>
      </w:pPr>
      <w:r w:rsidRPr="006809EA">
        <w:rPr>
          <w:rStyle w:val="Guidance"/>
        </w:rPr>
        <w:t>specific disclosures for non-current assets (or disposal groups) classified as held for sale or discontinued operations</w:t>
      </w:r>
    </w:p>
    <w:p w14:paraId="69B4563D" w14:textId="77777777" w:rsidR="003719CD" w:rsidRPr="006809EA" w:rsidRDefault="003719CD" w:rsidP="00310F12">
      <w:pPr>
        <w:pStyle w:val="ListBullet"/>
        <w:rPr>
          <w:rStyle w:val="Guidance"/>
        </w:rPr>
      </w:pPr>
      <w:r w:rsidRPr="006809EA">
        <w:rPr>
          <w:rStyle w:val="Guidance"/>
        </w:rPr>
        <w:t xml:space="preserve">disclosures about measurement of assets and liabilities in a disposal group that are not in the scope of the measurement requirement of AASB 5 and such disclosures are not already provided in the other notes to the financial statements. </w:t>
      </w:r>
    </w:p>
    <w:p w14:paraId="465D47B0" w14:textId="77777777" w:rsidR="003719CD" w:rsidRPr="006809EA" w:rsidRDefault="003719CD" w:rsidP="007D536F">
      <w:pPr>
        <w:rPr>
          <w:rStyle w:val="Guidance"/>
        </w:rPr>
      </w:pPr>
      <w:r w:rsidRPr="006809EA">
        <w:rPr>
          <w:rStyle w:val="Guidance"/>
        </w:rPr>
        <w:t xml:space="preserve">Note machinery of government changes are not discontinued operations and should be reported separately. Therefore, AASB 5 requirements do not apply to such administrative changes. </w:t>
      </w:r>
      <w:r w:rsidRPr="006809EA">
        <w:rPr>
          <w:rStyle w:val="Reference"/>
        </w:rPr>
        <w:t>[AASB 5.Aus2.1]</w:t>
      </w:r>
    </w:p>
    <w:p w14:paraId="03940980" w14:textId="77777777" w:rsidR="003719CD" w:rsidRPr="006809EA" w:rsidRDefault="003719CD" w:rsidP="007D536F">
      <w:pPr>
        <w:rPr>
          <w:rStyle w:val="Guidance"/>
        </w:rPr>
      </w:pPr>
      <w:r w:rsidRPr="006809EA">
        <w:rPr>
          <w:rStyle w:val="Guidance"/>
          <w:b/>
          <w:bCs/>
        </w:rPr>
        <w:t>Discontinued administered activity</w:t>
      </w:r>
      <w:r w:rsidRPr="006809EA">
        <w:rPr>
          <w:rStyle w:val="Guidance"/>
        </w:rPr>
        <w:t>: 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14:paraId="613D2FD1" w14:textId="23005F03" w:rsidR="003719CD" w:rsidRPr="006809EA" w:rsidRDefault="003719CD" w:rsidP="007D536F">
      <w:pPr>
        <w:keepNext/>
        <w:rPr>
          <w:rStyle w:val="Guidance"/>
        </w:rPr>
      </w:pPr>
      <w:r w:rsidRPr="006809EA">
        <w:rPr>
          <w:rStyle w:val="Guidance"/>
          <w:b/>
          <w:bCs/>
        </w:rPr>
        <w:t>Definition of a discontinued operation</w:t>
      </w:r>
      <w:r w:rsidRPr="006809EA">
        <w:rPr>
          <w:rStyle w:val="Guidance"/>
        </w:rPr>
        <w:t>: A discontinued operation is a component of an entity that either has been disposed of or is classified as held for sale and</w:t>
      </w:r>
      <w:r w:rsidR="00993B97">
        <w:rPr>
          <w:rStyle w:val="Guidance"/>
        </w:rPr>
        <w:t xml:space="preserve"> either</w:t>
      </w:r>
      <w:r w:rsidRPr="006809EA">
        <w:rPr>
          <w:rStyle w:val="Guidance"/>
        </w:rPr>
        <w:t>:</w:t>
      </w:r>
    </w:p>
    <w:p w14:paraId="0360473C" w14:textId="720D0417" w:rsidR="003719CD" w:rsidRPr="006809EA" w:rsidRDefault="003719CD" w:rsidP="00310F12">
      <w:pPr>
        <w:pStyle w:val="ListBullet"/>
        <w:rPr>
          <w:rStyle w:val="Guidance"/>
        </w:rPr>
      </w:pPr>
      <w:r w:rsidRPr="006809EA">
        <w:rPr>
          <w:rStyle w:val="Guidance"/>
        </w:rPr>
        <w:t>represents a separate major line of business or geographical area of operations</w:t>
      </w:r>
    </w:p>
    <w:p w14:paraId="1F998843" w14:textId="7862DB64" w:rsidR="003719CD" w:rsidRPr="006809EA" w:rsidRDefault="003719CD" w:rsidP="00310F12">
      <w:pPr>
        <w:pStyle w:val="ListBullet"/>
        <w:rPr>
          <w:rStyle w:val="Guidance"/>
        </w:rPr>
      </w:pPr>
      <w:r w:rsidRPr="006809EA">
        <w:rPr>
          <w:rStyle w:val="Guidance"/>
        </w:rPr>
        <w:t>is part of a single coordinated plan to dispose of a separate major line of business or geographical area of operations</w:t>
      </w:r>
    </w:p>
    <w:p w14:paraId="600D4668" w14:textId="77777777" w:rsidR="003719CD" w:rsidRPr="006809EA" w:rsidRDefault="003719CD" w:rsidP="00310F12">
      <w:pPr>
        <w:pStyle w:val="ListBullet"/>
        <w:rPr>
          <w:rStyle w:val="Guidance"/>
        </w:rPr>
      </w:pPr>
      <w:r w:rsidRPr="006809EA">
        <w:rPr>
          <w:rStyle w:val="Guidance"/>
        </w:rPr>
        <w:t xml:space="preserve">is a subsidiary acquired exclusively with a view to resale. </w:t>
      </w:r>
      <w:r w:rsidRPr="006809EA">
        <w:rPr>
          <w:rStyle w:val="Reference"/>
        </w:rPr>
        <w:t>[AASB 5.32]</w:t>
      </w:r>
    </w:p>
    <w:p w14:paraId="7852FC56" w14:textId="549842C7" w:rsidR="003719CD" w:rsidRPr="006809EA" w:rsidRDefault="003719CD" w:rsidP="007D536F">
      <w:pPr>
        <w:rPr>
          <w:rStyle w:val="Guidance"/>
        </w:rPr>
      </w:pPr>
      <w:r w:rsidRPr="006809EA">
        <w:rPr>
          <w:rStyle w:val="Guidance"/>
        </w:rPr>
        <w:t xml:space="preserve">A component of an entity comprises of operations and cash flows that can be clearly distinguished, operationally and for financial reporting purposes, from the rest of the entity. In other words, a component of an entity will have been a cash generating unit or a group of cash generating units while being held for use. </w:t>
      </w:r>
      <w:r w:rsidRPr="006809EA">
        <w:rPr>
          <w:rStyle w:val="Reference"/>
        </w:rPr>
        <w:t>[AASB 5 App</w:t>
      </w:r>
      <w:r w:rsidR="00CB44CF">
        <w:rPr>
          <w:rStyle w:val="Reference"/>
        </w:rPr>
        <w:t>endix</w:t>
      </w:r>
      <w:r w:rsidRPr="006809EA">
        <w:rPr>
          <w:rStyle w:val="Reference"/>
        </w:rPr>
        <w:t xml:space="preserve"> A]</w:t>
      </w:r>
    </w:p>
    <w:p w14:paraId="22A77969" w14:textId="77777777" w:rsidR="003719CD" w:rsidRPr="006809EA" w:rsidRDefault="003719CD" w:rsidP="007D536F">
      <w:pPr>
        <w:pStyle w:val="GuidanceHeading"/>
        <w:rPr>
          <w:rStyle w:val="Guidance"/>
        </w:rPr>
      </w:pPr>
      <w:r w:rsidRPr="006809EA">
        <w:rPr>
          <w:rStyle w:val="Guidance"/>
        </w:rPr>
        <w:t>Disclosure requirements</w:t>
      </w:r>
    </w:p>
    <w:p w14:paraId="0DE988E4" w14:textId="77777777" w:rsidR="003719CD" w:rsidRPr="006809EA" w:rsidRDefault="003719CD" w:rsidP="007D536F">
      <w:pPr>
        <w:rPr>
          <w:rStyle w:val="Guidance"/>
        </w:rPr>
      </w:pPr>
      <w:r w:rsidRPr="006809EA">
        <w:rPr>
          <w:rStyle w:val="Guidance"/>
        </w:rPr>
        <w:t xml:space="preserve">Adjustments in the current period to amounts previously presented in discontinued operations that are directly related to the disposal of a discontinued operation in a prior period shall be classified separately in discontinued operations. The nature and amount of such adjustments shall be disclosed. </w:t>
      </w:r>
      <w:r w:rsidRPr="006809EA">
        <w:rPr>
          <w:rStyle w:val="Reference"/>
        </w:rPr>
        <w:t>[AASB 5.35]</w:t>
      </w:r>
    </w:p>
    <w:p w14:paraId="53353AD7" w14:textId="77777777" w:rsidR="003719CD" w:rsidRPr="006809EA" w:rsidRDefault="003719CD" w:rsidP="007D536F">
      <w:pPr>
        <w:rPr>
          <w:rStyle w:val="Guidance"/>
        </w:rPr>
      </w:pPr>
      <w:r w:rsidRPr="006809EA">
        <w:rPr>
          <w:rStyle w:val="Guidance"/>
        </w:rPr>
        <w:t xml:space="preserve">If an entity ceases to classify a component of an entity as held for sale, the results of operations of the component previously presented in discontinued operations in accordance with AASB 5 paragraphs 33-35 shall be reclassified and included in income from continuing operations for all periods presented. The amounts for prior periods shall be described as having been represented. </w:t>
      </w:r>
      <w:r w:rsidRPr="006809EA">
        <w:rPr>
          <w:rStyle w:val="Reference"/>
        </w:rPr>
        <w:t>[AASB 5.36]</w:t>
      </w:r>
    </w:p>
    <w:p w14:paraId="3C1F23CC" w14:textId="77777777" w:rsidR="003719CD" w:rsidRPr="006809EA" w:rsidRDefault="003719CD" w:rsidP="007D536F">
      <w:pPr>
        <w:rPr>
          <w:rStyle w:val="Guidance"/>
        </w:rPr>
      </w:pPr>
      <w:r w:rsidRPr="006809EA">
        <w:rPr>
          <w:rStyle w:val="Guidance"/>
        </w:rPr>
        <w:t xml:space="preserve">Where a commitment to a sale plan involves the loss of control of a subsidiary, disclosure shall be provided for the information required as per AASB 5.33-36 when the subsidiary is a disposal group that meets the definition of a discontinued operation. </w:t>
      </w:r>
      <w:r w:rsidRPr="006809EA">
        <w:rPr>
          <w:rStyle w:val="Reference"/>
        </w:rPr>
        <w:t>[AASB 5.36A]</w:t>
      </w:r>
    </w:p>
    <w:p w14:paraId="11AD0CD9" w14:textId="77777777" w:rsidR="003719CD" w:rsidRPr="006809EA" w:rsidRDefault="003719CD" w:rsidP="007D536F">
      <w:pPr>
        <w:rPr>
          <w:rStyle w:val="Guidance"/>
        </w:rPr>
      </w:pPr>
      <w:r w:rsidRPr="006809EA">
        <w:rPr>
          <w:rStyle w:val="Guidance"/>
        </w:rPr>
        <w:t xml:space="preserve">Amounts presented for non-current assets or for the assets and liabilities of disposal groups classified as held for sale in the statements of financial position for prior periods shall not be reclassified or represented to reflect the classification in the statement of financial position for the latest period presented. </w:t>
      </w:r>
      <w:r w:rsidRPr="006809EA">
        <w:rPr>
          <w:rStyle w:val="Reference"/>
        </w:rPr>
        <w:t>[AASB 5.40]</w:t>
      </w:r>
    </w:p>
    <w:p w14:paraId="36D29C1A" w14:textId="77777777" w:rsidR="003719CD" w:rsidRPr="006809EA" w:rsidRDefault="003719CD" w:rsidP="007D536F">
      <w:pPr>
        <w:rPr>
          <w:rStyle w:val="Guidance"/>
        </w:rPr>
      </w:pPr>
      <w:r w:rsidRPr="006809EA">
        <w:rPr>
          <w:rStyle w:val="Guidance"/>
        </w:rPr>
        <w:t>When an entity decides to change the plan to sell such that the non-current assets (or disposal group) no longer meet the criteria of held for sale, the non-current asset (or disposal group) shall cease to be classified as held for sale.</w:t>
      </w:r>
    </w:p>
    <w:p w14:paraId="48BB5EEC" w14:textId="77777777" w:rsidR="003719CD" w:rsidRPr="006809EA" w:rsidRDefault="003719CD" w:rsidP="007D536F">
      <w:pPr>
        <w:rPr>
          <w:rStyle w:val="Guidance"/>
        </w:rPr>
      </w:pPr>
      <w:r w:rsidRPr="006809EA">
        <w:rPr>
          <w:rStyle w:val="Guidance"/>
        </w:rPr>
        <w:t xml:space="preserve">In the period where the non-financial physical assets (or disposal group) cease to be classified as held for sale, an entity shall disclose a description of the facts and circumstances leading to the decision and the effect of the decision on the results of operations for the period and any prior periods presented. </w:t>
      </w:r>
      <w:r w:rsidRPr="006809EA">
        <w:rPr>
          <w:rStyle w:val="Reference"/>
        </w:rPr>
        <w:t>[AASB 5.42]</w:t>
      </w:r>
    </w:p>
    <w:p w14:paraId="57355687" w14:textId="77777777" w:rsidR="003719CD" w:rsidRPr="006809EA" w:rsidRDefault="003719CD" w:rsidP="007D536F">
      <w:pPr>
        <w:keepNext/>
        <w:rPr>
          <w:rStyle w:val="Guidance"/>
        </w:rPr>
      </w:pPr>
      <w:r w:rsidRPr="006809EA">
        <w:rPr>
          <w:rStyle w:val="Guidance"/>
        </w:rPr>
        <w:lastRenderedPageBreak/>
        <w:t>In addition, where there is a tax implication related to a discontinued operation, the entity should disclose the tax expense relating to:</w:t>
      </w:r>
    </w:p>
    <w:p w14:paraId="34456E3B" w14:textId="0387810B" w:rsidR="003719CD" w:rsidRPr="006809EA" w:rsidRDefault="003719CD" w:rsidP="00310F12">
      <w:pPr>
        <w:pStyle w:val="ListBullet"/>
        <w:rPr>
          <w:rStyle w:val="Guidance"/>
        </w:rPr>
      </w:pPr>
      <w:r w:rsidRPr="006809EA">
        <w:rPr>
          <w:rStyle w:val="Guidance"/>
        </w:rPr>
        <w:t>the gain or loss on discontinuance</w:t>
      </w:r>
    </w:p>
    <w:p w14:paraId="66A2AA91" w14:textId="77777777" w:rsidR="003719CD" w:rsidRPr="006809EA" w:rsidRDefault="003719CD" w:rsidP="00310F12">
      <w:pPr>
        <w:pStyle w:val="ListBullet"/>
        <w:rPr>
          <w:rStyle w:val="Guidance"/>
        </w:rPr>
      </w:pPr>
      <w:r w:rsidRPr="006809EA">
        <w:rPr>
          <w:rStyle w:val="Guidance"/>
        </w:rPr>
        <w:t xml:space="preserve">the net result from the ordinary activities of the discontinued operation for the period together with the corresponding amounts for each prior period presented. </w:t>
      </w:r>
      <w:r w:rsidRPr="006809EA">
        <w:rPr>
          <w:rStyle w:val="Reference"/>
        </w:rPr>
        <w:t>[AASB 112.81(h)]</w:t>
      </w:r>
    </w:p>
    <w:p w14:paraId="0976746A" w14:textId="77777777" w:rsidR="003719CD" w:rsidRPr="006809EA" w:rsidRDefault="003719CD" w:rsidP="007D536F">
      <w:pPr>
        <w:pStyle w:val="GuidanceHeading"/>
        <w:rPr>
          <w:rStyle w:val="Guidance"/>
        </w:rPr>
      </w:pPr>
      <w:r w:rsidRPr="006809EA">
        <w:rPr>
          <w:rStyle w:val="Guidance"/>
        </w:rPr>
        <w:t>Administered activity classified as held for sale</w:t>
      </w:r>
    </w:p>
    <w:p w14:paraId="205CC407" w14:textId="77777777" w:rsidR="003719CD" w:rsidRPr="006809EA" w:rsidRDefault="003719CD" w:rsidP="007D536F">
      <w:pPr>
        <w:rPr>
          <w:rStyle w:val="Guidance"/>
        </w:rPr>
      </w:pPr>
      <w:r w:rsidRPr="006809EA">
        <w:rPr>
          <w:rStyle w:val="Guidance"/>
        </w:rPr>
        <w:t>Assets classified as non</w:t>
      </w:r>
      <w:r>
        <w:rPr>
          <w:rStyle w:val="Guidance"/>
        </w:rPr>
        <w:t>-</w:t>
      </w:r>
      <w:r w:rsidRPr="006809EA">
        <w:rPr>
          <w:rStyle w:val="Guidance"/>
        </w:rPr>
        <w:t>current in accordance with AASB 101 shall not be reclassified as current assets until they meet the criteria to be classified as held for sale in accordance with this standard. Assets of a class that an entity would normally regard as non</w:t>
      </w:r>
      <w:r>
        <w:rPr>
          <w:rStyle w:val="Guidance"/>
        </w:rPr>
        <w:t>-</w:t>
      </w:r>
      <w:r w:rsidRPr="006809EA">
        <w:rPr>
          <w:rStyle w:val="Guidance"/>
        </w:rPr>
        <w:t>current that are acquired exclusively with a view to resell shall not be classified as current unless they meet the criteria to be classified as held for sale in accordance with this standard.</w:t>
      </w:r>
    </w:p>
    <w:p w14:paraId="21D8F8E4" w14:textId="77777777" w:rsidR="003719CD" w:rsidRPr="006809EA" w:rsidRDefault="003719CD" w:rsidP="007D536F">
      <w:pPr>
        <w:rPr>
          <w:rStyle w:val="Guidance"/>
        </w:rPr>
      </w:pPr>
      <w:r w:rsidRPr="006809EA">
        <w:rPr>
          <w:rStyle w:val="Guidance"/>
        </w:rPr>
        <w:t>As with discontinued operations, machinery of government changes do not meet the definition of non</w:t>
      </w:r>
      <w:r>
        <w:rPr>
          <w:rStyle w:val="Guidance"/>
        </w:rPr>
        <w:t>-</w:t>
      </w:r>
      <w:r w:rsidRPr="006809EA">
        <w:rPr>
          <w:rStyle w:val="Guidance"/>
        </w:rPr>
        <w:t xml:space="preserve">current assets and disposal group assets held for sale. Therefore, AASB 5 </w:t>
      </w:r>
      <w:r w:rsidRPr="006809EA">
        <w:rPr>
          <w:rStyle w:val="Guidance"/>
          <w:i/>
          <w:iCs/>
        </w:rPr>
        <w:t>Non-current Assets Held for Sale and Discontinued Operations</w:t>
      </w:r>
      <w:r w:rsidRPr="006809EA">
        <w:rPr>
          <w:rStyle w:val="Guidance"/>
        </w:rPr>
        <w:t xml:space="preserve"> requirements do not apply to such administrative changes.</w:t>
      </w:r>
    </w:p>
    <w:p w14:paraId="1BD10D16" w14:textId="77777777" w:rsidR="003719CD" w:rsidRPr="006809EA" w:rsidRDefault="003719CD" w:rsidP="007D536F">
      <w:pPr>
        <w:rPr>
          <w:rStyle w:val="Guidance"/>
        </w:rPr>
      </w:pPr>
      <w:r w:rsidRPr="006809EA">
        <w:rPr>
          <w:rStyle w:val="Guidance"/>
        </w:rPr>
        <w:t>An administered activity of a government department does not give rise to income and expenses of the department reporting the administered activity and therefore, from the point of view of the department, the discontinuance of an administered activity does not give rise to a discontinued operation. However, if a government was to discontinue an activity that one of its departments had disclosed as an administered activity, from the point of view of that government, the discontinuance may constitute a discontinued operation.</w:t>
      </w:r>
    </w:p>
    <w:p w14:paraId="3DEFB8B1" w14:textId="77777777" w:rsidR="003719CD" w:rsidRPr="006809EA" w:rsidRDefault="003719CD" w:rsidP="007D536F">
      <w:pPr>
        <w:pStyle w:val="GuidanceHeading"/>
        <w:rPr>
          <w:rStyle w:val="Guidance"/>
        </w:rPr>
      </w:pPr>
      <w:r w:rsidRPr="006809EA">
        <w:rPr>
          <w:rStyle w:val="Guidance"/>
        </w:rPr>
        <w:t>Classification of non</w:t>
      </w:r>
      <w:r>
        <w:rPr>
          <w:rStyle w:val="Guidance"/>
        </w:rPr>
        <w:t>-</w:t>
      </w:r>
      <w:r w:rsidRPr="006809EA">
        <w:rPr>
          <w:rStyle w:val="Guidance"/>
        </w:rPr>
        <w:t>financial physical asset as held for sale</w:t>
      </w:r>
    </w:p>
    <w:p w14:paraId="308D44E1" w14:textId="6C93E68B" w:rsidR="003719CD" w:rsidRPr="006809EA" w:rsidRDefault="003719CD" w:rsidP="007D536F">
      <w:pPr>
        <w:rPr>
          <w:rStyle w:val="Guidance"/>
        </w:rPr>
      </w:pPr>
      <w:r w:rsidRPr="006809EA">
        <w:rPr>
          <w:rStyle w:val="Guidance"/>
        </w:rPr>
        <w:t>An entity shall classify a non</w:t>
      </w:r>
      <w:r>
        <w:rPr>
          <w:rStyle w:val="Guidance"/>
        </w:rPr>
        <w:t>-</w:t>
      </w:r>
      <w:r w:rsidRPr="006809EA">
        <w:rPr>
          <w:rStyle w:val="Guidance"/>
        </w:rPr>
        <w:t>financial physical asset (or disposal group) as held for sale if its carrying amount will be recovered principally through a sale transaction rather than through continuing use. For this to be the case, the asset (or</w:t>
      </w:r>
      <w:r>
        <w:rPr>
          <w:rStyle w:val="Guidance"/>
        </w:rPr>
        <w:t> </w:t>
      </w:r>
      <w:r w:rsidRPr="006809EA">
        <w:rPr>
          <w:rStyle w:val="Guidance"/>
        </w:rPr>
        <w:t xml:space="preserve">disposal group) must be available for immediate sale in its present condition subject only to terms that are usual and customary for sales of such assets (or disposal groups) and its sale must be highly probable. </w:t>
      </w:r>
    </w:p>
    <w:p w14:paraId="08C6868E" w14:textId="7046BB1C" w:rsidR="003719CD" w:rsidRPr="006809EA" w:rsidRDefault="003719CD" w:rsidP="007D536F">
      <w:pPr>
        <w:pStyle w:val="GuidanceHeading"/>
        <w:rPr>
          <w:rStyle w:val="Guidance"/>
        </w:rPr>
      </w:pPr>
      <w:r w:rsidRPr="006809EA">
        <w:rPr>
          <w:rStyle w:val="Guidance"/>
        </w:rPr>
        <w:t>Fair value measurement for non</w:t>
      </w:r>
      <w:r>
        <w:rPr>
          <w:rStyle w:val="Guidance"/>
        </w:rPr>
        <w:t>-</w:t>
      </w:r>
      <w:r w:rsidRPr="006809EA">
        <w:rPr>
          <w:rStyle w:val="Guidance"/>
        </w:rPr>
        <w:t>financial physical assets classified as held for sale</w:t>
      </w:r>
      <w:r w:rsidR="00E1128E">
        <w:rPr>
          <w:rStyle w:val="Guidance"/>
        </w:rPr>
        <w:t xml:space="preserve"> </w:t>
      </w:r>
    </w:p>
    <w:p w14:paraId="743B4C8F" w14:textId="574D13E5" w:rsidR="007A5D40" w:rsidRPr="007A5D40" w:rsidRDefault="007A5D40" w:rsidP="007A5D40">
      <w:pPr>
        <w:rPr>
          <w:rStyle w:val="Guidance"/>
        </w:rPr>
      </w:pPr>
      <w:bookmarkStart w:id="143" w:name="_Hlk155271412"/>
      <w:r w:rsidRPr="007A5D40">
        <w:rPr>
          <w:rStyle w:val="Guidance"/>
        </w:rPr>
        <w:t xml:space="preserve">AASB 5 clarifies that disclosure requirements in other standards do not apply to non-current assets held for distribution (or disposal groups) unless those standards explicitly refer to these assets and disposal groups. AASB 5.5B(b) states that disclosure requirements continue to apply for assets and liabilities that are not within the scope of the measurement requirements of AASB 5, but within the disposal group. The </w:t>
      </w:r>
      <w:r w:rsidR="00066495">
        <w:rPr>
          <w:rStyle w:val="Guidance"/>
        </w:rPr>
        <w:t xml:space="preserve">disclosure </w:t>
      </w:r>
      <w:r w:rsidRPr="007A5D40">
        <w:rPr>
          <w:rStyle w:val="Guidance"/>
        </w:rPr>
        <w:t>above reflects this circumstance, as the financial assets measured at fair value are financial instruments as defined in AASB 9</w:t>
      </w:r>
      <w:r>
        <w:rPr>
          <w:rStyle w:val="Guidance"/>
        </w:rPr>
        <w:t xml:space="preserve"> </w:t>
      </w:r>
      <w:r w:rsidRPr="007A5D40">
        <w:rPr>
          <w:rStyle w:val="Guidance"/>
        </w:rPr>
        <w:t>and is, therefore, scoped out of the measurement requirements of AASB 5.</w:t>
      </w:r>
    </w:p>
    <w:p w14:paraId="64E511E0" w14:textId="1C0D93D2" w:rsidR="004A1970" w:rsidRPr="006809EA" w:rsidRDefault="007A5D40" w:rsidP="007A5D40">
      <w:pPr>
        <w:rPr>
          <w:rStyle w:val="Guidance"/>
        </w:rPr>
      </w:pPr>
      <w:r w:rsidRPr="007A5D40">
        <w:rPr>
          <w:rStyle w:val="Guidance"/>
        </w:rPr>
        <w:t xml:space="preserve">While the assets of discontinuing operations are fair valued on a non-recurring basis under AASB 13.93(a), fair value measurements of </w:t>
      </w:r>
      <w:r>
        <w:rPr>
          <w:rStyle w:val="Guidance"/>
        </w:rPr>
        <w:t xml:space="preserve">financial assets </w:t>
      </w:r>
      <w:r w:rsidRPr="007A5D40">
        <w:rPr>
          <w:rStyle w:val="Guidance"/>
        </w:rPr>
        <w:t>of the discontinuing operations are recurring since valuations are required at the end of each reporting period. As the illustrative example in Note 8.3 categories ‘investments and other financial assets’ as Level 2 assets, reconciliation required for recurring Level 3 assets or liabilities is not illustrated in the Model. Refer to Note 8.3 for illustration on reconciliation of recurring Level 3 assets</w:t>
      </w:r>
      <w:r>
        <w:rPr>
          <w:rStyle w:val="Guidance"/>
        </w:rPr>
        <w:t>.</w:t>
      </w:r>
    </w:p>
    <w:bookmarkEnd w:id="143"/>
    <w:p w14:paraId="65B3CC6D" w14:textId="26BFED41" w:rsidR="003719CD" w:rsidRDefault="003719CD" w:rsidP="007D536F">
      <w:pPr>
        <w:pStyle w:val="GuidanceEnd"/>
      </w:pPr>
    </w:p>
    <w:p w14:paraId="010E1F5D" w14:textId="77777777" w:rsidR="00BD3823" w:rsidRDefault="00BD3823">
      <w:pPr>
        <w:keepLines w:val="0"/>
        <w:rPr>
          <w:rFonts w:asciiTheme="majorHAnsi" w:eastAsiaTheme="majorEastAsia" w:hAnsiTheme="majorHAnsi" w:cstheme="majorBidi"/>
          <w:b/>
          <w:sz w:val="26"/>
          <w:szCs w:val="26"/>
        </w:rPr>
      </w:pPr>
      <w:bookmarkStart w:id="144" w:name="_Toc64983179"/>
      <w:r>
        <w:br w:type="page"/>
      </w:r>
    </w:p>
    <w:p w14:paraId="3DB65E05" w14:textId="7B121DCC" w:rsidR="003719CD" w:rsidRDefault="003719CD" w:rsidP="007762BE">
      <w:pPr>
        <w:pStyle w:val="Heading2numbered"/>
      </w:pPr>
      <w:bookmarkStart w:id="145" w:name="_Toc130226010"/>
      <w:bookmarkStart w:id="146" w:name="_Toc130289133"/>
      <w:bookmarkStart w:id="147" w:name="_Toc96709986"/>
      <w:r>
        <w:lastRenderedPageBreak/>
        <w:t>Reserves</w:t>
      </w:r>
      <w:bookmarkEnd w:id="144"/>
      <w:bookmarkEnd w:id="145"/>
      <w:bookmarkEnd w:id="146"/>
      <w:bookmarkEnd w:id="147"/>
    </w:p>
    <w:p w14:paraId="1841B94A"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E5675C" w14:paraId="63677C99" w14:textId="77777777" w:rsidTr="00E5675C">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7D92CCE3" w14:textId="77777777" w:rsidR="00E5675C" w:rsidRDefault="00E5675C" w:rsidP="00E5675C">
            <w:pPr>
              <w:keepNext/>
              <w:jc w:val="left"/>
            </w:pPr>
            <w:r>
              <w:rPr>
                <w:color w:val="4472C4"/>
                <w:sz w:val="13"/>
              </w:rPr>
              <w:t>Source reference</w:t>
            </w:r>
          </w:p>
        </w:tc>
        <w:tc>
          <w:tcPr>
            <w:tcW w:w="6558" w:type="dxa"/>
          </w:tcPr>
          <w:p w14:paraId="03CB1CDA" w14:textId="77777777" w:rsidR="00E5675C" w:rsidRDefault="00E5675C" w:rsidP="00E5675C">
            <w:pPr>
              <w:keepNext/>
              <w:jc w:val="left"/>
            </w:pPr>
          </w:p>
        </w:tc>
        <w:tc>
          <w:tcPr>
            <w:tcW w:w="866" w:type="dxa"/>
          </w:tcPr>
          <w:p w14:paraId="221E7864" w14:textId="2A7AD6A1" w:rsidR="00E5675C" w:rsidRDefault="00E5675C" w:rsidP="00E5675C">
            <w:pPr>
              <w:keepNext/>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866" w:type="dxa"/>
          </w:tcPr>
          <w:p w14:paraId="05FD59B7" w14:textId="287EC6EA" w:rsidR="00E5675C" w:rsidRDefault="00E5675C" w:rsidP="00E5675C">
            <w:pPr>
              <w:keepNext/>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182709" w14:paraId="6A4BD047" w14:textId="77777777" w:rsidTr="00E5675C">
        <w:tc>
          <w:tcPr>
            <w:tcW w:w="1349" w:type="dxa"/>
          </w:tcPr>
          <w:p w14:paraId="1423DF7D" w14:textId="77777777" w:rsidR="00182709" w:rsidRDefault="0044097C">
            <w:pPr>
              <w:jc w:val="left"/>
            </w:pPr>
            <w:r>
              <w:rPr>
                <w:color w:val="4472C4"/>
                <w:sz w:val="13"/>
              </w:rPr>
              <w:t>AASB 101.106 (d)</w:t>
            </w:r>
          </w:p>
        </w:tc>
        <w:tc>
          <w:tcPr>
            <w:tcW w:w="6558" w:type="dxa"/>
          </w:tcPr>
          <w:p w14:paraId="3F417316" w14:textId="77777777" w:rsidR="00182709" w:rsidRDefault="0044097C">
            <w:pPr>
              <w:jc w:val="left"/>
            </w:pPr>
            <w:r>
              <w:rPr>
                <w:b/>
              </w:rPr>
              <w:t xml:space="preserve">Physical asset revaluation surplus </w:t>
            </w:r>
            <w:r>
              <w:rPr>
                <w:b/>
                <w:vertAlign w:val="superscript"/>
              </w:rPr>
              <w:t>(a)</w:t>
            </w:r>
          </w:p>
        </w:tc>
        <w:tc>
          <w:tcPr>
            <w:tcW w:w="866" w:type="dxa"/>
          </w:tcPr>
          <w:p w14:paraId="4CE8E111" w14:textId="77777777" w:rsidR="00182709" w:rsidRDefault="00182709"/>
        </w:tc>
        <w:tc>
          <w:tcPr>
            <w:tcW w:w="866" w:type="dxa"/>
          </w:tcPr>
          <w:p w14:paraId="1D0F2D5B" w14:textId="77777777" w:rsidR="00182709" w:rsidRDefault="00182709"/>
        </w:tc>
      </w:tr>
      <w:tr w:rsidR="00182709" w14:paraId="65911CBB" w14:textId="77777777" w:rsidTr="00E5675C">
        <w:tc>
          <w:tcPr>
            <w:tcW w:w="1349" w:type="dxa"/>
          </w:tcPr>
          <w:p w14:paraId="798213EC" w14:textId="77777777" w:rsidR="00182709" w:rsidRDefault="00182709">
            <w:pPr>
              <w:jc w:val="left"/>
            </w:pPr>
          </w:p>
        </w:tc>
        <w:tc>
          <w:tcPr>
            <w:tcW w:w="6558" w:type="dxa"/>
          </w:tcPr>
          <w:p w14:paraId="0E4346AA" w14:textId="77777777" w:rsidR="00182709" w:rsidRDefault="0044097C">
            <w:pPr>
              <w:jc w:val="left"/>
            </w:pPr>
            <w:r>
              <w:t>Balance at beginning of financial year</w:t>
            </w:r>
          </w:p>
        </w:tc>
        <w:tc>
          <w:tcPr>
            <w:tcW w:w="866" w:type="dxa"/>
          </w:tcPr>
          <w:p w14:paraId="45FA9A09" w14:textId="77777777" w:rsidR="00182709" w:rsidRDefault="0044097C">
            <w:r>
              <w:t>5 759</w:t>
            </w:r>
          </w:p>
        </w:tc>
        <w:tc>
          <w:tcPr>
            <w:tcW w:w="866" w:type="dxa"/>
          </w:tcPr>
          <w:p w14:paraId="39F4208A" w14:textId="77777777" w:rsidR="00182709" w:rsidRDefault="0044097C">
            <w:r>
              <w:t>4 626</w:t>
            </w:r>
          </w:p>
        </w:tc>
      </w:tr>
      <w:tr w:rsidR="00182709" w14:paraId="766B9E8E" w14:textId="77777777" w:rsidTr="00E5675C">
        <w:tc>
          <w:tcPr>
            <w:tcW w:w="1349" w:type="dxa"/>
          </w:tcPr>
          <w:p w14:paraId="0B082088" w14:textId="77777777" w:rsidR="00182709" w:rsidRDefault="00182709">
            <w:pPr>
              <w:jc w:val="left"/>
            </w:pPr>
          </w:p>
        </w:tc>
        <w:tc>
          <w:tcPr>
            <w:tcW w:w="6558" w:type="dxa"/>
          </w:tcPr>
          <w:p w14:paraId="51D4B8C7" w14:textId="77777777" w:rsidR="00182709" w:rsidRDefault="0044097C">
            <w:pPr>
              <w:jc w:val="left"/>
            </w:pPr>
            <w:r>
              <w:t>Revaluation increments/(decrements)</w:t>
            </w:r>
          </w:p>
        </w:tc>
        <w:tc>
          <w:tcPr>
            <w:tcW w:w="866" w:type="dxa"/>
          </w:tcPr>
          <w:p w14:paraId="68C18D0C" w14:textId="77777777" w:rsidR="00182709" w:rsidRDefault="0044097C">
            <w:r>
              <w:t>7 903</w:t>
            </w:r>
          </w:p>
        </w:tc>
        <w:tc>
          <w:tcPr>
            <w:tcW w:w="866" w:type="dxa"/>
          </w:tcPr>
          <w:p w14:paraId="644CEEA2" w14:textId="77777777" w:rsidR="00182709" w:rsidRDefault="0044097C">
            <w:r>
              <w:t>2 989</w:t>
            </w:r>
          </w:p>
        </w:tc>
      </w:tr>
      <w:tr w:rsidR="00182709" w14:paraId="142C3440" w14:textId="77777777" w:rsidTr="00E5675C">
        <w:tc>
          <w:tcPr>
            <w:tcW w:w="1349" w:type="dxa"/>
          </w:tcPr>
          <w:p w14:paraId="19AEA865" w14:textId="77777777" w:rsidR="00182709" w:rsidRDefault="0044097C">
            <w:pPr>
              <w:jc w:val="left"/>
            </w:pPr>
            <w:r>
              <w:rPr>
                <w:color w:val="4472C4"/>
                <w:sz w:val="13"/>
              </w:rPr>
              <w:t>AASB 136.126 (c)</w:t>
            </w:r>
          </w:p>
        </w:tc>
        <w:tc>
          <w:tcPr>
            <w:tcW w:w="6558" w:type="dxa"/>
          </w:tcPr>
          <w:p w14:paraId="5C7EF971" w14:textId="77777777" w:rsidR="00182709" w:rsidRDefault="0044097C">
            <w:pPr>
              <w:jc w:val="left"/>
            </w:pPr>
            <w:r>
              <w:t>Impairment losses</w:t>
            </w:r>
          </w:p>
        </w:tc>
        <w:tc>
          <w:tcPr>
            <w:tcW w:w="866" w:type="dxa"/>
          </w:tcPr>
          <w:p w14:paraId="0E343A39" w14:textId="77777777" w:rsidR="00182709" w:rsidRDefault="0044097C">
            <w:r>
              <w:t>(500)</w:t>
            </w:r>
          </w:p>
        </w:tc>
        <w:tc>
          <w:tcPr>
            <w:tcW w:w="866" w:type="dxa"/>
          </w:tcPr>
          <w:p w14:paraId="04AA4BD7" w14:textId="77777777" w:rsidR="00182709" w:rsidRDefault="0044097C">
            <w:r>
              <w:t>(164)</w:t>
            </w:r>
          </w:p>
        </w:tc>
      </w:tr>
      <w:tr w:rsidR="00182709" w14:paraId="17DF57D0" w14:textId="77777777" w:rsidTr="00E5675C">
        <w:tc>
          <w:tcPr>
            <w:tcW w:w="1349" w:type="dxa"/>
          </w:tcPr>
          <w:p w14:paraId="7EDD371D" w14:textId="77777777" w:rsidR="00182709" w:rsidRDefault="0044097C">
            <w:pPr>
              <w:jc w:val="left"/>
            </w:pPr>
            <w:r>
              <w:rPr>
                <w:color w:val="4472C4"/>
                <w:sz w:val="13"/>
              </w:rPr>
              <w:t>AASB 136.126 (d)</w:t>
            </w:r>
          </w:p>
        </w:tc>
        <w:tc>
          <w:tcPr>
            <w:tcW w:w="6558" w:type="dxa"/>
          </w:tcPr>
          <w:p w14:paraId="079858C3" w14:textId="77777777" w:rsidR="00182709" w:rsidRDefault="0044097C">
            <w:pPr>
              <w:jc w:val="left"/>
            </w:pPr>
            <w:r>
              <w:t>Reversals of impairment losses</w:t>
            </w:r>
          </w:p>
        </w:tc>
        <w:tc>
          <w:tcPr>
            <w:tcW w:w="866" w:type="dxa"/>
          </w:tcPr>
          <w:p w14:paraId="7A91E2D0" w14:textId="77777777" w:rsidR="00182709" w:rsidRDefault="0044097C">
            <w:r>
              <w:t>..</w:t>
            </w:r>
          </w:p>
        </w:tc>
        <w:tc>
          <w:tcPr>
            <w:tcW w:w="866" w:type="dxa"/>
          </w:tcPr>
          <w:p w14:paraId="49B74BAF" w14:textId="77777777" w:rsidR="00182709" w:rsidRDefault="0044097C">
            <w:r>
              <w:t>..</w:t>
            </w:r>
          </w:p>
        </w:tc>
      </w:tr>
      <w:tr w:rsidR="00182709" w14:paraId="30B6544B" w14:textId="77777777" w:rsidTr="00E5675C">
        <w:tc>
          <w:tcPr>
            <w:tcW w:w="1349" w:type="dxa"/>
          </w:tcPr>
          <w:p w14:paraId="6E3874DE" w14:textId="77777777" w:rsidR="00182709" w:rsidRDefault="00182709">
            <w:pPr>
              <w:jc w:val="left"/>
            </w:pPr>
          </w:p>
        </w:tc>
        <w:tc>
          <w:tcPr>
            <w:tcW w:w="6558" w:type="dxa"/>
          </w:tcPr>
          <w:p w14:paraId="06E84C3B" w14:textId="77777777" w:rsidR="00182709" w:rsidRDefault="0044097C">
            <w:pPr>
              <w:jc w:val="left"/>
            </w:pPr>
            <w:r>
              <w:t>Transfers to accumulated surplus</w:t>
            </w:r>
          </w:p>
        </w:tc>
        <w:tc>
          <w:tcPr>
            <w:tcW w:w="866" w:type="dxa"/>
          </w:tcPr>
          <w:p w14:paraId="18C13659" w14:textId="77777777" w:rsidR="00182709" w:rsidRDefault="0044097C">
            <w:r>
              <w:t>(637)</w:t>
            </w:r>
          </w:p>
        </w:tc>
        <w:tc>
          <w:tcPr>
            <w:tcW w:w="866" w:type="dxa"/>
          </w:tcPr>
          <w:p w14:paraId="474EAFAD" w14:textId="77777777" w:rsidR="00182709" w:rsidRDefault="0044097C">
            <w:r>
              <w:t>(1 822)</w:t>
            </w:r>
          </w:p>
        </w:tc>
      </w:tr>
      <w:tr w:rsidR="00182709" w14:paraId="28E76BC1" w14:textId="77777777" w:rsidTr="00E5675C">
        <w:tc>
          <w:tcPr>
            <w:tcW w:w="1349" w:type="dxa"/>
          </w:tcPr>
          <w:p w14:paraId="5DCC8FEB" w14:textId="77777777" w:rsidR="00182709" w:rsidRDefault="00182709">
            <w:pPr>
              <w:jc w:val="left"/>
            </w:pPr>
          </w:p>
        </w:tc>
        <w:tc>
          <w:tcPr>
            <w:tcW w:w="6558" w:type="dxa"/>
          </w:tcPr>
          <w:p w14:paraId="0BBA1FF0" w14:textId="77777777" w:rsidR="00182709" w:rsidRDefault="0044097C">
            <w:pPr>
              <w:jc w:val="left"/>
            </w:pPr>
            <w:r>
              <w:t>Share of increments in revaluation surplus attributable to joint ventures</w:t>
            </w:r>
          </w:p>
        </w:tc>
        <w:tc>
          <w:tcPr>
            <w:tcW w:w="866" w:type="dxa"/>
          </w:tcPr>
          <w:p w14:paraId="7E67ED6F" w14:textId="77777777" w:rsidR="00182709" w:rsidRDefault="0044097C">
            <w:r>
              <w:t>..</w:t>
            </w:r>
          </w:p>
        </w:tc>
        <w:tc>
          <w:tcPr>
            <w:tcW w:w="866" w:type="dxa"/>
          </w:tcPr>
          <w:p w14:paraId="740CC4D1" w14:textId="77777777" w:rsidR="00182709" w:rsidRDefault="0044097C">
            <w:r>
              <w:t>..</w:t>
            </w:r>
          </w:p>
        </w:tc>
      </w:tr>
      <w:tr w:rsidR="00182709" w14:paraId="47A915BB" w14:textId="77777777" w:rsidTr="00E5675C">
        <w:tc>
          <w:tcPr>
            <w:tcW w:w="1349" w:type="dxa"/>
          </w:tcPr>
          <w:p w14:paraId="511D9F42" w14:textId="77777777" w:rsidR="00182709" w:rsidRDefault="00182709">
            <w:pPr>
              <w:jc w:val="left"/>
            </w:pPr>
          </w:p>
        </w:tc>
        <w:tc>
          <w:tcPr>
            <w:tcW w:w="6558" w:type="dxa"/>
          </w:tcPr>
          <w:p w14:paraId="78738023" w14:textId="77777777" w:rsidR="00182709" w:rsidRDefault="0044097C">
            <w:pPr>
              <w:jc w:val="left"/>
            </w:pPr>
            <w:r>
              <w:t>Share of increments in revaluation surplus attributable to associates</w:t>
            </w:r>
          </w:p>
        </w:tc>
        <w:tc>
          <w:tcPr>
            <w:tcW w:w="866" w:type="dxa"/>
          </w:tcPr>
          <w:p w14:paraId="0207C4C4" w14:textId="77777777" w:rsidR="00182709" w:rsidRDefault="0044097C">
            <w:r>
              <w:t>210</w:t>
            </w:r>
          </w:p>
        </w:tc>
        <w:tc>
          <w:tcPr>
            <w:tcW w:w="866" w:type="dxa"/>
          </w:tcPr>
          <w:p w14:paraId="7F144507" w14:textId="77777777" w:rsidR="00182709" w:rsidRDefault="0044097C">
            <w:r>
              <w:t>130</w:t>
            </w:r>
          </w:p>
        </w:tc>
      </w:tr>
      <w:tr w:rsidR="00182709" w14:paraId="545BE97D" w14:textId="77777777" w:rsidTr="00E5675C">
        <w:tc>
          <w:tcPr>
            <w:tcW w:w="1349" w:type="dxa"/>
          </w:tcPr>
          <w:p w14:paraId="3CB37EFA" w14:textId="77777777" w:rsidR="00182709" w:rsidRDefault="00182709">
            <w:pPr>
              <w:jc w:val="left"/>
            </w:pPr>
          </w:p>
        </w:tc>
        <w:tc>
          <w:tcPr>
            <w:tcW w:w="6558" w:type="dxa"/>
            <w:tcBorders>
              <w:bottom w:val="single" w:sz="12" w:space="0" w:color="auto"/>
            </w:tcBorders>
          </w:tcPr>
          <w:p w14:paraId="4D1B00B4" w14:textId="77777777" w:rsidR="00182709" w:rsidRDefault="0044097C">
            <w:pPr>
              <w:jc w:val="left"/>
            </w:pPr>
            <w:r>
              <w:t>Disposal or transferred out</w:t>
            </w:r>
          </w:p>
        </w:tc>
        <w:tc>
          <w:tcPr>
            <w:tcW w:w="866" w:type="dxa"/>
            <w:tcBorders>
              <w:bottom w:val="single" w:sz="12" w:space="0" w:color="auto"/>
            </w:tcBorders>
          </w:tcPr>
          <w:p w14:paraId="1FF6E8F6" w14:textId="77777777" w:rsidR="00182709" w:rsidRDefault="0044097C">
            <w:r>
              <w:t>(3 396)</w:t>
            </w:r>
          </w:p>
        </w:tc>
        <w:tc>
          <w:tcPr>
            <w:tcW w:w="866" w:type="dxa"/>
            <w:tcBorders>
              <w:bottom w:val="single" w:sz="12" w:space="0" w:color="auto"/>
            </w:tcBorders>
          </w:tcPr>
          <w:p w14:paraId="5E53EA99" w14:textId="77777777" w:rsidR="00182709" w:rsidRDefault="0044097C">
            <w:r>
              <w:t>..</w:t>
            </w:r>
          </w:p>
        </w:tc>
      </w:tr>
      <w:tr w:rsidR="00671D55" w14:paraId="7AF4618E" w14:textId="77777777" w:rsidTr="00E5675C">
        <w:tc>
          <w:tcPr>
            <w:tcW w:w="1349" w:type="dxa"/>
          </w:tcPr>
          <w:p w14:paraId="65194E8E" w14:textId="77777777" w:rsidR="00182709" w:rsidRDefault="00182709">
            <w:pPr>
              <w:jc w:val="left"/>
            </w:pPr>
          </w:p>
        </w:tc>
        <w:tc>
          <w:tcPr>
            <w:tcW w:w="6558" w:type="dxa"/>
          </w:tcPr>
          <w:p w14:paraId="16E777E1" w14:textId="77777777" w:rsidR="00182709" w:rsidRDefault="0044097C">
            <w:pPr>
              <w:jc w:val="left"/>
              <w:rPr>
                <w:b/>
              </w:rPr>
            </w:pPr>
            <w:r>
              <w:rPr>
                <w:b/>
              </w:rPr>
              <w:t>Balance at end of financial year</w:t>
            </w:r>
          </w:p>
        </w:tc>
        <w:tc>
          <w:tcPr>
            <w:tcW w:w="866" w:type="dxa"/>
          </w:tcPr>
          <w:p w14:paraId="48EEA17E" w14:textId="77777777" w:rsidR="00182709" w:rsidRDefault="0044097C">
            <w:r>
              <w:rPr>
                <w:b/>
              </w:rPr>
              <w:t>9 339</w:t>
            </w:r>
          </w:p>
        </w:tc>
        <w:tc>
          <w:tcPr>
            <w:tcW w:w="866" w:type="dxa"/>
          </w:tcPr>
          <w:p w14:paraId="05B645CE" w14:textId="77777777" w:rsidR="00182709" w:rsidRDefault="0044097C">
            <w:r>
              <w:rPr>
                <w:b/>
              </w:rPr>
              <w:t>5 759</w:t>
            </w:r>
          </w:p>
        </w:tc>
      </w:tr>
      <w:tr w:rsidR="00671D55" w14:paraId="634C9831" w14:textId="77777777" w:rsidTr="00E5675C">
        <w:tc>
          <w:tcPr>
            <w:tcW w:w="1349" w:type="dxa"/>
          </w:tcPr>
          <w:p w14:paraId="783EB5E6" w14:textId="77777777" w:rsidR="00182709" w:rsidRDefault="0044097C">
            <w:pPr>
              <w:jc w:val="left"/>
            </w:pPr>
            <w:r>
              <w:rPr>
                <w:color w:val="4472C4"/>
                <w:sz w:val="13"/>
              </w:rPr>
              <w:t>AASB 101.106 (d)</w:t>
            </w:r>
          </w:p>
        </w:tc>
        <w:tc>
          <w:tcPr>
            <w:tcW w:w="6558" w:type="dxa"/>
          </w:tcPr>
          <w:p w14:paraId="18D5225B" w14:textId="77777777" w:rsidR="00182709" w:rsidRDefault="0044097C">
            <w:pPr>
              <w:jc w:val="left"/>
            </w:pPr>
            <w:r>
              <w:rPr>
                <w:b/>
              </w:rPr>
              <w:t xml:space="preserve">Financial assets through other comprehensive income revaluation surplus </w:t>
            </w:r>
            <w:r>
              <w:rPr>
                <w:b/>
                <w:vertAlign w:val="superscript"/>
              </w:rPr>
              <w:t>(b)</w:t>
            </w:r>
          </w:p>
        </w:tc>
        <w:tc>
          <w:tcPr>
            <w:tcW w:w="866" w:type="dxa"/>
          </w:tcPr>
          <w:p w14:paraId="4393C2D1" w14:textId="77777777" w:rsidR="00182709" w:rsidRDefault="00182709"/>
        </w:tc>
        <w:tc>
          <w:tcPr>
            <w:tcW w:w="866" w:type="dxa"/>
          </w:tcPr>
          <w:p w14:paraId="16A5A9E4" w14:textId="77777777" w:rsidR="00182709" w:rsidRDefault="00182709"/>
        </w:tc>
      </w:tr>
      <w:tr w:rsidR="00182709" w14:paraId="38F8C0E2" w14:textId="77777777" w:rsidTr="00E5675C">
        <w:tc>
          <w:tcPr>
            <w:tcW w:w="1349" w:type="dxa"/>
          </w:tcPr>
          <w:p w14:paraId="1BA227C1" w14:textId="77777777" w:rsidR="00182709" w:rsidRDefault="00182709">
            <w:pPr>
              <w:jc w:val="left"/>
            </w:pPr>
          </w:p>
        </w:tc>
        <w:tc>
          <w:tcPr>
            <w:tcW w:w="6558" w:type="dxa"/>
          </w:tcPr>
          <w:p w14:paraId="36DBD395" w14:textId="77777777" w:rsidR="00182709" w:rsidRDefault="0044097C">
            <w:pPr>
              <w:jc w:val="left"/>
            </w:pPr>
            <w:r>
              <w:t>Balance at beginning of financial year</w:t>
            </w:r>
          </w:p>
        </w:tc>
        <w:tc>
          <w:tcPr>
            <w:tcW w:w="866" w:type="dxa"/>
          </w:tcPr>
          <w:p w14:paraId="2A50C503" w14:textId="77777777" w:rsidR="00182709" w:rsidRDefault="0044097C">
            <w:r>
              <w:t>1 723</w:t>
            </w:r>
          </w:p>
        </w:tc>
        <w:tc>
          <w:tcPr>
            <w:tcW w:w="866" w:type="dxa"/>
          </w:tcPr>
          <w:p w14:paraId="77A2BB4F" w14:textId="77777777" w:rsidR="00182709" w:rsidRDefault="0044097C">
            <w:r>
              <w:t>1 723</w:t>
            </w:r>
          </w:p>
        </w:tc>
      </w:tr>
      <w:tr w:rsidR="00182709" w14:paraId="043F4D22" w14:textId="77777777" w:rsidTr="00E5675C">
        <w:tc>
          <w:tcPr>
            <w:tcW w:w="1349" w:type="dxa"/>
          </w:tcPr>
          <w:p w14:paraId="3A0C6941" w14:textId="54DC2F1D" w:rsidR="00182709" w:rsidRDefault="00182709">
            <w:pPr>
              <w:jc w:val="left"/>
            </w:pPr>
          </w:p>
        </w:tc>
        <w:tc>
          <w:tcPr>
            <w:tcW w:w="6558" w:type="dxa"/>
          </w:tcPr>
          <w:p w14:paraId="092EC393" w14:textId="77777777" w:rsidR="00182709" w:rsidRDefault="0044097C">
            <w:pPr>
              <w:jc w:val="left"/>
            </w:pPr>
            <w:r>
              <w:t>Opening balance adjustment on adoption of AASB 9</w:t>
            </w:r>
          </w:p>
        </w:tc>
        <w:tc>
          <w:tcPr>
            <w:tcW w:w="866" w:type="dxa"/>
          </w:tcPr>
          <w:p w14:paraId="62119386" w14:textId="77777777" w:rsidR="00182709" w:rsidRDefault="0044097C">
            <w:r>
              <w:t>..</w:t>
            </w:r>
          </w:p>
        </w:tc>
        <w:tc>
          <w:tcPr>
            <w:tcW w:w="866" w:type="dxa"/>
          </w:tcPr>
          <w:p w14:paraId="57557390" w14:textId="77777777" w:rsidR="00182709" w:rsidRDefault="0044097C">
            <w:r>
              <w:t>..</w:t>
            </w:r>
          </w:p>
        </w:tc>
      </w:tr>
      <w:tr w:rsidR="00182709" w14:paraId="3E3E702C" w14:textId="77777777" w:rsidTr="00E5675C">
        <w:tc>
          <w:tcPr>
            <w:tcW w:w="1349" w:type="dxa"/>
          </w:tcPr>
          <w:p w14:paraId="0B7EC176" w14:textId="12B8A3A5" w:rsidR="00182709" w:rsidRDefault="003358D1">
            <w:pPr>
              <w:jc w:val="left"/>
            </w:pPr>
            <w:r>
              <w:rPr>
                <w:color w:val="4472C4"/>
                <w:sz w:val="13"/>
              </w:rPr>
              <w:t>AASB 9.5.7.1(d)</w:t>
            </w:r>
          </w:p>
        </w:tc>
        <w:tc>
          <w:tcPr>
            <w:tcW w:w="6558" w:type="dxa"/>
          </w:tcPr>
          <w:p w14:paraId="18D07083" w14:textId="77777777" w:rsidR="00182709" w:rsidRDefault="0044097C">
            <w:pPr>
              <w:jc w:val="left"/>
            </w:pPr>
            <w:r>
              <w:t>Valuation gain/(loss) recognised</w:t>
            </w:r>
          </w:p>
        </w:tc>
        <w:tc>
          <w:tcPr>
            <w:tcW w:w="866" w:type="dxa"/>
          </w:tcPr>
          <w:p w14:paraId="0F78FE40" w14:textId="77777777" w:rsidR="00182709" w:rsidRDefault="0044097C">
            <w:r>
              <w:t>100</w:t>
            </w:r>
          </w:p>
        </w:tc>
        <w:tc>
          <w:tcPr>
            <w:tcW w:w="866" w:type="dxa"/>
          </w:tcPr>
          <w:p w14:paraId="2FBE9A9E" w14:textId="77777777" w:rsidR="00182709" w:rsidRDefault="0044097C">
            <w:r>
              <w:t>..</w:t>
            </w:r>
          </w:p>
        </w:tc>
      </w:tr>
      <w:tr w:rsidR="00182709" w14:paraId="0A5B5ECD" w14:textId="77777777" w:rsidTr="00E5675C">
        <w:tc>
          <w:tcPr>
            <w:tcW w:w="1349" w:type="dxa"/>
          </w:tcPr>
          <w:p w14:paraId="7C621A7A" w14:textId="4314759D" w:rsidR="00182709" w:rsidRDefault="003358D1">
            <w:pPr>
              <w:jc w:val="left"/>
            </w:pPr>
            <w:r>
              <w:rPr>
                <w:color w:val="4472C4"/>
                <w:sz w:val="13"/>
              </w:rPr>
              <w:t>AASB 9.5.7.1(d)</w:t>
            </w:r>
          </w:p>
        </w:tc>
        <w:tc>
          <w:tcPr>
            <w:tcW w:w="6558" w:type="dxa"/>
          </w:tcPr>
          <w:p w14:paraId="5A9EB9FF" w14:textId="77777777" w:rsidR="00182709" w:rsidRDefault="0044097C">
            <w:pPr>
              <w:jc w:val="left"/>
            </w:pPr>
            <w:r>
              <w:t>Cumulative gain/(loss) transferred to net result on impairment of financial assets</w:t>
            </w:r>
          </w:p>
        </w:tc>
        <w:tc>
          <w:tcPr>
            <w:tcW w:w="866" w:type="dxa"/>
          </w:tcPr>
          <w:p w14:paraId="16525942" w14:textId="77777777" w:rsidR="00182709" w:rsidRDefault="0044097C">
            <w:r>
              <w:t>..</w:t>
            </w:r>
          </w:p>
        </w:tc>
        <w:tc>
          <w:tcPr>
            <w:tcW w:w="866" w:type="dxa"/>
          </w:tcPr>
          <w:p w14:paraId="703708D9" w14:textId="77777777" w:rsidR="00182709" w:rsidRDefault="0044097C">
            <w:r>
              <w:t>..</w:t>
            </w:r>
          </w:p>
        </w:tc>
      </w:tr>
      <w:tr w:rsidR="00182709" w14:paraId="47EBB17B" w14:textId="77777777" w:rsidTr="00E5675C">
        <w:tc>
          <w:tcPr>
            <w:tcW w:w="1349" w:type="dxa"/>
          </w:tcPr>
          <w:p w14:paraId="6E509C96" w14:textId="77777777" w:rsidR="00182709" w:rsidRDefault="00182709">
            <w:pPr>
              <w:jc w:val="left"/>
            </w:pPr>
          </w:p>
        </w:tc>
        <w:tc>
          <w:tcPr>
            <w:tcW w:w="6558" w:type="dxa"/>
          </w:tcPr>
          <w:p w14:paraId="25941696" w14:textId="77777777" w:rsidR="00182709" w:rsidRDefault="0044097C">
            <w:pPr>
              <w:jc w:val="left"/>
            </w:pPr>
            <w:r>
              <w:t>Share of increments in revaluation surplus attributable to joint ventures</w:t>
            </w:r>
          </w:p>
        </w:tc>
        <w:tc>
          <w:tcPr>
            <w:tcW w:w="866" w:type="dxa"/>
          </w:tcPr>
          <w:p w14:paraId="3D334824" w14:textId="77777777" w:rsidR="00182709" w:rsidRDefault="0044097C">
            <w:r>
              <w:t>..</w:t>
            </w:r>
          </w:p>
        </w:tc>
        <w:tc>
          <w:tcPr>
            <w:tcW w:w="866" w:type="dxa"/>
          </w:tcPr>
          <w:p w14:paraId="73636A23" w14:textId="77777777" w:rsidR="00182709" w:rsidRDefault="0044097C">
            <w:r>
              <w:t>..</w:t>
            </w:r>
          </w:p>
        </w:tc>
      </w:tr>
      <w:tr w:rsidR="00182709" w14:paraId="235B2335" w14:textId="77777777" w:rsidTr="00E5675C">
        <w:tc>
          <w:tcPr>
            <w:tcW w:w="1349" w:type="dxa"/>
          </w:tcPr>
          <w:p w14:paraId="3804A3C3" w14:textId="77777777" w:rsidR="00182709" w:rsidRDefault="00182709">
            <w:pPr>
              <w:jc w:val="left"/>
            </w:pPr>
          </w:p>
        </w:tc>
        <w:tc>
          <w:tcPr>
            <w:tcW w:w="6558" w:type="dxa"/>
          </w:tcPr>
          <w:p w14:paraId="250B2EC8" w14:textId="77777777" w:rsidR="00182709" w:rsidRDefault="0044097C">
            <w:pPr>
              <w:jc w:val="left"/>
            </w:pPr>
            <w:r>
              <w:t>Share of increments in revaluation surplus attributable to associates</w:t>
            </w:r>
          </w:p>
        </w:tc>
        <w:tc>
          <w:tcPr>
            <w:tcW w:w="866" w:type="dxa"/>
          </w:tcPr>
          <w:p w14:paraId="390E7850" w14:textId="77777777" w:rsidR="00182709" w:rsidRDefault="0044097C">
            <w:r>
              <w:t>50</w:t>
            </w:r>
          </w:p>
        </w:tc>
        <w:tc>
          <w:tcPr>
            <w:tcW w:w="866" w:type="dxa"/>
          </w:tcPr>
          <w:p w14:paraId="7B2A5DBD" w14:textId="77777777" w:rsidR="00182709" w:rsidRDefault="0044097C">
            <w:r>
              <w:t>..</w:t>
            </w:r>
          </w:p>
        </w:tc>
      </w:tr>
      <w:tr w:rsidR="00182709" w14:paraId="4C2780CD" w14:textId="77777777" w:rsidTr="00E5675C">
        <w:tc>
          <w:tcPr>
            <w:tcW w:w="1349" w:type="dxa"/>
          </w:tcPr>
          <w:p w14:paraId="7A62725B" w14:textId="77777777" w:rsidR="00182709" w:rsidRDefault="00182709">
            <w:pPr>
              <w:jc w:val="left"/>
            </w:pPr>
          </w:p>
        </w:tc>
        <w:tc>
          <w:tcPr>
            <w:tcW w:w="6558" w:type="dxa"/>
            <w:tcBorders>
              <w:bottom w:val="single" w:sz="12" w:space="0" w:color="auto"/>
            </w:tcBorders>
          </w:tcPr>
          <w:p w14:paraId="2DC9FF8D" w14:textId="77777777" w:rsidR="00182709" w:rsidRDefault="0044097C">
            <w:pPr>
              <w:jc w:val="left"/>
            </w:pPr>
            <w:r>
              <w:t>Disposal or transferred out</w:t>
            </w:r>
          </w:p>
        </w:tc>
        <w:tc>
          <w:tcPr>
            <w:tcW w:w="866" w:type="dxa"/>
            <w:tcBorders>
              <w:bottom w:val="single" w:sz="12" w:space="0" w:color="auto"/>
            </w:tcBorders>
          </w:tcPr>
          <w:p w14:paraId="395D8CAE" w14:textId="77777777" w:rsidR="00182709" w:rsidRDefault="0044097C">
            <w:r>
              <w:t>(323)</w:t>
            </w:r>
          </w:p>
        </w:tc>
        <w:tc>
          <w:tcPr>
            <w:tcW w:w="866" w:type="dxa"/>
            <w:tcBorders>
              <w:bottom w:val="single" w:sz="12" w:space="0" w:color="auto"/>
            </w:tcBorders>
          </w:tcPr>
          <w:p w14:paraId="54EABB7D" w14:textId="77777777" w:rsidR="00182709" w:rsidRDefault="0044097C">
            <w:r>
              <w:t>..</w:t>
            </w:r>
          </w:p>
        </w:tc>
      </w:tr>
      <w:tr w:rsidR="00671D55" w14:paraId="5F558522" w14:textId="77777777" w:rsidTr="00E5675C">
        <w:tc>
          <w:tcPr>
            <w:tcW w:w="1349" w:type="dxa"/>
          </w:tcPr>
          <w:p w14:paraId="228522DF" w14:textId="77777777" w:rsidR="00182709" w:rsidRDefault="00182709">
            <w:pPr>
              <w:jc w:val="left"/>
            </w:pPr>
          </w:p>
        </w:tc>
        <w:tc>
          <w:tcPr>
            <w:tcW w:w="6558" w:type="dxa"/>
          </w:tcPr>
          <w:p w14:paraId="68979C27" w14:textId="77777777" w:rsidR="00182709" w:rsidRDefault="0044097C">
            <w:pPr>
              <w:jc w:val="left"/>
              <w:rPr>
                <w:b/>
              </w:rPr>
            </w:pPr>
            <w:r>
              <w:rPr>
                <w:b/>
              </w:rPr>
              <w:t>Balance at end of financial year</w:t>
            </w:r>
          </w:p>
        </w:tc>
        <w:tc>
          <w:tcPr>
            <w:tcW w:w="866" w:type="dxa"/>
          </w:tcPr>
          <w:p w14:paraId="1B4E6787" w14:textId="77777777" w:rsidR="00182709" w:rsidRDefault="0044097C">
            <w:r>
              <w:rPr>
                <w:b/>
              </w:rPr>
              <w:t>1 550</w:t>
            </w:r>
          </w:p>
        </w:tc>
        <w:tc>
          <w:tcPr>
            <w:tcW w:w="866" w:type="dxa"/>
          </w:tcPr>
          <w:p w14:paraId="29E653FA" w14:textId="77777777" w:rsidR="00182709" w:rsidRDefault="0044097C">
            <w:r>
              <w:rPr>
                <w:b/>
              </w:rPr>
              <w:t>1 723</w:t>
            </w:r>
          </w:p>
        </w:tc>
      </w:tr>
      <w:tr w:rsidR="00671D55" w14:paraId="53C455FF" w14:textId="77777777" w:rsidTr="00E5675C">
        <w:tc>
          <w:tcPr>
            <w:tcW w:w="1349" w:type="dxa"/>
          </w:tcPr>
          <w:p w14:paraId="4EA86B64" w14:textId="77777777" w:rsidR="00182709" w:rsidRDefault="0044097C">
            <w:pPr>
              <w:jc w:val="left"/>
            </w:pPr>
            <w:r>
              <w:rPr>
                <w:color w:val="4472C4"/>
                <w:sz w:val="13"/>
              </w:rPr>
              <w:t>AASB 101.106 (d)</w:t>
            </w:r>
          </w:p>
        </w:tc>
        <w:tc>
          <w:tcPr>
            <w:tcW w:w="6558" w:type="dxa"/>
          </w:tcPr>
          <w:p w14:paraId="2E2CB432" w14:textId="77777777" w:rsidR="00182709" w:rsidRDefault="0044097C">
            <w:pPr>
              <w:jc w:val="left"/>
            </w:pPr>
            <w:r>
              <w:rPr>
                <w:b/>
              </w:rPr>
              <w:t xml:space="preserve">Own credit risk revaluation reserve for financial liabilities through other comprehensive income revaluation surplus </w:t>
            </w:r>
            <w:r>
              <w:rPr>
                <w:b/>
                <w:vertAlign w:val="superscript"/>
              </w:rPr>
              <w:t>(b)</w:t>
            </w:r>
          </w:p>
        </w:tc>
        <w:tc>
          <w:tcPr>
            <w:tcW w:w="866" w:type="dxa"/>
          </w:tcPr>
          <w:p w14:paraId="0409A5FA" w14:textId="77777777" w:rsidR="00182709" w:rsidRDefault="00182709"/>
        </w:tc>
        <w:tc>
          <w:tcPr>
            <w:tcW w:w="866" w:type="dxa"/>
          </w:tcPr>
          <w:p w14:paraId="01312A10" w14:textId="77777777" w:rsidR="00182709" w:rsidRDefault="00182709"/>
        </w:tc>
      </w:tr>
      <w:tr w:rsidR="00182709" w14:paraId="1DDC401F" w14:textId="77777777" w:rsidTr="00E5675C">
        <w:tc>
          <w:tcPr>
            <w:tcW w:w="1349" w:type="dxa"/>
          </w:tcPr>
          <w:p w14:paraId="3C6D9402" w14:textId="77777777" w:rsidR="00182709" w:rsidRDefault="00182709">
            <w:pPr>
              <w:jc w:val="left"/>
            </w:pPr>
          </w:p>
        </w:tc>
        <w:tc>
          <w:tcPr>
            <w:tcW w:w="6558" w:type="dxa"/>
          </w:tcPr>
          <w:p w14:paraId="52D3E77E" w14:textId="77777777" w:rsidR="00182709" w:rsidRDefault="0044097C">
            <w:pPr>
              <w:jc w:val="left"/>
            </w:pPr>
            <w:r>
              <w:t>Balance at beginning of financial year</w:t>
            </w:r>
          </w:p>
        </w:tc>
        <w:tc>
          <w:tcPr>
            <w:tcW w:w="866" w:type="dxa"/>
          </w:tcPr>
          <w:p w14:paraId="2664B3A7" w14:textId="77777777" w:rsidR="00182709" w:rsidRDefault="0044097C">
            <w:r>
              <w:t>..</w:t>
            </w:r>
          </w:p>
        </w:tc>
        <w:tc>
          <w:tcPr>
            <w:tcW w:w="866" w:type="dxa"/>
          </w:tcPr>
          <w:p w14:paraId="004CD035" w14:textId="77777777" w:rsidR="00182709" w:rsidRDefault="0044097C">
            <w:r>
              <w:t>..</w:t>
            </w:r>
          </w:p>
        </w:tc>
      </w:tr>
      <w:tr w:rsidR="00182709" w14:paraId="00FFFAD7" w14:textId="77777777" w:rsidTr="00E5675C">
        <w:tc>
          <w:tcPr>
            <w:tcW w:w="1349" w:type="dxa"/>
          </w:tcPr>
          <w:p w14:paraId="2594A7F4" w14:textId="257FAB03" w:rsidR="00182709" w:rsidRDefault="004B3A01">
            <w:pPr>
              <w:jc w:val="left"/>
            </w:pPr>
            <w:r>
              <w:rPr>
                <w:color w:val="4472C4"/>
                <w:sz w:val="13"/>
              </w:rPr>
              <w:t>AASB 9.5.7.1(d)</w:t>
            </w:r>
          </w:p>
        </w:tc>
        <w:tc>
          <w:tcPr>
            <w:tcW w:w="6558" w:type="dxa"/>
          </w:tcPr>
          <w:p w14:paraId="52FBF077" w14:textId="77777777" w:rsidR="00182709" w:rsidRDefault="0044097C">
            <w:pPr>
              <w:jc w:val="left"/>
            </w:pPr>
            <w:r>
              <w:t>Valuation (gain)/loss recognised</w:t>
            </w:r>
          </w:p>
        </w:tc>
        <w:tc>
          <w:tcPr>
            <w:tcW w:w="866" w:type="dxa"/>
          </w:tcPr>
          <w:p w14:paraId="2644E13F" w14:textId="77777777" w:rsidR="00182709" w:rsidRDefault="0044097C">
            <w:r>
              <w:t>30</w:t>
            </w:r>
          </w:p>
        </w:tc>
        <w:tc>
          <w:tcPr>
            <w:tcW w:w="866" w:type="dxa"/>
          </w:tcPr>
          <w:p w14:paraId="3B81E376" w14:textId="77777777" w:rsidR="00182709" w:rsidRDefault="0044097C">
            <w:r>
              <w:t>..</w:t>
            </w:r>
          </w:p>
        </w:tc>
      </w:tr>
      <w:tr w:rsidR="00182709" w14:paraId="009231B0" w14:textId="77777777" w:rsidTr="00E5675C">
        <w:tc>
          <w:tcPr>
            <w:tcW w:w="1349" w:type="dxa"/>
          </w:tcPr>
          <w:p w14:paraId="7746BCD4" w14:textId="69F5C458" w:rsidR="00182709" w:rsidRDefault="004B3A01">
            <w:pPr>
              <w:jc w:val="left"/>
            </w:pPr>
            <w:r>
              <w:rPr>
                <w:color w:val="4472C4"/>
                <w:sz w:val="13"/>
              </w:rPr>
              <w:t>AASB 9.5.7.1(d)</w:t>
            </w:r>
          </w:p>
        </w:tc>
        <w:tc>
          <w:tcPr>
            <w:tcW w:w="6558" w:type="dxa"/>
          </w:tcPr>
          <w:p w14:paraId="6FC71018" w14:textId="77777777" w:rsidR="00182709" w:rsidRDefault="0044097C">
            <w:pPr>
              <w:jc w:val="left"/>
            </w:pPr>
            <w:r>
              <w:t>Cumulative gain/(loss) transferred to net result on impairment of financial assets</w:t>
            </w:r>
          </w:p>
        </w:tc>
        <w:tc>
          <w:tcPr>
            <w:tcW w:w="866" w:type="dxa"/>
          </w:tcPr>
          <w:p w14:paraId="42C1507F" w14:textId="77777777" w:rsidR="00182709" w:rsidRDefault="0044097C">
            <w:r>
              <w:t>..</w:t>
            </w:r>
          </w:p>
        </w:tc>
        <w:tc>
          <w:tcPr>
            <w:tcW w:w="866" w:type="dxa"/>
          </w:tcPr>
          <w:p w14:paraId="0D39E1A5" w14:textId="77777777" w:rsidR="00182709" w:rsidRDefault="0044097C">
            <w:r>
              <w:t>..</w:t>
            </w:r>
          </w:p>
        </w:tc>
      </w:tr>
      <w:tr w:rsidR="00182709" w14:paraId="42A2258C" w14:textId="77777777" w:rsidTr="00E5675C">
        <w:tc>
          <w:tcPr>
            <w:tcW w:w="1349" w:type="dxa"/>
          </w:tcPr>
          <w:p w14:paraId="0388F001" w14:textId="77777777" w:rsidR="00182709" w:rsidRDefault="00182709">
            <w:pPr>
              <w:jc w:val="left"/>
            </w:pPr>
          </w:p>
        </w:tc>
        <w:tc>
          <w:tcPr>
            <w:tcW w:w="6558" w:type="dxa"/>
          </w:tcPr>
          <w:p w14:paraId="376BF948" w14:textId="77777777" w:rsidR="00182709" w:rsidRDefault="0044097C">
            <w:pPr>
              <w:jc w:val="left"/>
            </w:pPr>
            <w:r>
              <w:t>Share of increments in revaluation surplus attributable to joint ventures</w:t>
            </w:r>
          </w:p>
        </w:tc>
        <w:tc>
          <w:tcPr>
            <w:tcW w:w="866" w:type="dxa"/>
          </w:tcPr>
          <w:p w14:paraId="444716DB" w14:textId="77777777" w:rsidR="00182709" w:rsidRDefault="0044097C">
            <w:r>
              <w:t>..</w:t>
            </w:r>
          </w:p>
        </w:tc>
        <w:tc>
          <w:tcPr>
            <w:tcW w:w="866" w:type="dxa"/>
          </w:tcPr>
          <w:p w14:paraId="7644A606" w14:textId="77777777" w:rsidR="00182709" w:rsidRDefault="0044097C">
            <w:r>
              <w:t>..</w:t>
            </w:r>
          </w:p>
        </w:tc>
      </w:tr>
      <w:tr w:rsidR="00182709" w14:paraId="302383A1" w14:textId="77777777" w:rsidTr="00E5675C">
        <w:tc>
          <w:tcPr>
            <w:tcW w:w="1349" w:type="dxa"/>
          </w:tcPr>
          <w:p w14:paraId="61873EF4" w14:textId="77777777" w:rsidR="00182709" w:rsidRDefault="00182709">
            <w:pPr>
              <w:jc w:val="left"/>
            </w:pPr>
          </w:p>
        </w:tc>
        <w:tc>
          <w:tcPr>
            <w:tcW w:w="6558" w:type="dxa"/>
          </w:tcPr>
          <w:p w14:paraId="1C870157" w14:textId="77777777" w:rsidR="00182709" w:rsidRDefault="0044097C">
            <w:pPr>
              <w:jc w:val="left"/>
            </w:pPr>
            <w:r>
              <w:t>Share of increments in revaluation surplus attributable to associates</w:t>
            </w:r>
          </w:p>
        </w:tc>
        <w:tc>
          <w:tcPr>
            <w:tcW w:w="866" w:type="dxa"/>
          </w:tcPr>
          <w:p w14:paraId="024B3343" w14:textId="77777777" w:rsidR="00182709" w:rsidRDefault="00182709"/>
        </w:tc>
        <w:tc>
          <w:tcPr>
            <w:tcW w:w="866" w:type="dxa"/>
          </w:tcPr>
          <w:p w14:paraId="19FA3DDA" w14:textId="77777777" w:rsidR="00182709" w:rsidRDefault="0044097C">
            <w:r>
              <w:t>..</w:t>
            </w:r>
          </w:p>
        </w:tc>
      </w:tr>
      <w:tr w:rsidR="00182709" w14:paraId="161B0893" w14:textId="77777777" w:rsidTr="00E5675C">
        <w:tc>
          <w:tcPr>
            <w:tcW w:w="1349" w:type="dxa"/>
          </w:tcPr>
          <w:p w14:paraId="5D7D8124" w14:textId="77777777" w:rsidR="00182709" w:rsidRDefault="00182709">
            <w:pPr>
              <w:jc w:val="left"/>
            </w:pPr>
          </w:p>
        </w:tc>
        <w:tc>
          <w:tcPr>
            <w:tcW w:w="6558" w:type="dxa"/>
            <w:tcBorders>
              <w:bottom w:val="single" w:sz="12" w:space="0" w:color="auto"/>
            </w:tcBorders>
          </w:tcPr>
          <w:p w14:paraId="32D0311F" w14:textId="77777777" w:rsidR="00182709" w:rsidRDefault="0044097C">
            <w:pPr>
              <w:jc w:val="left"/>
            </w:pPr>
            <w:r>
              <w:t>Disposal or transferred out</w:t>
            </w:r>
          </w:p>
        </w:tc>
        <w:tc>
          <w:tcPr>
            <w:tcW w:w="866" w:type="dxa"/>
            <w:tcBorders>
              <w:bottom w:val="single" w:sz="12" w:space="0" w:color="auto"/>
            </w:tcBorders>
          </w:tcPr>
          <w:p w14:paraId="77F95371" w14:textId="77777777" w:rsidR="00182709" w:rsidRDefault="0044097C">
            <w:r>
              <w:t>..</w:t>
            </w:r>
          </w:p>
        </w:tc>
        <w:tc>
          <w:tcPr>
            <w:tcW w:w="866" w:type="dxa"/>
            <w:tcBorders>
              <w:bottom w:val="single" w:sz="12" w:space="0" w:color="auto"/>
            </w:tcBorders>
          </w:tcPr>
          <w:p w14:paraId="33030672" w14:textId="77777777" w:rsidR="00182709" w:rsidRDefault="0044097C">
            <w:r>
              <w:t>..</w:t>
            </w:r>
          </w:p>
        </w:tc>
      </w:tr>
      <w:tr w:rsidR="00671D55" w14:paraId="359D13DA" w14:textId="77777777" w:rsidTr="00E5675C">
        <w:tc>
          <w:tcPr>
            <w:tcW w:w="1349" w:type="dxa"/>
          </w:tcPr>
          <w:p w14:paraId="2624BBFB" w14:textId="77777777" w:rsidR="00182709" w:rsidRDefault="00182709">
            <w:pPr>
              <w:jc w:val="left"/>
            </w:pPr>
          </w:p>
        </w:tc>
        <w:tc>
          <w:tcPr>
            <w:tcW w:w="6558" w:type="dxa"/>
          </w:tcPr>
          <w:p w14:paraId="6A4C5815" w14:textId="77777777" w:rsidR="00182709" w:rsidRDefault="0044097C">
            <w:pPr>
              <w:jc w:val="left"/>
            </w:pPr>
            <w:r>
              <w:rPr>
                <w:b/>
              </w:rPr>
              <w:t>Balance at end of financial year</w:t>
            </w:r>
          </w:p>
        </w:tc>
        <w:tc>
          <w:tcPr>
            <w:tcW w:w="866" w:type="dxa"/>
          </w:tcPr>
          <w:p w14:paraId="0DDC1DE9" w14:textId="77777777" w:rsidR="00182709" w:rsidRDefault="0044097C">
            <w:r>
              <w:rPr>
                <w:b/>
              </w:rPr>
              <w:t>30</w:t>
            </w:r>
          </w:p>
        </w:tc>
        <w:tc>
          <w:tcPr>
            <w:tcW w:w="866" w:type="dxa"/>
          </w:tcPr>
          <w:p w14:paraId="507425EC" w14:textId="77777777" w:rsidR="00182709" w:rsidRDefault="0044097C">
            <w:r>
              <w:rPr>
                <w:b/>
              </w:rPr>
              <w:t>..</w:t>
            </w:r>
          </w:p>
        </w:tc>
      </w:tr>
      <w:tr w:rsidR="00671D55" w14:paraId="7934A0FD" w14:textId="77777777" w:rsidTr="00E5675C">
        <w:tc>
          <w:tcPr>
            <w:tcW w:w="1349" w:type="dxa"/>
            <w:tcBorders>
              <w:bottom w:val="nil"/>
            </w:tcBorders>
          </w:tcPr>
          <w:p w14:paraId="28A388F7" w14:textId="77777777" w:rsidR="00182709" w:rsidRDefault="00182709">
            <w:pPr>
              <w:jc w:val="left"/>
            </w:pPr>
          </w:p>
        </w:tc>
        <w:tc>
          <w:tcPr>
            <w:tcW w:w="6558" w:type="dxa"/>
          </w:tcPr>
          <w:p w14:paraId="24CA33F7" w14:textId="77777777" w:rsidR="00182709" w:rsidRDefault="0044097C">
            <w:pPr>
              <w:jc w:val="left"/>
            </w:pPr>
            <w:r>
              <w:rPr>
                <w:b/>
              </w:rPr>
              <w:t>Net changes in reserves</w:t>
            </w:r>
          </w:p>
        </w:tc>
        <w:tc>
          <w:tcPr>
            <w:tcW w:w="866" w:type="dxa"/>
          </w:tcPr>
          <w:p w14:paraId="7C384219" w14:textId="77777777" w:rsidR="00182709" w:rsidRDefault="0044097C">
            <w:r>
              <w:rPr>
                <w:b/>
              </w:rPr>
              <w:t>10 919</w:t>
            </w:r>
          </w:p>
        </w:tc>
        <w:tc>
          <w:tcPr>
            <w:tcW w:w="866" w:type="dxa"/>
          </w:tcPr>
          <w:p w14:paraId="154CC234" w14:textId="77777777" w:rsidR="00182709" w:rsidRDefault="0044097C">
            <w:r>
              <w:rPr>
                <w:b/>
              </w:rPr>
              <w:t>7 482</w:t>
            </w:r>
          </w:p>
        </w:tc>
      </w:tr>
    </w:tbl>
    <w:p w14:paraId="39D24117" w14:textId="77777777" w:rsidR="003719CD" w:rsidRDefault="003719CD" w:rsidP="007D536F">
      <w:pPr>
        <w:pStyle w:val="Note"/>
      </w:pPr>
      <w:r>
        <w:t>Notes:</w:t>
      </w:r>
    </w:p>
    <w:p w14:paraId="5217E6DF" w14:textId="77777777" w:rsidR="003719CD" w:rsidRDefault="003719CD" w:rsidP="007D536F">
      <w:pPr>
        <w:pStyle w:val="Note"/>
      </w:pPr>
      <w:r>
        <w:t>(a)</w:t>
      </w:r>
      <w:r>
        <w:tab/>
        <w:t xml:space="preserve">The physical assets revaluation surplus arises on the revaluation of infrastructure, land and buildings. </w:t>
      </w:r>
      <w:r w:rsidRPr="46DFB224">
        <w:rPr>
          <w:rStyle w:val="Reference"/>
          <w:sz w:val="14"/>
          <w:szCs w:val="14"/>
        </w:rPr>
        <w:t>[AASB 101.79(B)]</w:t>
      </w:r>
    </w:p>
    <w:p w14:paraId="7A00D8D7" w14:textId="77777777" w:rsidR="003719CD" w:rsidRDefault="003719CD" w:rsidP="007D536F">
      <w:pPr>
        <w:pStyle w:val="Note"/>
      </w:pPr>
      <w:r>
        <w:t>(b)</w:t>
      </w:r>
      <w:r>
        <w:tab/>
        <w:t xml:space="preserve">The financial assets available-for-sale revaluation surplus arises on the revaluation of available-for-sale financial assets. Where a revalued financial asset is sold, a portion of the revaluation surplus that relates to that financial asset is effectively realised, and is recognised in the net result. Where a revalued financial asset is impaired, that portion of the revaluation surplus that relates to that financial asset is recognised in the net result. </w:t>
      </w:r>
      <w:r w:rsidRPr="46DFB224">
        <w:rPr>
          <w:rStyle w:val="Reference"/>
          <w:sz w:val="14"/>
          <w:szCs w:val="14"/>
        </w:rPr>
        <w:t>[AASB 101.79(B)]</w:t>
      </w:r>
    </w:p>
    <w:p w14:paraId="0D8BBC86" w14:textId="77777777" w:rsidR="003719CD" w:rsidRDefault="003719CD" w:rsidP="00DC39DE"/>
    <w:p w14:paraId="44CC2371" w14:textId="77777777" w:rsidR="003719CD" w:rsidRPr="006809EA" w:rsidRDefault="003719CD" w:rsidP="007D536F">
      <w:pPr>
        <w:pStyle w:val="GuidanceBlockHeading"/>
      </w:pPr>
      <w:r w:rsidRPr="006809EA">
        <w:t>Guidance – Reserves</w:t>
      </w:r>
    </w:p>
    <w:p w14:paraId="667879D2" w14:textId="77777777" w:rsidR="003719CD" w:rsidRPr="006809EA" w:rsidRDefault="003719CD" w:rsidP="007D536F">
      <w:pPr>
        <w:rPr>
          <w:rStyle w:val="Guidance"/>
        </w:rPr>
      </w:pPr>
      <w:r w:rsidRPr="006809EA">
        <w:rPr>
          <w:rStyle w:val="Guidance"/>
        </w:rPr>
        <w:t>The illustrated requirement to show movements in reserves from opening balance to closing balance shall apply to each reserve, including general reserves. In providing a description of the nature and purpose of the reserves, it would be appropriate to refer to any restrictions on their distribution or any other important characteristics of the reserves.</w:t>
      </w:r>
    </w:p>
    <w:p w14:paraId="36E649FA" w14:textId="77777777" w:rsidR="003719CD" w:rsidRPr="006809EA" w:rsidRDefault="003719CD" w:rsidP="007D536F">
      <w:pPr>
        <w:rPr>
          <w:rStyle w:val="Guidance"/>
        </w:rPr>
      </w:pPr>
      <w:r w:rsidRPr="006809EA">
        <w:rPr>
          <w:rStyle w:val="Guidance"/>
        </w:rPr>
        <w:t>Please note, in accordance with amending standard AASB 2009-6, the term ‘revaluation reserve’ is now to be referred to as the ‘revaluation surplus’.</w:t>
      </w:r>
    </w:p>
    <w:p w14:paraId="3BB0C9BF" w14:textId="77777777" w:rsidR="003719CD" w:rsidRPr="006809EA" w:rsidRDefault="003719CD" w:rsidP="007D536F">
      <w:pPr>
        <w:rPr>
          <w:rStyle w:val="Guidance"/>
        </w:rPr>
      </w:pPr>
      <w:r w:rsidRPr="006809EA">
        <w:rPr>
          <w:rStyle w:val="Guidance"/>
        </w:rPr>
        <w:t>The Model does not include a description of the nature of ‘other reserves’ as the reason for creating it will be rare and specific to each department. Therefore, if used, agencies are required to provide a description of the nature and purpose of the ‘other reserves’.</w:t>
      </w:r>
      <w:r w:rsidRPr="006809EA">
        <w:rPr>
          <w:rStyle w:val="Reference"/>
        </w:rPr>
        <w:t xml:space="preserve"> [AASB 101.79(b)]</w:t>
      </w:r>
    </w:p>
    <w:p w14:paraId="08387AA2" w14:textId="77777777" w:rsidR="003719CD" w:rsidRPr="006809EA" w:rsidRDefault="003719CD" w:rsidP="007D536F">
      <w:pPr>
        <w:pStyle w:val="GuidanceHeading"/>
        <w:rPr>
          <w:rStyle w:val="Guidance"/>
        </w:rPr>
      </w:pPr>
      <w:r w:rsidRPr="006809EA">
        <w:rPr>
          <w:rStyle w:val="Guidance"/>
        </w:rPr>
        <w:t>Amounts recognised in other comprehensive income relating to non-current assets classified as held for sale</w:t>
      </w:r>
    </w:p>
    <w:p w14:paraId="79C54EF2" w14:textId="77777777" w:rsidR="003719CD" w:rsidRPr="006809EA" w:rsidRDefault="003719CD" w:rsidP="007D536F">
      <w:pPr>
        <w:rPr>
          <w:rStyle w:val="Guidance"/>
        </w:rPr>
      </w:pPr>
      <w:r w:rsidRPr="006809EA">
        <w:rPr>
          <w:rStyle w:val="Guidance"/>
        </w:rPr>
        <w:t xml:space="preserve">An entity shall present separately any cumulative income or expense recognised in other comprehensive income relating to a non-current asset (or disposal group) classified as held for sale. </w:t>
      </w:r>
      <w:r w:rsidRPr="006809EA">
        <w:rPr>
          <w:rStyle w:val="Reference"/>
        </w:rPr>
        <w:t>[AASB 5.38]</w:t>
      </w:r>
    </w:p>
    <w:p w14:paraId="21729FAA" w14:textId="77777777" w:rsidR="003719CD" w:rsidRPr="006809EA" w:rsidRDefault="003719CD" w:rsidP="007D536F">
      <w:pPr>
        <w:pStyle w:val="GuidanceHeading"/>
        <w:rPr>
          <w:rStyle w:val="Guidance"/>
        </w:rPr>
      </w:pPr>
      <w:r w:rsidRPr="006809EA">
        <w:rPr>
          <w:rStyle w:val="Guidance"/>
        </w:rPr>
        <w:t>Dividends</w:t>
      </w:r>
    </w:p>
    <w:p w14:paraId="4563F913" w14:textId="77777777" w:rsidR="003719CD" w:rsidRPr="006809EA" w:rsidRDefault="003719CD" w:rsidP="007D536F">
      <w:pPr>
        <w:rPr>
          <w:rStyle w:val="Guidance"/>
        </w:rPr>
      </w:pPr>
      <w:r w:rsidRPr="006809EA">
        <w:rPr>
          <w:rStyle w:val="Guidance"/>
        </w:rPr>
        <w:t>An entity must disclose, in the notes only, any amount of dividends proposed or declared before the financial statements are authorised for issue but not recognised as a distribution during the period.</w:t>
      </w:r>
    </w:p>
    <w:p w14:paraId="27573036" w14:textId="77777777" w:rsidR="003719CD" w:rsidRPr="006809EA" w:rsidRDefault="003719CD" w:rsidP="007D536F">
      <w:pPr>
        <w:pStyle w:val="GuidanceHeading"/>
        <w:rPr>
          <w:rStyle w:val="Guidance"/>
        </w:rPr>
      </w:pPr>
      <w:r w:rsidRPr="006809EA">
        <w:rPr>
          <w:rStyle w:val="Guidance"/>
        </w:rPr>
        <w:lastRenderedPageBreak/>
        <w:t>Revaluation surplus</w:t>
      </w:r>
    </w:p>
    <w:p w14:paraId="56E14715" w14:textId="77777777" w:rsidR="003719CD" w:rsidRPr="006809EA" w:rsidRDefault="003719CD" w:rsidP="007D536F">
      <w:pPr>
        <w:rPr>
          <w:rStyle w:val="Guidance"/>
        </w:rPr>
      </w:pPr>
      <w:r w:rsidRPr="006809EA">
        <w:rPr>
          <w:rStyle w:val="Guidance"/>
        </w:rPr>
        <w:t>In addition to physical asset revaluation surplus, the Model presents separately on consolidated balance sheet different types of revaluation surplus. An entity can group together the revaluation surplus associated with financial assets and liabilities, present on balance sheet as a single line item and disclose them separately in the Reserve Note. Available-for-sale revaluation surplus includes cumulative fair value changes of available for sale financial asset recognised under AASB 139 in other comprehensive income. As part of the transition adjustment, opening balance of this revaluation reserve is reversed in full.</w:t>
      </w:r>
    </w:p>
    <w:p w14:paraId="1B70C4B3" w14:textId="77777777" w:rsidR="003719CD" w:rsidRPr="006809EA" w:rsidRDefault="003719CD" w:rsidP="007D536F">
      <w:pPr>
        <w:rPr>
          <w:rStyle w:val="Guidance"/>
        </w:rPr>
      </w:pPr>
      <w:r w:rsidRPr="006809EA">
        <w:rPr>
          <w:rStyle w:val="Guidance"/>
        </w:rPr>
        <w:t xml:space="preserve">Financial assets through other comprehensive income revaluation surplus includes cumulative fair value changes of equity investments that are designated at initial recognition as fair value through other comprehensive income in accordance with AASB 9. As part of the transition adjustment, the existing balance of cumulative fair value changes related to equity investments reclassified from available for sale to fair value through other comprehensive income shall be transferred to fair-value-through-other-comprehensive-income revaluation surplus. </w:t>
      </w:r>
    </w:p>
    <w:p w14:paraId="5036D939" w14:textId="77777777" w:rsidR="003719CD" w:rsidRPr="006809EA" w:rsidRDefault="003719CD" w:rsidP="007D536F">
      <w:pPr>
        <w:rPr>
          <w:rStyle w:val="Guidance"/>
        </w:rPr>
      </w:pPr>
      <w:r w:rsidRPr="006809EA">
        <w:rPr>
          <w:rStyle w:val="Guidance"/>
        </w:rPr>
        <w:t>AASB 9 introduces a new category of revaluation surplus to record the cumulative fair value changes of financial liabilities designated as fair value through net result that is attributable to its own credit risk.</w:t>
      </w:r>
    </w:p>
    <w:p w14:paraId="63384382" w14:textId="77777777" w:rsidR="003719CD" w:rsidRPr="006809EA" w:rsidRDefault="003719CD" w:rsidP="007D536F">
      <w:pPr>
        <w:pStyle w:val="GuidanceHeading"/>
        <w:rPr>
          <w:rStyle w:val="Guidance"/>
        </w:rPr>
      </w:pPr>
      <w:r w:rsidRPr="006809EA">
        <w:rPr>
          <w:rStyle w:val="Guidance"/>
        </w:rPr>
        <w:t xml:space="preserve">Transferred financial assets </w:t>
      </w:r>
    </w:p>
    <w:p w14:paraId="0082D056" w14:textId="77777777" w:rsidR="003719CD" w:rsidRPr="006809EA" w:rsidRDefault="003719CD" w:rsidP="007D536F">
      <w:pPr>
        <w:rPr>
          <w:rStyle w:val="Guidance"/>
        </w:rPr>
      </w:pPr>
      <w:r w:rsidRPr="006809EA">
        <w:rPr>
          <w:rStyle w:val="Guidance"/>
        </w:rPr>
        <w:t>An entity is regarded as transferring a financial asset if, and only if, it either:</w:t>
      </w:r>
    </w:p>
    <w:p w14:paraId="357F1B41" w14:textId="75BEA8BC" w:rsidR="003719CD" w:rsidRPr="006809EA" w:rsidRDefault="003719CD" w:rsidP="00367D84">
      <w:pPr>
        <w:pStyle w:val="ListAlpha"/>
        <w:numPr>
          <w:ilvl w:val="0"/>
          <w:numId w:val="12"/>
        </w:numPr>
        <w:rPr>
          <w:rStyle w:val="Guidance"/>
        </w:rPr>
      </w:pPr>
      <w:r w:rsidRPr="006809EA">
        <w:rPr>
          <w:rStyle w:val="Guidance"/>
        </w:rPr>
        <w:t>transfers the contractual rights to receive the cash flows of the financial asset (i.e. a sale of a financial asset that grants the transferee a legal claim on the cash flows)</w:t>
      </w:r>
    </w:p>
    <w:p w14:paraId="6845664D" w14:textId="77777777" w:rsidR="003719CD" w:rsidRPr="006809EA" w:rsidRDefault="003719CD" w:rsidP="00367D84">
      <w:pPr>
        <w:pStyle w:val="ListAlpha"/>
        <w:numPr>
          <w:ilvl w:val="0"/>
          <w:numId w:val="12"/>
        </w:numPr>
        <w:rPr>
          <w:rStyle w:val="Guidance"/>
        </w:rPr>
      </w:pPr>
      <w:r w:rsidRPr="006809EA">
        <w:rPr>
          <w:rStyle w:val="Guidance"/>
        </w:rPr>
        <w:t xml:space="preserve">retains the contractual rights to receive the cash flows of the financial asset, but assumes a contractual obligation to pay the cash flows to one or more recipients in an arrangement that meets the conditions in AASB9.3.2.5 (i.e. an arrangement whereby an entity that is a trust issues to investors beneficiary interests in the underlying financial assets it originates, owns and provides servicing of those assets). </w:t>
      </w:r>
      <w:r w:rsidRPr="006809EA">
        <w:rPr>
          <w:rStyle w:val="Reference"/>
        </w:rPr>
        <w:t>[AASB 9.3.2.4]</w:t>
      </w:r>
    </w:p>
    <w:p w14:paraId="49728D89" w14:textId="77777777" w:rsidR="003719CD" w:rsidRPr="006809EA" w:rsidRDefault="003719CD" w:rsidP="007D536F">
      <w:pPr>
        <w:rPr>
          <w:rStyle w:val="Guidance"/>
        </w:rPr>
      </w:pPr>
      <w:r w:rsidRPr="006809EA">
        <w:rPr>
          <w:rStyle w:val="Guidance"/>
        </w:rPr>
        <w:t xml:space="preserve">When an entity transfers a financial asset, it shall evaluate the extent to which it retains the risks and rewards of ownership of the financial asset. </w:t>
      </w:r>
    </w:p>
    <w:p w14:paraId="5AAB84BB" w14:textId="693F23B1" w:rsidR="003719CD" w:rsidRPr="006809EA" w:rsidRDefault="003719CD" w:rsidP="00CD06B1">
      <w:pPr>
        <w:rPr>
          <w:rStyle w:val="Guidance"/>
        </w:rPr>
      </w:pPr>
      <w:r w:rsidRPr="006809EA">
        <w:rPr>
          <w:rStyle w:val="Guidance"/>
        </w:rPr>
        <w:t xml:space="preserve">If the entity transfers substantially all the risks and rewards of ownership of the financial asset, the entity must derecognise the financial asset in its entirety. </w:t>
      </w:r>
      <w:r w:rsidRPr="006809EA">
        <w:rPr>
          <w:rStyle w:val="Reference"/>
        </w:rPr>
        <w:t>[AASB 9.3.2.6(a)]</w:t>
      </w:r>
      <w:r w:rsidR="00884193">
        <w:rPr>
          <w:rStyle w:val="Reference"/>
        </w:rPr>
        <w:t xml:space="preserve"> </w:t>
      </w:r>
      <w:r w:rsidRPr="006809EA">
        <w:rPr>
          <w:rStyle w:val="Guidance"/>
        </w:rPr>
        <w:t>For example:</w:t>
      </w:r>
    </w:p>
    <w:p w14:paraId="010FDFB1" w14:textId="36491D96" w:rsidR="003719CD" w:rsidRPr="006809EA" w:rsidRDefault="003719CD" w:rsidP="00310F12">
      <w:pPr>
        <w:pStyle w:val="ListBullet"/>
        <w:rPr>
          <w:rStyle w:val="Guidance"/>
        </w:rPr>
      </w:pPr>
      <w:r w:rsidRPr="006809EA">
        <w:rPr>
          <w:rStyle w:val="Guidance"/>
        </w:rPr>
        <w:t>a sale of a financial asset together with a put or call option that is deeply out of the money</w:t>
      </w:r>
    </w:p>
    <w:p w14:paraId="5905300A" w14:textId="77777777" w:rsidR="003719CD" w:rsidRPr="006809EA" w:rsidRDefault="003719CD" w:rsidP="00310F12">
      <w:pPr>
        <w:pStyle w:val="ListBullet"/>
        <w:rPr>
          <w:rStyle w:val="Guidance"/>
        </w:rPr>
      </w:pPr>
      <w:r w:rsidRPr="006809EA">
        <w:rPr>
          <w:rStyle w:val="Guidance"/>
        </w:rPr>
        <w:t xml:space="preserve">a loan sub-participation arrangement whereby fully proportionate share of the cash flows are transferred and the arrangement meets the transfer conditions in (b) above. </w:t>
      </w:r>
    </w:p>
    <w:p w14:paraId="3710C5F4" w14:textId="77777777" w:rsidR="003719CD" w:rsidRPr="006809EA" w:rsidRDefault="003719CD" w:rsidP="00CD06B1">
      <w:pPr>
        <w:rPr>
          <w:rStyle w:val="Guidance"/>
        </w:rPr>
      </w:pPr>
      <w:r w:rsidRPr="006809EA">
        <w:rPr>
          <w:rStyle w:val="Guidance"/>
        </w:rPr>
        <w:t>Where the transferred financial assets are derecognised in their entirety, the required disclosures include:</w:t>
      </w:r>
    </w:p>
    <w:p w14:paraId="1986EA2D" w14:textId="2E00C6A1" w:rsidR="003719CD" w:rsidRPr="006809EA" w:rsidRDefault="003719CD" w:rsidP="00310F12">
      <w:pPr>
        <w:pStyle w:val="ListBullet"/>
        <w:rPr>
          <w:rStyle w:val="Guidance"/>
        </w:rPr>
      </w:pPr>
      <w:r w:rsidRPr="006809EA">
        <w:rPr>
          <w:rStyle w:val="Guidance"/>
        </w:rPr>
        <w:t>the carrying amount of the assets and liabilities recognised</w:t>
      </w:r>
    </w:p>
    <w:p w14:paraId="67D26D3A" w14:textId="6ED0DEBC" w:rsidR="003719CD" w:rsidRPr="006809EA" w:rsidRDefault="003719CD" w:rsidP="00310F12">
      <w:pPr>
        <w:pStyle w:val="ListBullet"/>
        <w:rPr>
          <w:rStyle w:val="Guidance"/>
        </w:rPr>
      </w:pPr>
      <w:r w:rsidRPr="006809EA">
        <w:rPr>
          <w:rStyle w:val="Guidance"/>
        </w:rPr>
        <w:t>fair value of the assets and liabilities that represent continuing involvement</w:t>
      </w:r>
    </w:p>
    <w:p w14:paraId="0EB542B5" w14:textId="5DFDC0BD" w:rsidR="003719CD" w:rsidRPr="006809EA" w:rsidRDefault="003719CD" w:rsidP="00310F12">
      <w:pPr>
        <w:pStyle w:val="ListBullet"/>
        <w:rPr>
          <w:rStyle w:val="Guidance"/>
        </w:rPr>
      </w:pPr>
      <w:r w:rsidRPr="006809EA">
        <w:rPr>
          <w:rStyle w:val="Guidance"/>
        </w:rPr>
        <w:t>maximum exposure to loss from the continuing involvement</w:t>
      </w:r>
    </w:p>
    <w:p w14:paraId="5ACCDE2A" w14:textId="6AD808F8" w:rsidR="003719CD" w:rsidRPr="006809EA" w:rsidRDefault="003719CD" w:rsidP="00310F12">
      <w:pPr>
        <w:pStyle w:val="ListBullet"/>
        <w:rPr>
          <w:rStyle w:val="Guidance"/>
        </w:rPr>
      </w:pPr>
      <w:r w:rsidRPr="006809EA">
        <w:rPr>
          <w:rStyle w:val="Guidance"/>
        </w:rPr>
        <w:t>maturity analysis of the undiscounted cash flows to repurchase the derecognised financial assets</w:t>
      </w:r>
      <w:r w:rsidR="00884193">
        <w:rPr>
          <w:rStyle w:val="Guidance"/>
        </w:rPr>
        <w:t xml:space="preserve"> </w:t>
      </w:r>
      <w:r w:rsidRPr="006809EA">
        <w:rPr>
          <w:rStyle w:val="Reference"/>
        </w:rPr>
        <w:t xml:space="preserve">[AASB 7.42E] </w:t>
      </w:r>
    </w:p>
    <w:p w14:paraId="0073C4E2" w14:textId="7CDD0B06" w:rsidR="003719CD" w:rsidRPr="006809EA" w:rsidRDefault="003719CD" w:rsidP="00310F12">
      <w:pPr>
        <w:pStyle w:val="ListBullet"/>
        <w:rPr>
          <w:rStyle w:val="Guidance"/>
        </w:rPr>
      </w:pPr>
      <w:r w:rsidRPr="006809EA">
        <w:rPr>
          <w:rStyle w:val="Guidance"/>
        </w:rPr>
        <w:t>any gain or loss recognised at the date of transfer of the assets</w:t>
      </w:r>
    </w:p>
    <w:p w14:paraId="7454BA7C" w14:textId="77777777" w:rsidR="003719CD" w:rsidRPr="006809EA" w:rsidRDefault="003719CD" w:rsidP="00310F12">
      <w:pPr>
        <w:pStyle w:val="ListBullet"/>
        <w:rPr>
          <w:rStyle w:val="Guidance"/>
        </w:rPr>
      </w:pPr>
      <w:r w:rsidRPr="006809EA">
        <w:rPr>
          <w:rStyle w:val="Guidance"/>
        </w:rPr>
        <w:t xml:space="preserve">income or expenses recognise from the entity's continuing involvement in the derecognised financial assets, as well as details of uneven distribution of proceed from transfer activity throughout the reporting period. </w:t>
      </w:r>
      <w:r w:rsidRPr="006809EA">
        <w:rPr>
          <w:rStyle w:val="Reference"/>
        </w:rPr>
        <w:t>[AASB 7.42G]</w:t>
      </w:r>
    </w:p>
    <w:p w14:paraId="4EF8C5CC" w14:textId="3E134712" w:rsidR="003719CD" w:rsidRPr="006809EA" w:rsidRDefault="003719CD" w:rsidP="00CD06B1">
      <w:pPr>
        <w:rPr>
          <w:rStyle w:val="Guidance"/>
        </w:rPr>
      </w:pPr>
      <w:r w:rsidRPr="006809EA">
        <w:rPr>
          <w:rStyle w:val="Guidance"/>
        </w:rPr>
        <w:t xml:space="preserve">If the entity retains substantially all the risks and rewards of ownership of the financial asset, the entity continues to recognise the financial asset </w:t>
      </w:r>
      <w:r w:rsidRPr="006809EA">
        <w:rPr>
          <w:rStyle w:val="Reference"/>
        </w:rPr>
        <w:t>[AASB 9.3.2.6(b)]</w:t>
      </w:r>
      <w:r w:rsidRPr="006809EA">
        <w:rPr>
          <w:rStyle w:val="Guidance"/>
        </w:rPr>
        <w:t>.</w:t>
      </w:r>
      <w:r w:rsidR="00884193">
        <w:rPr>
          <w:rStyle w:val="Guidance"/>
        </w:rPr>
        <w:t xml:space="preserve"> </w:t>
      </w:r>
      <w:r w:rsidRPr="006809EA">
        <w:rPr>
          <w:rStyle w:val="Guidance"/>
        </w:rPr>
        <w:t>For example:</w:t>
      </w:r>
    </w:p>
    <w:p w14:paraId="38C905A4" w14:textId="049A4267" w:rsidR="003719CD" w:rsidRPr="006809EA" w:rsidRDefault="003719CD" w:rsidP="00310F12">
      <w:pPr>
        <w:pStyle w:val="ListBullet"/>
        <w:rPr>
          <w:rStyle w:val="Guidance"/>
        </w:rPr>
      </w:pPr>
      <w:r w:rsidRPr="006809EA">
        <w:rPr>
          <w:rStyle w:val="Guidance"/>
        </w:rPr>
        <w:t>a sale of a financial asset with a deeply in the money put or call option</w:t>
      </w:r>
    </w:p>
    <w:p w14:paraId="12EA38F3" w14:textId="2CF21A1F" w:rsidR="003719CD" w:rsidRPr="006809EA" w:rsidRDefault="003719CD" w:rsidP="00310F12">
      <w:pPr>
        <w:pStyle w:val="ListBullet"/>
        <w:rPr>
          <w:rStyle w:val="Guidance"/>
        </w:rPr>
      </w:pPr>
      <w:r w:rsidRPr="006809EA">
        <w:rPr>
          <w:rStyle w:val="Guidance"/>
        </w:rPr>
        <w:t>a sale and repurchase transaction where the repurchase price is a fixed price or the sale price plus a lender’s return</w:t>
      </w:r>
    </w:p>
    <w:p w14:paraId="3E9789FC" w14:textId="77777777" w:rsidR="003719CD" w:rsidRPr="006809EA" w:rsidRDefault="003719CD" w:rsidP="00310F12">
      <w:pPr>
        <w:pStyle w:val="ListBullet"/>
        <w:rPr>
          <w:rStyle w:val="Guidance"/>
        </w:rPr>
      </w:pPr>
      <w:r w:rsidRPr="006809EA">
        <w:rPr>
          <w:rStyle w:val="Guidance"/>
        </w:rPr>
        <w:t>a sale of short-term receivables in which the entity guarantees to compensate the transferee for credit losses that are likely to occur</w:t>
      </w:r>
      <w:r>
        <w:rPr>
          <w:rStyle w:val="Guidance"/>
        </w:rPr>
        <w:t>.</w:t>
      </w:r>
      <w:r w:rsidRPr="006809EA">
        <w:rPr>
          <w:rStyle w:val="Guidance"/>
        </w:rPr>
        <w:t xml:space="preserve"> </w:t>
      </w:r>
      <w:r w:rsidRPr="006B3075">
        <w:rPr>
          <w:rStyle w:val="Reference"/>
        </w:rPr>
        <w:t>[AASB 9.3.2.7]</w:t>
      </w:r>
    </w:p>
    <w:p w14:paraId="56955BDE" w14:textId="77777777" w:rsidR="003719CD" w:rsidRPr="006809EA" w:rsidRDefault="003719CD" w:rsidP="00CD06B1">
      <w:pPr>
        <w:rPr>
          <w:rStyle w:val="Guidance"/>
        </w:rPr>
      </w:pPr>
      <w:r w:rsidRPr="006809EA">
        <w:rPr>
          <w:rStyle w:val="Guidance"/>
        </w:rPr>
        <w:t xml:space="preserve">Where the transferred financial assets are not derecognised in their entirety, the required disclosures include: </w:t>
      </w:r>
    </w:p>
    <w:p w14:paraId="3AF22CE3" w14:textId="5EE0F3A6" w:rsidR="003719CD" w:rsidRPr="006809EA" w:rsidRDefault="003719CD" w:rsidP="00310F12">
      <w:pPr>
        <w:pStyle w:val="ListBullet"/>
        <w:rPr>
          <w:rStyle w:val="Guidance"/>
        </w:rPr>
      </w:pPr>
      <w:r w:rsidRPr="006809EA">
        <w:rPr>
          <w:rStyle w:val="Guidance"/>
        </w:rPr>
        <w:t>description of the nature of the transferred assets</w:t>
      </w:r>
    </w:p>
    <w:p w14:paraId="77B0E71D" w14:textId="76EFFFB8" w:rsidR="003719CD" w:rsidRPr="006809EA" w:rsidRDefault="003719CD" w:rsidP="00310F12">
      <w:pPr>
        <w:pStyle w:val="ListBullet"/>
        <w:rPr>
          <w:rStyle w:val="Guidance"/>
        </w:rPr>
      </w:pPr>
      <w:r w:rsidRPr="006809EA">
        <w:rPr>
          <w:rStyle w:val="Guidance"/>
        </w:rPr>
        <w:t>nature of risk and rewards</w:t>
      </w:r>
    </w:p>
    <w:p w14:paraId="589F3DE4" w14:textId="77777777" w:rsidR="003719CD" w:rsidRPr="006809EA" w:rsidRDefault="003719CD" w:rsidP="00310F12">
      <w:pPr>
        <w:pStyle w:val="ListBullet"/>
        <w:rPr>
          <w:rStyle w:val="Guidance"/>
        </w:rPr>
      </w:pPr>
      <w:r w:rsidRPr="006809EA">
        <w:rPr>
          <w:rStyle w:val="Guidance"/>
        </w:rPr>
        <w:t xml:space="preserve">description of the nature and quantitative disclosure depicting relationship between transferred financial assets and the associated liabilities. </w:t>
      </w:r>
      <w:r w:rsidRPr="006B3075">
        <w:rPr>
          <w:rStyle w:val="Reference"/>
        </w:rPr>
        <w:t>[AASB 7.42D]</w:t>
      </w:r>
    </w:p>
    <w:p w14:paraId="7016457E" w14:textId="77777777" w:rsidR="003719CD" w:rsidRDefault="003719CD" w:rsidP="007D536F">
      <w:pPr>
        <w:pStyle w:val="GuidanceEnd"/>
      </w:pPr>
    </w:p>
    <w:p w14:paraId="2174E1AB" w14:textId="77777777" w:rsidR="003719CD" w:rsidRDefault="003719CD" w:rsidP="007762BE">
      <w:pPr>
        <w:pStyle w:val="Heading2numbered"/>
      </w:pPr>
      <w:bookmarkStart w:id="148" w:name="_Toc130226011"/>
      <w:bookmarkStart w:id="149" w:name="_Toc130289134"/>
      <w:bookmarkStart w:id="150" w:name="_Toc64983180"/>
      <w:bookmarkStart w:id="151" w:name="_Toc96709987"/>
      <w:r>
        <w:lastRenderedPageBreak/>
        <w:t>Entities consolidated pursuant to section 53(1)(b) of the FMA</w:t>
      </w:r>
      <w:bookmarkEnd w:id="148"/>
      <w:bookmarkEnd w:id="149"/>
      <w:bookmarkEnd w:id="150"/>
      <w:bookmarkEnd w:id="151"/>
      <w:r>
        <w:t xml:space="preserve"> </w:t>
      </w:r>
    </w:p>
    <w:p w14:paraId="1C02305E" w14:textId="648513CF" w:rsidR="003719CD" w:rsidRDefault="003719CD" w:rsidP="00DC39DE">
      <w:r>
        <w:t xml:space="preserve">The following three entities have been consolidated into the Department’s financial statements pursuant to a determination made by the </w:t>
      </w:r>
      <w:r w:rsidR="0046343B">
        <w:t>Minister for Finance</w:t>
      </w:r>
      <w:r>
        <w:t xml:space="preserve"> under section 53(1)(b) of the </w:t>
      </w:r>
      <w:r w:rsidRPr="006809EA">
        <w:rPr>
          <w:i/>
          <w:iCs/>
        </w:rPr>
        <w:t>Financial Management Act 1994</w:t>
      </w:r>
      <w:r>
        <w:t xml:space="preserve">: </w:t>
      </w:r>
    </w:p>
    <w:p w14:paraId="1B06586C" w14:textId="70321C91" w:rsidR="003719CD" w:rsidRDefault="003719CD" w:rsidP="00310F12">
      <w:pPr>
        <w:pStyle w:val="ListBullet"/>
      </w:pPr>
      <w:r>
        <w:t>Gene Sciences Victoria</w:t>
      </w:r>
    </w:p>
    <w:p w14:paraId="5D7AEBA4" w14:textId="4D7EE814" w:rsidR="003719CD" w:rsidRDefault="003719CD" w:rsidP="00310F12">
      <w:pPr>
        <w:pStyle w:val="ListBullet"/>
      </w:pPr>
      <w:r>
        <w:t>The Office of the Commissioner of New Technology</w:t>
      </w:r>
    </w:p>
    <w:p w14:paraId="4FAEEC90" w14:textId="3FEAF428" w:rsidR="003719CD" w:rsidRDefault="003719CD" w:rsidP="00310F12">
      <w:pPr>
        <w:pStyle w:val="ListBullet"/>
      </w:pPr>
      <w:r>
        <w:t xml:space="preserve">Innovation Victoria </w:t>
      </w:r>
    </w:p>
    <w:p w14:paraId="04B61F11" w14:textId="77777777" w:rsidR="003719CD" w:rsidRDefault="003719CD" w:rsidP="00DC39DE">
      <w:r>
        <w:t xml:space="preserve">The financial effects of each of those entities were not material to the departmental consolidated group. However, the financial effects of those entities in aggregate were material to the departmental consolidated group. Therefore, those entities are reported in aggregate in the table below. </w:t>
      </w:r>
    </w:p>
    <w:p w14:paraId="59D27EFB"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2410"/>
        <w:gridCol w:w="768"/>
        <w:gridCol w:w="826"/>
        <w:gridCol w:w="714"/>
        <w:gridCol w:w="616"/>
        <w:gridCol w:w="727"/>
        <w:gridCol w:w="743"/>
        <w:gridCol w:w="709"/>
        <w:gridCol w:w="662"/>
        <w:gridCol w:w="770"/>
        <w:gridCol w:w="694"/>
      </w:tblGrid>
      <w:tr w:rsidR="008E5233" w14:paraId="3A500F1F" w14:textId="77777777" w:rsidTr="00BB78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0" w:type="dxa"/>
          </w:tcPr>
          <w:p w14:paraId="2114E4EC" w14:textId="77777777" w:rsidR="008E5233" w:rsidRDefault="008E5233">
            <w:pPr>
              <w:keepNext/>
            </w:pPr>
          </w:p>
        </w:tc>
        <w:tc>
          <w:tcPr>
            <w:tcW w:w="1594" w:type="dxa"/>
            <w:gridSpan w:val="2"/>
          </w:tcPr>
          <w:p w14:paraId="399EFDF0"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Department of Technology (DoT)</w:t>
            </w:r>
          </w:p>
        </w:tc>
        <w:tc>
          <w:tcPr>
            <w:tcW w:w="1330" w:type="dxa"/>
            <w:gridSpan w:val="2"/>
          </w:tcPr>
          <w:p w14:paraId="2380AF9D"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Material section 53(1)(b) entity</w:t>
            </w:r>
            <w:r>
              <w:rPr>
                <w:vertAlign w:val="superscript"/>
              </w:rPr>
              <w:t xml:space="preserve"> (a)</w:t>
            </w:r>
          </w:p>
        </w:tc>
        <w:tc>
          <w:tcPr>
            <w:tcW w:w="1470" w:type="dxa"/>
            <w:gridSpan w:val="2"/>
          </w:tcPr>
          <w:p w14:paraId="1ADDE232"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Other section 53(1)(b) entities</w:t>
            </w:r>
            <w:r>
              <w:rPr>
                <w:vertAlign w:val="superscript"/>
              </w:rPr>
              <w:t xml:space="preserve"> (b)</w:t>
            </w:r>
          </w:p>
        </w:tc>
        <w:tc>
          <w:tcPr>
            <w:tcW w:w="1371" w:type="dxa"/>
            <w:gridSpan w:val="2"/>
          </w:tcPr>
          <w:p w14:paraId="4D3B4891"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Eliminations and adjustments</w:t>
            </w:r>
          </w:p>
        </w:tc>
        <w:tc>
          <w:tcPr>
            <w:tcW w:w="1464" w:type="dxa"/>
            <w:gridSpan w:val="2"/>
          </w:tcPr>
          <w:p w14:paraId="765BC98D" w14:textId="77777777" w:rsidR="008E5233" w:rsidRDefault="005648A9">
            <w:pPr>
              <w:keepNext/>
              <w:jc w:val="center"/>
              <w:cnfStyle w:val="100000000000" w:firstRow="1" w:lastRow="0" w:firstColumn="0" w:lastColumn="0" w:oddVBand="0" w:evenVBand="0" w:oddHBand="0" w:evenHBand="0" w:firstRowFirstColumn="0" w:firstRowLastColumn="0" w:lastRowFirstColumn="0" w:lastRowLastColumn="0"/>
            </w:pPr>
            <w:r>
              <w:t>DoT consolidated group</w:t>
            </w:r>
          </w:p>
        </w:tc>
      </w:tr>
      <w:tr w:rsidR="00271540" w14:paraId="61FC2726" w14:textId="77777777" w:rsidTr="00BB784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0" w:type="dxa"/>
          </w:tcPr>
          <w:p w14:paraId="2C60FD7E" w14:textId="77777777" w:rsidR="00271540" w:rsidRDefault="00271540" w:rsidP="00271540">
            <w:pPr>
              <w:keepNext/>
            </w:pPr>
          </w:p>
        </w:tc>
        <w:tc>
          <w:tcPr>
            <w:tcW w:w="768" w:type="dxa"/>
          </w:tcPr>
          <w:p w14:paraId="1FE98D76" w14:textId="3FA87C99"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826" w:type="dxa"/>
          </w:tcPr>
          <w:p w14:paraId="5DE4B4AB" w14:textId="29E32341"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c>
          <w:tcPr>
            <w:tcW w:w="714" w:type="dxa"/>
          </w:tcPr>
          <w:p w14:paraId="29F3E4EE" w14:textId="78DD0402"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616" w:type="dxa"/>
          </w:tcPr>
          <w:p w14:paraId="0CA24C04" w14:textId="71EC68B1"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c>
          <w:tcPr>
            <w:tcW w:w="727" w:type="dxa"/>
          </w:tcPr>
          <w:p w14:paraId="494AE8DB" w14:textId="6A7A9489"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743" w:type="dxa"/>
          </w:tcPr>
          <w:p w14:paraId="59D3E443" w14:textId="73881CAC"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c>
          <w:tcPr>
            <w:tcW w:w="709" w:type="dxa"/>
          </w:tcPr>
          <w:p w14:paraId="30E8BBDA" w14:textId="4F6D6438"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662" w:type="dxa"/>
          </w:tcPr>
          <w:p w14:paraId="6B7B680B" w14:textId="5635358B"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c>
          <w:tcPr>
            <w:tcW w:w="770" w:type="dxa"/>
          </w:tcPr>
          <w:p w14:paraId="785363A1" w14:textId="7D19797C"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YearCurrent \* MERGEFORMAT</w:instrText>
            </w:r>
            <w:r w:rsidRPr="00E5675C">
              <w:rPr>
                <w:iCs/>
              </w:rPr>
              <w:fldChar w:fldCharType="separate"/>
            </w:r>
            <w:r w:rsidRPr="00E5675C">
              <w:rPr>
                <w:bCs w:val="0"/>
                <w:iCs/>
              </w:rPr>
              <w:t>20X2</w:t>
            </w:r>
            <w:r w:rsidRPr="00E5675C">
              <w:rPr>
                <w:iCs/>
              </w:rPr>
              <w:fldChar w:fldCharType="end"/>
            </w:r>
          </w:p>
        </w:tc>
        <w:tc>
          <w:tcPr>
            <w:tcW w:w="694" w:type="dxa"/>
          </w:tcPr>
          <w:p w14:paraId="32221E96" w14:textId="70B29112" w:rsidR="00271540" w:rsidRDefault="00271540" w:rsidP="00271540">
            <w:pPr>
              <w:keepNext/>
              <w:cnfStyle w:val="100000000000" w:firstRow="1" w:lastRow="0" w:firstColumn="0" w:lastColumn="0" w:oddVBand="0" w:evenVBand="0" w:oddHBand="0" w:evenHBand="0" w:firstRowFirstColumn="0" w:firstRowLastColumn="0" w:lastRowFirstColumn="0" w:lastRowLastColumn="0"/>
            </w:pPr>
            <w:r w:rsidRPr="00E5675C">
              <w:rPr>
                <w:iCs/>
              </w:rPr>
              <w:fldChar w:fldCharType="begin"/>
            </w:r>
            <w:r w:rsidRPr="00E5675C">
              <w:rPr>
                <w:bCs w:val="0"/>
                <w:iCs/>
              </w:rPr>
              <w:instrText>DOCPROPERTY  YearPrevious  \* MERGEFORMAT</w:instrText>
            </w:r>
            <w:r w:rsidRPr="00E5675C">
              <w:rPr>
                <w:iCs/>
              </w:rPr>
              <w:fldChar w:fldCharType="separate"/>
            </w:r>
            <w:r w:rsidRPr="00E5675C">
              <w:rPr>
                <w:bCs w:val="0"/>
                <w:iCs/>
              </w:rPr>
              <w:t>20X1</w:t>
            </w:r>
            <w:r w:rsidRPr="00E5675C">
              <w:rPr>
                <w:iCs/>
              </w:rPr>
              <w:fldChar w:fldCharType="end"/>
            </w:r>
          </w:p>
        </w:tc>
      </w:tr>
      <w:tr w:rsidR="008E5233" w14:paraId="4D07EA0A" w14:textId="77777777">
        <w:tc>
          <w:tcPr>
            <w:cnfStyle w:val="001000000000" w:firstRow="0" w:lastRow="0" w:firstColumn="1" w:lastColumn="0" w:oddVBand="0" w:evenVBand="0" w:oddHBand="0" w:evenHBand="0" w:firstRowFirstColumn="0" w:firstRowLastColumn="0" w:lastRowFirstColumn="0" w:lastRowLastColumn="0"/>
            <w:tcW w:w="2410" w:type="dxa"/>
          </w:tcPr>
          <w:p w14:paraId="2176C1A9" w14:textId="77777777" w:rsidR="008E5233" w:rsidRDefault="005648A9">
            <w:r>
              <w:t>Total income from transactions</w:t>
            </w:r>
          </w:p>
        </w:tc>
        <w:tc>
          <w:tcPr>
            <w:tcW w:w="768" w:type="dxa"/>
          </w:tcPr>
          <w:p w14:paraId="63F0369A" w14:textId="77777777" w:rsidR="008E5233" w:rsidRDefault="005648A9">
            <w:pPr>
              <w:cnfStyle w:val="000000000000" w:firstRow="0" w:lastRow="0" w:firstColumn="0" w:lastColumn="0" w:oddVBand="0" w:evenVBand="0" w:oddHBand="0" w:evenHBand="0" w:firstRowFirstColumn="0" w:firstRowLastColumn="0" w:lastRowFirstColumn="0" w:lastRowLastColumn="0"/>
            </w:pPr>
            <w:r>
              <w:t>103 068</w:t>
            </w:r>
          </w:p>
        </w:tc>
        <w:tc>
          <w:tcPr>
            <w:tcW w:w="826" w:type="dxa"/>
          </w:tcPr>
          <w:p w14:paraId="116B935B" w14:textId="77777777" w:rsidR="008E5233" w:rsidRDefault="005648A9">
            <w:pPr>
              <w:cnfStyle w:val="000000000000" w:firstRow="0" w:lastRow="0" w:firstColumn="0" w:lastColumn="0" w:oddVBand="0" w:evenVBand="0" w:oddHBand="0" w:evenHBand="0" w:firstRowFirstColumn="0" w:firstRowLastColumn="0" w:lastRowFirstColumn="0" w:lastRowLastColumn="0"/>
            </w:pPr>
            <w:r>
              <w:t>82 723</w:t>
            </w:r>
          </w:p>
        </w:tc>
        <w:tc>
          <w:tcPr>
            <w:tcW w:w="714" w:type="dxa"/>
          </w:tcPr>
          <w:p w14:paraId="6700C2A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33779A6"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2242A302" w14:textId="77777777" w:rsidR="008E5233" w:rsidRDefault="005648A9">
            <w:pPr>
              <w:cnfStyle w:val="000000000000" w:firstRow="0" w:lastRow="0" w:firstColumn="0" w:lastColumn="0" w:oddVBand="0" w:evenVBand="0" w:oddHBand="0" w:evenHBand="0" w:firstRowFirstColumn="0" w:firstRowLastColumn="0" w:lastRowFirstColumn="0" w:lastRowLastColumn="0"/>
            </w:pPr>
            <w:r>
              <w:t>4 406</w:t>
            </w:r>
          </w:p>
        </w:tc>
        <w:tc>
          <w:tcPr>
            <w:tcW w:w="743" w:type="dxa"/>
          </w:tcPr>
          <w:p w14:paraId="71744510" w14:textId="77777777" w:rsidR="008E5233" w:rsidRDefault="005648A9">
            <w:pPr>
              <w:cnfStyle w:val="000000000000" w:firstRow="0" w:lastRow="0" w:firstColumn="0" w:lastColumn="0" w:oddVBand="0" w:evenVBand="0" w:oddHBand="0" w:evenHBand="0" w:firstRowFirstColumn="0" w:firstRowLastColumn="0" w:lastRowFirstColumn="0" w:lastRowLastColumn="0"/>
            </w:pPr>
            <w:r>
              <w:t>3 537</w:t>
            </w:r>
          </w:p>
        </w:tc>
        <w:tc>
          <w:tcPr>
            <w:tcW w:w="709" w:type="dxa"/>
          </w:tcPr>
          <w:p w14:paraId="148A5FA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1B83CE8D"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2A97C500" w14:textId="77777777" w:rsidR="008E5233" w:rsidRDefault="005648A9">
            <w:pPr>
              <w:cnfStyle w:val="000000000000" w:firstRow="0" w:lastRow="0" w:firstColumn="0" w:lastColumn="0" w:oddVBand="0" w:evenVBand="0" w:oddHBand="0" w:evenHBand="0" w:firstRowFirstColumn="0" w:firstRowLastColumn="0" w:lastRowFirstColumn="0" w:lastRowLastColumn="0"/>
            </w:pPr>
            <w:r>
              <w:t>107 474</w:t>
            </w:r>
          </w:p>
        </w:tc>
        <w:tc>
          <w:tcPr>
            <w:tcW w:w="694" w:type="dxa"/>
          </w:tcPr>
          <w:p w14:paraId="1B6D594F" w14:textId="77777777" w:rsidR="008E5233" w:rsidRDefault="005648A9">
            <w:pPr>
              <w:cnfStyle w:val="000000000000" w:firstRow="0" w:lastRow="0" w:firstColumn="0" w:lastColumn="0" w:oddVBand="0" w:evenVBand="0" w:oddHBand="0" w:evenHBand="0" w:firstRowFirstColumn="0" w:firstRowLastColumn="0" w:lastRowFirstColumn="0" w:lastRowLastColumn="0"/>
            </w:pPr>
            <w:r>
              <w:t>86 260</w:t>
            </w:r>
          </w:p>
        </w:tc>
      </w:tr>
      <w:tr w:rsidR="008E5233" w14:paraId="695C0124" w14:textId="77777777">
        <w:tc>
          <w:tcPr>
            <w:cnfStyle w:val="001000000000" w:firstRow="0" w:lastRow="0" w:firstColumn="1" w:lastColumn="0" w:oddVBand="0" w:evenVBand="0" w:oddHBand="0" w:evenHBand="0" w:firstRowFirstColumn="0" w:firstRowLastColumn="0" w:lastRowFirstColumn="0" w:lastRowLastColumn="0"/>
            <w:tcW w:w="2410" w:type="dxa"/>
          </w:tcPr>
          <w:p w14:paraId="43AA6044" w14:textId="77777777" w:rsidR="008E5233" w:rsidRDefault="005648A9">
            <w:r>
              <w:t>Net result from transactions</w:t>
            </w:r>
          </w:p>
        </w:tc>
        <w:tc>
          <w:tcPr>
            <w:tcW w:w="768" w:type="dxa"/>
          </w:tcPr>
          <w:p w14:paraId="7A3BFA59" w14:textId="77777777" w:rsidR="008E5233" w:rsidRDefault="005648A9">
            <w:pPr>
              <w:cnfStyle w:val="000000000000" w:firstRow="0" w:lastRow="0" w:firstColumn="0" w:lastColumn="0" w:oddVBand="0" w:evenVBand="0" w:oddHBand="0" w:evenHBand="0" w:firstRowFirstColumn="0" w:firstRowLastColumn="0" w:lastRowFirstColumn="0" w:lastRowLastColumn="0"/>
            </w:pPr>
            <w:r>
              <w:t>25 342</w:t>
            </w:r>
          </w:p>
        </w:tc>
        <w:tc>
          <w:tcPr>
            <w:tcW w:w="826" w:type="dxa"/>
          </w:tcPr>
          <w:p w14:paraId="6A002CE1" w14:textId="77777777" w:rsidR="008E5233" w:rsidRDefault="005648A9">
            <w:pPr>
              <w:cnfStyle w:val="000000000000" w:firstRow="0" w:lastRow="0" w:firstColumn="0" w:lastColumn="0" w:oddVBand="0" w:evenVBand="0" w:oddHBand="0" w:evenHBand="0" w:firstRowFirstColumn="0" w:firstRowLastColumn="0" w:lastRowFirstColumn="0" w:lastRowLastColumn="0"/>
            </w:pPr>
            <w:r>
              <w:t>8 132</w:t>
            </w:r>
          </w:p>
        </w:tc>
        <w:tc>
          <w:tcPr>
            <w:tcW w:w="714" w:type="dxa"/>
          </w:tcPr>
          <w:p w14:paraId="23C69A04"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150F62F9"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0A54A3EE" w14:textId="77777777" w:rsidR="008E5233" w:rsidRDefault="005648A9">
            <w:pPr>
              <w:cnfStyle w:val="000000000000" w:firstRow="0" w:lastRow="0" w:firstColumn="0" w:lastColumn="0" w:oddVBand="0" w:evenVBand="0" w:oddHBand="0" w:evenHBand="0" w:firstRowFirstColumn="0" w:firstRowLastColumn="0" w:lastRowFirstColumn="0" w:lastRowLastColumn="0"/>
            </w:pPr>
            <w:r>
              <w:t>881</w:t>
            </w:r>
          </w:p>
        </w:tc>
        <w:tc>
          <w:tcPr>
            <w:tcW w:w="743" w:type="dxa"/>
          </w:tcPr>
          <w:p w14:paraId="6C21A126" w14:textId="77777777" w:rsidR="008E5233" w:rsidRDefault="005648A9">
            <w:pPr>
              <w:cnfStyle w:val="000000000000" w:firstRow="0" w:lastRow="0" w:firstColumn="0" w:lastColumn="0" w:oddVBand="0" w:evenVBand="0" w:oddHBand="0" w:evenHBand="0" w:firstRowFirstColumn="0" w:firstRowLastColumn="0" w:lastRowFirstColumn="0" w:lastRowLastColumn="0"/>
            </w:pPr>
            <w:r>
              <w:t>707</w:t>
            </w:r>
          </w:p>
        </w:tc>
        <w:tc>
          <w:tcPr>
            <w:tcW w:w="709" w:type="dxa"/>
          </w:tcPr>
          <w:p w14:paraId="613017C7"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0D0D1991"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4A9A9535" w14:textId="77777777" w:rsidR="008E5233" w:rsidRDefault="005648A9">
            <w:pPr>
              <w:cnfStyle w:val="000000000000" w:firstRow="0" w:lastRow="0" w:firstColumn="0" w:lastColumn="0" w:oddVBand="0" w:evenVBand="0" w:oddHBand="0" w:evenHBand="0" w:firstRowFirstColumn="0" w:firstRowLastColumn="0" w:lastRowFirstColumn="0" w:lastRowLastColumn="0"/>
            </w:pPr>
            <w:r>
              <w:t>26 223</w:t>
            </w:r>
          </w:p>
        </w:tc>
        <w:tc>
          <w:tcPr>
            <w:tcW w:w="694" w:type="dxa"/>
          </w:tcPr>
          <w:p w14:paraId="275B01AD" w14:textId="77777777" w:rsidR="008E5233" w:rsidRDefault="005648A9">
            <w:pPr>
              <w:cnfStyle w:val="000000000000" w:firstRow="0" w:lastRow="0" w:firstColumn="0" w:lastColumn="0" w:oddVBand="0" w:evenVBand="0" w:oddHBand="0" w:evenHBand="0" w:firstRowFirstColumn="0" w:firstRowLastColumn="0" w:lastRowFirstColumn="0" w:lastRowLastColumn="0"/>
            </w:pPr>
            <w:r>
              <w:t>8 839</w:t>
            </w:r>
          </w:p>
        </w:tc>
      </w:tr>
      <w:tr w:rsidR="008E5233" w14:paraId="0DC35961" w14:textId="77777777">
        <w:tc>
          <w:tcPr>
            <w:cnfStyle w:val="001000000000" w:firstRow="0" w:lastRow="0" w:firstColumn="1" w:lastColumn="0" w:oddVBand="0" w:evenVBand="0" w:oddHBand="0" w:evenHBand="0" w:firstRowFirstColumn="0" w:firstRowLastColumn="0" w:lastRowFirstColumn="0" w:lastRowLastColumn="0"/>
            <w:tcW w:w="2410" w:type="dxa"/>
          </w:tcPr>
          <w:p w14:paraId="09A4C43B" w14:textId="77777777" w:rsidR="008E5233" w:rsidRDefault="005648A9">
            <w:r>
              <w:t xml:space="preserve">Total assets </w:t>
            </w:r>
            <w:r>
              <w:rPr>
                <w:vertAlign w:val="superscript"/>
              </w:rPr>
              <w:t>(c)</w:t>
            </w:r>
          </w:p>
        </w:tc>
        <w:tc>
          <w:tcPr>
            <w:tcW w:w="768" w:type="dxa"/>
          </w:tcPr>
          <w:p w14:paraId="1108D278" w14:textId="77777777" w:rsidR="008E5233" w:rsidRDefault="005648A9">
            <w:pPr>
              <w:cnfStyle w:val="000000000000" w:firstRow="0" w:lastRow="0" w:firstColumn="0" w:lastColumn="0" w:oddVBand="0" w:evenVBand="0" w:oddHBand="0" w:evenHBand="0" w:firstRowFirstColumn="0" w:firstRowLastColumn="0" w:lastRowFirstColumn="0" w:lastRowLastColumn="0"/>
            </w:pPr>
            <w:r>
              <w:t>203 179</w:t>
            </w:r>
          </w:p>
        </w:tc>
        <w:tc>
          <w:tcPr>
            <w:tcW w:w="826" w:type="dxa"/>
          </w:tcPr>
          <w:p w14:paraId="1A7F0091" w14:textId="77777777" w:rsidR="008E5233" w:rsidRDefault="005648A9">
            <w:pPr>
              <w:cnfStyle w:val="000000000000" w:firstRow="0" w:lastRow="0" w:firstColumn="0" w:lastColumn="0" w:oddVBand="0" w:evenVBand="0" w:oddHBand="0" w:evenHBand="0" w:firstRowFirstColumn="0" w:firstRowLastColumn="0" w:lastRowFirstColumn="0" w:lastRowLastColumn="0"/>
            </w:pPr>
            <w:r>
              <w:t>202 730</w:t>
            </w:r>
          </w:p>
        </w:tc>
        <w:tc>
          <w:tcPr>
            <w:tcW w:w="714" w:type="dxa"/>
          </w:tcPr>
          <w:p w14:paraId="15456C4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357C31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78E37D3A" w14:textId="77777777" w:rsidR="008E5233" w:rsidRDefault="005648A9">
            <w:pPr>
              <w:cnfStyle w:val="000000000000" w:firstRow="0" w:lastRow="0" w:firstColumn="0" w:lastColumn="0" w:oddVBand="0" w:evenVBand="0" w:oddHBand="0" w:evenHBand="0" w:firstRowFirstColumn="0" w:firstRowLastColumn="0" w:lastRowFirstColumn="0" w:lastRowLastColumn="0"/>
            </w:pPr>
            <w:r>
              <w:t>35 855</w:t>
            </w:r>
          </w:p>
        </w:tc>
        <w:tc>
          <w:tcPr>
            <w:tcW w:w="743" w:type="dxa"/>
          </w:tcPr>
          <w:p w14:paraId="4A48054B" w14:textId="77777777" w:rsidR="008E5233" w:rsidRDefault="005648A9">
            <w:pPr>
              <w:cnfStyle w:val="000000000000" w:firstRow="0" w:lastRow="0" w:firstColumn="0" w:lastColumn="0" w:oddVBand="0" w:evenVBand="0" w:oddHBand="0" w:evenHBand="0" w:firstRowFirstColumn="0" w:firstRowLastColumn="0" w:lastRowFirstColumn="0" w:lastRowLastColumn="0"/>
            </w:pPr>
            <w:r>
              <w:t>25 056</w:t>
            </w:r>
          </w:p>
        </w:tc>
        <w:tc>
          <w:tcPr>
            <w:tcW w:w="709" w:type="dxa"/>
          </w:tcPr>
          <w:p w14:paraId="47FFE563"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3F0FEA52"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609D2015" w14:textId="77777777" w:rsidR="008E5233" w:rsidRDefault="005648A9">
            <w:pPr>
              <w:cnfStyle w:val="000000000000" w:firstRow="0" w:lastRow="0" w:firstColumn="0" w:lastColumn="0" w:oddVBand="0" w:evenVBand="0" w:oddHBand="0" w:evenHBand="0" w:firstRowFirstColumn="0" w:firstRowLastColumn="0" w:lastRowFirstColumn="0" w:lastRowLastColumn="0"/>
            </w:pPr>
            <w:r>
              <w:t>239 034</w:t>
            </w:r>
          </w:p>
        </w:tc>
        <w:tc>
          <w:tcPr>
            <w:tcW w:w="694" w:type="dxa"/>
          </w:tcPr>
          <w:p w14:paraId="06E4ACBC" w14:textId="77777777" w:rsidR="008E5233" w:rsidRDefault="005648A9">
            <w:pPr>
              <w:cnfStyle w:val="000000000000" w:firstRow="0" w:lastRow="0" w:firstColumn="0" w:lastColumn="0" w:oddVBand="0" w:evenVBand="0" w:oddHBand="0" w:evenHBand="0" w:firstRowFirstColumn="0" w:firstRowLastColumn="0" w:lastRowFirstColumn="0" w:lastRowLastColumn="0"/>
            </w:pPr>
            <w:r>
              <w:t>227 786</w:t>
            </w:r>
          </w:p>
        </w:tc>
      </w:tr>
      <w:tr w:rsidR="008E5233" w14:paraId="2CF6F6E1" w14:textId="77777777">
        <w:tc>
          <w:tcPr>
            <w:cnfStyle w:val="001000000000" w:firstRow="0" w:lastRow="0" w:firstColumn="1" w:lastColumn="0" w:oddVBand="0" w:evenVBand="0" w:oddHBand="0" w:evenHBand="0" w:firstRowFirstColumn="0" w:firstRowLastColumn="0" w:lastRowFirstColumn="0" w:lastRowLastColumn="0"/>
            <w:tcW w:w="2410" w:type="dxa"/>
          </w:tcPr>
          <w:p w14:paraId="1A4890BE" w14:textId="77777777" w:rsidR="008E5233" w:rsidRDefault="005648A9">
            <w:r>
              <w:t>Total liabilities</w:t>
            </w:r>
          </w:p>
        </w:tc>
        <w:tc>
          <w:tcPr>
            <w:tcW w:w="768" w:type="dxa"/>
          </w:tcPr>
          <w:p w14:paraId="6CE58CD5" w14:textId="77777777" w:rsidR="008E5233" w:rsidRDefault="005648A9">
            <w:pPr>
              <w:cnfStyle w:val="000000000000" w:firstRow="0" w:lastRow="0" w:firstColumn="0" w:lastColumn="0" w:oddVBand="0" w:evenVBand="0" w:oddHBand="0" w:evenHBand="0" w:firstRowFirstColumn="0" w:firstRowLastColumn="0" w:lastRowFirstColumn="0" w:lastRowLastColumn="0"/>
            </w:pPr>
            <w:r>
              <w:t>95 649</w:t>
            </w:r>
          </w:p>
        </w:tc>
        <w:tc>
          <w:tcPr>
            <w:tcW w:w="826" w:type="dxa"/>
          </w:tcPr>
          <w:p w14:paraId="3D58AFFB" w14:textId="77777777" w:rsidR="008E5233" w:rsidRDefault="005648A9">
            <w:pPr>
              <w:cnfStyle w:val="000000000000" w:firstRow="0" w:lastRow="0" w:firstColumn="0" w:lastColumn="0" w:oddVBand="0" w:evenVBand="0" w:oddHBand="0" w:evenHBand="0" w:firstRowFirstColumn="0" w:firstRowLastColumn="0" w:lastRowFirstColumn="0" w:lastRowLastColumn="0"/>
            </w:pPr>
            <w:r>
              <w:t>110 569</w:t>
            </w:r>
          </w:p>
        </w:tc>
        <w:tc>
          <w:tcPr>
            <w:tcW w:w="714" w:type="dxa"/>
          </w:tcPr>
          <w:p w14:paraId="0E63F98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16" w:type="dxa"/>
          </w:tcPr>
          <w:p w14:paraId="2C68F64E"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27" w:type="dxa"/>
          </w:tcPr>
          <w:p w14:paraId="51BDD9A3" w14:textId="77777777" w:rsidR="008E5233" w:rsidRDefault="005648A9">
            <w:pPr>
              <w:cnfStyle w:val="000000000000" w:firstRow="0" w:lastRow="0" w:firstColumn="0" w:lastColumn="0" w:oddVBand="0" w:evenVBand="0" w:oddHBand="0" w:evenHBand="0" w:firstRowFirstColumn="0" w:firstRowLastColumn="0" w:lastRowFirstColumn="0" w:lastRowLastColumn="0"/>
            </w:pPr>
            <w:r>
              <w:t>1 952</w:t>
            </w:r>
          </w:p>
        </w:tc>
        <w:tc>
          <w:tcPr>
            <w:tcW w:w="743" w:type="dxa"/>
          </w:tcPr>
          <w:p w14:paraId="7B53311B" w14:textId="77777777" w:rsidR="008E5233" w:rsidRDefault="005648A9">
            <w:pPr>
              <w:cnfStyle w:val="000000000000" w:firstRow="0" w:lastRow="0" w:firstColumn="0" w:lastColumn="0" w:oddVBand="0" w:evenVBand="0" w:oddHBand="0" w:evenHBand="0" w:firstRowFirstColumn="0" w:firstRowLastColumn="0" w:lastRowFirstColumn="0" w:lastRowLastColumn="0"/>
            </w:pPr>
            <w:r>
              <w:t>2 257</w:t>
            </w:r>
          </w:p>
        </w:tc>
        <w:tc>
          <w:tcPr>
            <w:tcW w:w="709" w:type="dxa"/>
          </w:tcPr>
          <w:p w14:paraId="418FD26B"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662" w:type="dxa"/>
          </w:tcPr>
          <w:p w14:paraId="45882538" w14:textId="77777777" w:rsidR="008E5233" w:rsidRDefault="005648A9">
            <w:pPr>
              <w:cnfStyle w:val="000000000000" w:firstRow="0" w:lastRow="0" w:firstColumn="0" w:lastColumn="0" w:oddVBand="0" w:evenVBand="0" w:oddHBand="0" w:evenHBand="0" w:firstRowFirstColumn="0" w:firstRowLastColumn="0" w:lastRowFirstColumn="0" w:lastRowLastColumn="0"/>
            </w:pPr>
            <w:r>
              <w:t>..</w:t>
            </w:r>
          </w:p>
        </w:tc>
        <w:tc>
          <w:tcPr>
            <w:tcW w:w="770" w:type="dxa"/>
          </w:tcPr>
          <w:p w14:paraId="1308A0BA" w14:textId="77777777" w:rsidR="008E5233" w:rsidRDefault="005648A9">
            <w:pPr>
              <w:cnfStyle w:val="000000000000" w:firstRow="0" w:lastRow="0" w:firstColumn="0" w:lastColumn="0" w:oddVBand="0" w:evenVBand="0" w:oddHBand="0" w:evenHBand="0" w:firstRowFirstColumn="0" w:firstRowLastColumn="0" w:lastRowFirstColumn="0" w:lastRowLastColumn="0"/>
            </w:pPr>
            <w:r>
              <w:t>97 601</w:t>
            </w:r>
          </w:p>
        </w:tc>
        <w:tc>
          <w:tcPr>
            <w:tcW w:w="694" w:type="dxa"/>
          </w:tcPr>
          <w:p w14:paraId="4D0AA8B5" w14:textId="77777777" w:rsidR="008E5233" w:rsidRDefault="005648A9">
            <w:pPr>
              <w:cnfStyle w:val="000000000000" w:firstRow="0" w:lastRow="0" w:firstColumn="0" w:lastColumn="0" w:oddVBand="0" w:evenVBand="0" w:oddHBand="0" w:evenHBand="0" w:firstRowFirstColumn="0" w:firstRowLastColumn="0" w:lastRowFirstColumn="0" w:lastRowLastColumn="0"/>
            </w:pPr>
            <w:r>
              <w:t>112 826</w:t>
            </w:r>
          </w:p>
        </w:tc>
      </w:tr>
    </w:tbl>
    <w:p w14:paraId="5E3FF350" w14:textId="77777777" w:rsidR="003719CD" w:rsidRDefault="003719CD" w:rsidP="007D536F">
      <w:pPr>
        <w:pStyle w:val="Note"/>
      </w:pPr>
      <w:r>
        <w:t>Notes:</w:t>
      </w:r>
    </w:p>
    <w:p w14:paraId="56662026" w14:textId="77777777" w:rsidR="003719CD" w:rsidRDefault="003719CD" w:rsidP="007D536F">
      <w:pPr>
        <w:pStyle w:val="Note"/>
      </w:pPr>
      <w:r>
        <w:t>(a)</w:t>
      </w:r>
      <w:r>
        <w:tab/>
        <w:t xml:space="preserve">Each of the material entities are reported individually. </w:t>
      </w:r>
    </w:p>
    <w:p w14:paraId="26EC34B6" w14:textId="77777777" w:rsidR="003719CD" w:rsidRDefault="003719CD" w:rsidP="007D536F">
      <w:pPr>
        <w:pStyle w:val="Note"/>
      </w:pPr>
      <w:r>
        <w:t>(b)</w:t>
      </w:r>
      <w:r>
        <w:tab/>
        <w:t>Other non-material entities that are material in aggregate are reported in aggregate.</w:t>
      </w:r>
    </w:p>
    <w:p w14:paraId="4EAEFAF7" w14:textId="77777777" w:rsidR="003719CD" w:rsidRDefault="003719CD" w:rsidP="007D536F">
      <w:pPr>
        <w:pStyle w:val="Note"/>
      </w:pPr>
      <w:r>
        <w:t>(c)</w:t>
      </w:r>
      <w:r>
        <w:tab/>
        <w:t xml:space="preserve">Total assets for other section 53(1)(b) entities in aggregate were material to the DoT consolidated group. </w:t>
      </w:r>
    </w:p>
    <w:p w14:paraId="29DEAF32" w14:textId="77777777" w:rsidR="003719CD" w:rsidRDefault="003719CD" w:rsidP="00DC39DE"/>
    <w:p w14:paraId="5EF3E65B" w14:textId="77777777" w:rsidR="003719CD" w:rsidRDefault="003719CD" w:rsidP="007D536F">
      <w:pPr>
        <w:pStyle w:val="GuidanceBlockHeading"/>
      </w:pPr>
      <w:r>
        <w:t>Guidance – Entities consolidated pursuant to section 53(1)(b) of the FMA</w:t>
      </w:r>
    </w:p>
    <w:p w14:paraId="4DD91F0E" w14:textId="77777777" w:rsidR="003719CD" w:rsidRPr="006B3075" w:rsidRDefault="003719CD" w:rsidP="007D536F">
      <w:pPr>
        <w:rPr>
          <w:rStyle w:val="Guidance"/>
        </w:rPr>
      </w:pPr>
      <w:r w:rsidRPr="006B3075">
        <w:rPr>
          <w:rStyle w:val="Guidance"/>
        </w:rPr>
        <w:t xml:space="preserve">Departments shall disclose total income from transactions, net result from transactions, total assets and total liabilities for each of material entities that have been consolidated into their financial statements, pursuant to section 53(1)(b) of the FMA, in a relevant note to their financial statements. </w:t>
      </w:r>
    </w:p>
    <w:p w14:paraId="1D892871" w14:textId="77777777" w:rsidR="003719CD" w:rsidRPr="006B3075" w:rsidRDefault="003719CD" w:rsidP="007D536F">
      <w:pPr>
        <w:rPr>
          <w:rStyle w:val="Guidance"/>
        </w:rPr>
      </w:pPr>
      <w:r w:rsidRPr="006B3075">
        <w:rPr>
          <w:rStyle w:val="Guidance"/>
        </w:rPr>
        <w:t>Where those entities are not material individually but material in aggregate, departments shall report them in aggregate.</w:t>
      </w:r>
    </w:p>
    <w:p w14:paraId="31E12E0D" w14:textId="77777777" w:rsidR="003719CD" w:rsidRDefault="003719CD" w:rsidP="007D536F">
      <w:pPr>
        <w:pStyle w:val="GuidanceEnd"/>
      </w:pPr>
    </w:p>
    <w:p w14:paraId="26B068A3" w14:textId="77777777" w:rsidR="003719CD" w:rsidRDefault="003719CD" w:rsidP="007762BE">
      <w:pPr>
        <w:pStyle w:val="Heading2numbered"/>
      </w:pPr>
      <w:bookmarkStart w:id="152" w:name="_Toc130226012"/>
      <w:bookmarkStart w:id="153" w:name="_Toc130289135"/>
      <w:bookmarkStart w:id="154" w:name="_Toc64983181"/>
      <w:bookmarkStart w:id="155" w:name="_Toc96709988"/>
      <w:r>
        <w:t>Correction of a prior period error</w:t>
      </w:r>
      <w:bookmarkEnd w:id="152"/>
      <w:bookmarkEnd w:id="153"/>
      <w:bookmarkEnd w:id="154"/>
      <w:bookmarkEnd w:id="155"/>
    </w:p>
    <w:p w14:paraId="58AB0CBB" w14:textId="77777777" w:rsidR="003719CD" w:rsidRPr="006B3075" w:rsidRDefault="003719CD" w:rsidP="007D536F">
      <w:pPr>
        <w:pStyle w:val="GuidanceBox"/>
        <w:rPr>
          <w:b/>
          <w:bCs/>
        </w:rPr>
      </w:pPr>
      <w:r w:rsidRPr="006B3075">
        <w:rPr>
          <w:b/>
          <w:bCs/>
        </w:rPr>
        <w:t xml:space="preserve">Sample disclosure </w:t>
      </w:r>
    </w:p>
    <w:p w14:paraId="351441C5" w14:textId="77777777" w:rsidR="003719CD" w:rsidRDefault="003719CD" w:rsidP="007D536F">
      <w:pPr>
        <w:pStyle w:val="GuidanceBox"/>
      </w:pPr>
      <w:r>
        <w:t xml:space="preserve">This note has been included as an example only to illustrate the disclosure of a restatement of prior period figures due to a material error correction. This note should be omitted if not relevant. </w:t>
      </w:r>
      <w:r w:rsidRPr="006B3075">
        <w:rPr>
          <w:rStyle w:val="Reference"/>
        </w:rPr>
        <w:t>[AASB 108.49]</w:t>
      </w:r>
    </w:p>
    <w:p w14:paraId="652BE241" w14:textId="728985A9" w:rsidR="003719CD" w:rsidRDefault="003719CD" w:rsidP="007D536F">
      <w:pPr>
        <w:pStyle w:val="GuidanceBox"/>
      </w:pPr>
      <w:r>
        <w:t xml:space="preserve">The investment properties note has been used in the Model to illustrate a third balance sheet required to correct an error from a previous year. The error occurred because the Department of Technology did not recognise an investment property. </w:t>
      </w:r>
      <w:r w:rsidRPr="006B3075">
        <w:rPr>
          <w:rStyle w:val="Reference"/>
        </w:rPr>
        <w:t>[AASB 101.</w:t>
      </w:r>
      <w:r w:rsidR="00613399">
        <w:rPr>
          <w:rStyle w:val="Reference"/>
        </w:rPr>
        <w:t>54(b)</w:t>
      </w:r>
      <w:r w:rsidRPr="006B3075">
        <w:rPr>
          <w:rStyle w:val="Reference"/>
        </w:rPr>
        <w:t>]</w:t>
      </w:r>
    </w:p>
    <w:p w14:paraId="5F93C096" w14:textId="7455ACBA" w:rsidR="003719CD" w:rsidRDefault="003719CD" w:rsidP="00DC39DE">
      <w:r>
        <w:t xml:space="preserve">The Department has identified two prior period errors. These are explained below and have since been adjusted for the error and restated each of the affected financial statements for the </w:t>
      </w:r>
      <w:fldSimple w:instr="DOCPROPERTY  YearPrevious  \* MERGEFORMAT">
        <w:r w:rsidR="00A545BA">
          <w:t>20X1</w:t>
        </w:r>
      </w:fldSimple>
      <w:r w:rsidR="002F5875">
        <w:t xml:space="preserve"> </w:t>
      </w:r>
      <w:r>
        <w:t>financial year, as shown in the tables below.</w:t>
      </w:r>
    </w:p>
    <w:p w14:paraId="425026B0" w14:textId="77777777" w:rsidR="003719CD" w:rsidRDefault="003719CD" w:rsidP="007762BE">
      <w:pPr>
        <w:pStyle w:val="Heading3numbered"/>
      </w:pPr>
      <w:r>
        <w:t xml:space="preserve">Investment property not recognised </w:t>
      </w:r>
    </w:p>
    <w:p w14:paraId="17E912DE" w14:textId="3E607EAB" w:rsidR="003719CD" w:rsidRDefault="003719CD" w:rsidP="00DC39DE">
      <w:r>
        <w:t xml:space="preserve">During the </w:t>
      </w:r>
      <w:fldSimple w:instr="DOCPROPERTY  FinYearPrevious  \* MERGEFORMAT">
        <w:r w:rsidR="00A545BA">
          <w:t>20X0</w:t>
        </w:r>
        <w:r w:rsidR="00A545BA" w:rsidRPr="00A545BA">
          <w:rPr>
            <w:rFonts w:ascii="Cambria Math" w:hAnsi="Cambria Math" w:cs="Cambria Math"/>
          </w:rPr>
          <w:t>‑</w:t>
        </w:r>
        <w:r w:rsidR="00A545BA">
          <w:t>X1</w:t>
        </w:r>
      </w:fldSimple>
      <w:r>
        <w:t xml:space="preserve"> financial year, the Department did not recognise an investment property, which was contributed to it for nil consideration. This error had the effect of understating investment properties and income for the year ended 30 June </w:t>
      </w:r>
      <w:fldSimple w:instr="DOCPROPERTY  YearPrevious  \* MERGEFORMAT">
        <w:r w:rsidR="00A545BA">
          <w:t>20X1</w:t>
        </w:r>
      </w:fldSimple>
      <w:r>
        <w:t xml:space="preserve"> by $2 500 000. The error also had the effect of understating investment properties and accumulated surplus as at 30 June </w:t>
      </w:r>
      <w:fldSimple w:instr="DOCPROPERTY  YearPrevious  \* MERGEFORMAT">
        <w:r w:rsidR="00A545BA">
          <w:t>20X1</w:t>
        </w:r>
      </w:fldSimple>
      <w:r>
        <w:t xml:space="preserve"> by $2 500 000.</w:t>
      </w:r>
    </w:p>
    <w:p w14:paraId="63859BD3" w14:textId="77777777" w:rsidR="003719CD" w:rsidRDefault="003719CD" w:rsidP="007762BE">
      <w:pPr>
        <w:pStyle w:val="Heading3numbered"/>
      </w:pPr>
      <w:r>
        <w:t xml:space="preserve">Error in not consolidating a controlled entity </w:t>
      </w:r>
    </w:p>
    <w:p w14:paraId="17B7CAF1" w14:textId="168A6788" w:rsidR="003719CD" w:rsidRDefault="003719CD" w:rsidP="00DC39DE">
      <w:r>
        <w:t xml:space="preserve">Innovation Victoria was established on 1 July 2019 as a new entity of the Department of Technology under the </w:t>
      </w:r>
      <w:r w:rsidRPr="006B3075">
        <w:rPr>
          <w:i/>
          <w:iCs/>
        </w:rPr>
        <w:t>Innovation Victoria Act 201</w:t>
      </w:r>
      <w:r>
        <w:rPr>
          <w:i/>
          <w:iCs/>
        </w:rPr>
        <w:t>9</w:t>
      </w:r>
      <w:r>
        <w:t xml:space="preserve">. The Department determined that it controlled Innovation Victoria based on the control criteria in AASB 10 but due to an inadvertent human error, the Department did not include Innovation Victoria in its group financial statements for the </w:t>
      </w:r>
      <w:fldSimple w:instr="DOCPROPERTY  FinYearPrevious  \* MERGEFORMAT">
        <w:r w:rsidR="00A545BA">
          <w:t>20X0</w:t>
        </w:r>
        <w:r w:rsidR="00A545BA" w:rsidRPr="00A545BA">
          <w:rPr>
            <w:rFonts w:ascii="Cambria Math" w:hAnsi="Cambria Math" w:cs="Cambria Math"/>
          </w:rPr>
          <w:t>‑</w:t>
        </w:r>
        <w:r w:rsidR="00A545BA">
          <w:t>X1</w:t>
        </w:r>
      </w:fldSimple>
      <w:r>
        <w:t xml:space="preserve"> reporting period.</w:t>
      </w:r>
    </w:p>
    <w:p w14:paraId="00F13880" w14:textId="77777777" w:rsidR="003719CD" w:rsidRDefault="003719CD" w:rsidP="007D536F">
      <w:pPr>
        <w:pStyle w:val="Caption"/>
      </w:pPr>
      <w:r>
        <w:lastRenderedPageBreak/>
        <w:t>Impact of correction of an error on the consolidated operating statement</w:t>
      </w:r>
      <w:r>
        <w:tab/>
        <w:t>($ million)</w:t>
      </w:r>
    </w:p>
    <w:tbl>
      <w:tblPr>
        <w:tblStyle w:val="DTFTable"/>
        <w:tblW w:w="9639" w:type="dxa"/>
        <w:tblLayout w:type="fixed"/>
        <w:tblLook w:val="06A0" w:firstRow="1" w:lastRow="0" w:firstColumn="1" w:lastColumn="0" w:noHBand="1" w:noVBand="1"/>
      </w:tblPr>
      <w:tblGrid>
        <w:gridCol w:w="2786"/>
        <w:gridCol w:w="1722"/>
        <w:gridCol w:w="1777"/>
        <w:gridCol w:w="1582"/>
        <w:gridCol w:w="1772"/>
      </w:tblGrid>
      <w:tr w:rsidR="00182709" w:rsidRPr="00271540" w14:paraId="749E5A00"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6" w:type="dxa"/>
          </w:tcPr>
          <w:p w14:paraId="1969E863" w14:textId="77777777" w:rsidR="00182709" w:rsidRPr="00271540" w:rsidRDefault="00182709">
            <w:pPr>
              <w:keepNext/>
              <w:rPr>
                <w:szCs w:val="16"/>
              </w:rPr>
            </w:pPr>
          </w:p>
        </w:tc>
        <w:tc>
          <w:tcPr>
            <w:tcW w:w="1722" w:type="dxa"/>
          </w:tcPr>
          <w:p w14:paraId="0F04DEDB" w14:textId="622B92CE" w:rsidR="00182709" w:rsidRPr="0027154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271540">
              <w:rPr>
                <w:szCs w:val="16"/>
              </w:rPr>
              <w:t xml:space="preserve">For the period ended 30 June </w:t>
            </w:r>
            <w:r w:rsidR="00271540" w:rsidRPr="00271540">
              <w:rPr>
                <w:szCs w:val="16"/>
              </w:rPr>
              <w:fldChar w:fldCharType="begin"/>
            </w:r>
            <w:r w:rsidR="00271540" w:rsidRPr="00271540">
              <w:rPr>
                <w:szCs w:val="16"/>
              </w:rPr>
              <w:instrText>DOCPROPERTY  YearCurrent \* MERGEFORMAT</w:instrText>
            </w:r>
            <w:r w:rsidR="00271540" w:rsidRPr="00271540">
              <w:rPr>
                <w:szCs w:val="16"/>
              </w:rPr>
              <w:fldChar w:fldCharType="separate"/>
            </w:r>
            <w:r w:rsidR="00271540" w:rsidRPr="00271540">
              <w:rPr>
                <w:szCs w:val="16"/>
              </w:rPr>
              <w:t>20X2</w:t>
            </w:r>
            <w:r w:rsidR="00271540" w:rsidRPr="00271540">
              <w:rPr>
                <w:szCs w:val="16"/>
              </w:rPr>
              <w:fldChar w:fldCharType="end"/>
            </w:r>
          </w:p>
        </w:tc>
        <w:tc>
          <w:tcPr>
            <w:tcW w:w="1777" w:type="dxa"/>
          </w:tcPr>
          <w:p w14:paraId="48E63693" w14:textId="61DFB93D" w:rsidR="00182709" w:rsidRPr="0027154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271540">
              <w:rPr>
                <w:szCs w:val="16"/>
              </w:rPr>
              <w:t xml:space="preserve">For the period ended 30 June </w:t>
            </w:r>
            <w:r w:rsidR="00271540" w:rsidRPr="00271540">
              <w:rPr>
                <w:szCs w:val="16"/>
              </w:rPr>
              <w:fldChar w:fldCharType="begin"/>
            </w:r>
            <w:r w:rsidR="00271540" w:rsidRPr="00271540">
              <w:rPr>
                <w:szCs w:val="16"/>
              </w:rPr>
              <w:instrText>DOCPROPERTY  YearPrevious  \* MERGEFORMAT</w:instrText>
            </w:r>
            <w:r w:rsidR="00271540" w:rsidRPr="00271540">
              <w:rPr>
                <w:szCs w:val="16"/>
              </w:rPr>
              <w:fldChar w:fldCharType="separate"/>
            </w:r>
            <w:r w:rsidR="00271540" w:rsidRPr="00271540">
              <w:rPr>
                <w:szCs w:val="16"/>
                <w:lang w:val="en-US"/>
              </w:rPr>
              <w:t>20X1</w:t>
            </w:r>
            <w:r w:rsidR="00271540" w:rsidRPr="00271540">
              <w:rPr>
                <w:szCs w:val="16"/>
              </w:rPr>
              <w:fldChar w:fldCharType="end"/>
            </w:r>
            <w:r w:rsidRPr="00271540">
              <w:rPr>
                <w:szCs w:val="16"/>
              </w:rPr>
              <w:t xml:space="preserve"> (restated)</w:t>
            </w:r>
          </w:p>
        </w:tc>
        <w:tc>
          <w:tcPr>
            <w:tcW w:w="1582" w:type="dxa"/>
          </w:tcPr>
          <w:p w14:paraId="42C87606" w14:textId="77777777" w:rsidR="00182709" w:rsidRPr="0027154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271540">
              <w:rPr>
                <w:szCs w:val="16"/>
              </w:rPr>
              <w:t>Consolidation of Innovation Victoria (100% owned)</w:t>
            </w:r>
          </w:p>
        </w:tc>
        <w:tc>
          <w:tcPr>
            <w:tcW w:w="1772" w:type="dxa"/>
          </w:tcPr>
          <w:p w14:paraId="1F64AF1B" w14:textId="632A9838" w:rsidR="00182709" w:rsidRPr="00271540" w:rsidRDefault="0044097C">
            <w:pPr>
              <w:keepNext/>
              <w:cnfStyle w:val="100000000000" w:firstRow="1" w:lastRow="0" w:firstColumn="0" w:lastColumn="0" w:oddVBand="0" w:evenVBand="0" w:oddHBand="0" w:evenHBand="0" w:firstRowFirstColumn="0" w:firstRowLastColumn="0" w:lastRowFirstColumn="0" w:lastRowLastColumn="0"/>
              <w:rPr>
                <w:szCs w:val="16"/>
              </w:rPr>
            </w:pPr>
            <w:r w:rsidRPr="00271540">
              <w:rPr>
                <w:szCs w:val="16"/>
              </w:rPr>
              <w:t xml:space="preserve">For the period ended 30 June </w:t>
            </w:r>
            <w:r w:rsidR="00271540" w:rsidRPr="00271540">
              <w:rPr>
                <w:szCs w:val="16"/>
              </w:rPr>
              <w:fldChar w:fldCharType="begin"/>
            </w:r>
            <w:r w:rsidR="00271540" w:rsidRPr="00271540">
              <w:rPr>
                <w:szCs w:val="16"/>
              </w:rPr>
              <w:instrText>DOCPROPERTY  YearPrevious  \* MERGEFORMAT</w:instrText>
            </w:r>
            <w:r w:rsidR="00271540" w:rsidRPr="00271540">
              <w:rPr>
                <w:szCs w:val="16"/>
              </w:rPr>
              <w:fldChar w:fldCharType="separate"/>
            </w:r>
            <w:r w:rsidR="00271540" w:rsidRPr="00271540">
              <w:rPr>
                <w:szCs w:val="16"/>
                <w:lang w:val="en-US"/>
              </w:rPr>
              <w:t>20X1</w:t>
            </w:r>
            <w:r w:rsidR="00271540" w:rsidRPr="00271540">
              <w:rPr>
                <w:szCs w:val="16"/>
              </w:rPr>
              <w:fldChar w:fldCharType="end"/>
            </w:r>
            <w:r w:rsidRPr="00271540">
              <w:rPr>
                <w:szCs w:val="16"/>
              </w:rPr>
              <w:t xml:space="preserve"> as previously presented</w:t>
            </w:r>
          </w:p>
        </w:tc>
      </w:tr>
      <w:tr w:rsidR="00182709" w14:paraId="1B9E42C0" w14:textId="77777777">
        <w:tc>
          <w:tcPr>
            <w:cnfStyle w:val="001000000000" w:firstRow="0" w:lastRow="0" w:firstColumn="1" w:lastColumn="0" w:oddVBand="0" w:evenVBand="0" w:oddHBand="0" w:evenHBand="0" w:firstRowFirstColumn="0" w:firstRowLastColumn="0" w:lastRowFirstColumn="0" w:lastRowLastColumn="0"/>
            <w:tcW w:w="2786" w:type="dxa"/>
          </w:tcPr>
          <w:p w14:paraId="79EF9EDE" w14:textId="77777777" w:rsidR="00182709" w:rsidRDefault="0044097C">
            <w:r>
              <w:t>Interest</w:t>
            </w:r>
          </w:p>
        </w:tc>
        <w:tc>
          <w:tcPr>
            <w:tcW w:w="1722" w:type="dxa"/>
          </w:tcPr>
          <w:p w14:paraId="78AEA800" w14:textId="77777777" w:rsidR="00182709" w:rsidRDefault="0044097C">
            <w:pPr>
              <w:cnfStyle w:val="000000000000" w:firstRow="0" w:lastRow="0" w:firstColumn="0" w:lastColumn="0" w:oddVBand="0" w:evenVBand="0" w:oddHBand="0" w:evenHBand="0" w:firstRowFirstColumn="0" w:firstRowLastColumn="0" w:lastRowFirstColumn="0" w:lastRowLastColumn="0"/>
            </w:pPr>
            <w:r>
              <w:t>3 864</w:t>
            </w:r>
          </w:p>
        </w:tc>
        <w:tc>
          <w:tcPr>
            <w:tcW w:w="1777" w:type="dxa"/>
          </w:tcPr>
          <w:p w14:paraId="5F7003DB" w14:textId="77777777" w:rsidR="00182709" w:rsidRDefault="0044097C">
            <w:pPr>
              <w:cnfStyle w:val="000000000000" w:firstRow="0" w:lastRow="0" w:firstColumn="0" w:lastColumn="0" w:oddVBand="0" w:evenVBand="0" w:oddHBand="0" w:evenHBand="0" w:firstRowFirstColumn="0" w:firstRowLastColumn="0" w:lastRowFirstColumn="0" w:lastRowLastColumn="0"/>
            </w:pPr>
            <w:r>
              <w:t>2 897</w:t>
            </w:r>
          </w:p>
        </w:tc>
        <w:tc>
          <w:tcPr>
            <w:tcW w:w="1582" w:type="dxa"/>
          </w:tcPr>
          <w:p w14:paraId="6750CC23" w14:textId="77777777" w:rsidR="00182709" w:rsidRDefault="0044097C">
            <w:pPr>
              <w:cnfStyle w:val="000000000000" w:firstRow="0" w:lastRow="0" w:firstColumn="0" w:lastColumn="0" w:oddVBand="0" w:evenVBand="0" w:oddHBand="0" w:evenHBand="0" w:firstRowFirstColumn="0" w:firstRowLastColumn="0" w:lastRowFirstColumn="0" w:lastRowLastColumn="0"/>
            </w:pPr>
            <w:r>
              <w:t>(50)</w:t>
            </w:r>
          </w:p>
        </w:tc>
        <w:tc>
          <w:tcPr>
            <w:tcW w:w="1772" w:type="dxa"/>
          </w:tcPr>
          <w:p w14:paraId="21B443EB" w14:textId="77777777" w:rsidR="00182709" w:rsidRDefault="0044097C">
            <w:pPr>
              <w:cnfStyle w:val="000000000000" w:firstRow="0" w:lastRow="0" w:firstColumn="0" w:lastColumn="0" w:oddVBand="0" w:evenVBand="0" w:oddHBand="0" w:evenHBand="0" w:firstRowFirstColumn="0" w:firstRowLastColumn="0" w:lastRowFirstColumn="0" w:lastRowLastColumn="0"/>
            </w:pPr>
            <w:r>
              <w:t>2 947</w:t>
            </w:r>
          </w:p>
        </w:tc>
      </w:tr>
      <w:tr w:rsidR="00182709" w14:paraId="5A7DC84A" w14:textId="77777777">
        <w:tc>
          <w:tcPr>
            <w:cnfStyle w:val="001000000000" w:firstRow="0" w:lastRow="0" w:firstColumn="1" w:lastColumn="0" w:oddVBand="0" w:evenVBand="0" w:oddHBand="0" w:evenHBand="0" w:firstRowFirstColumn="0" w:firstRowLastColumn="0" w:lastRowFirstColumn="0" w:lastRowLastColumn="0"/>
            <w:tcW w:w="2786" w:type="dxa"/>
          </w:tcPr>
          <w:p w14:paraId="217371F4" w14:textId="77777777" w:rsidR="00182709" w:rsidRDefault="0044097C">
            <w:r>
              <w:t>Sale of goods and services</w:t>
            </w:r>
          </w:p>
        </w:tc>
        <w:tc>
          <w:tcPr>
            <w:tcW w:w="1722" w:type="dxa"/>
          </w:tcPr>
          <w:p w14:paraId="64E76BF0" w14:textId="77777777" w:rsidR="00182709" w:rsidRDefault="0044097C">
            <w:pPr>
              <w:cnfStyle w:val="000000000000" w:firstRow="0" w:lastRow="0" w:firstColumn="0" w:lastColumn="0" w:oddVBand="0" w:evenVBand="0" w:oddHBand="0" w:evenHBand="0" w:firstRowFirstColumn="0" w:firstRowLastColumn="0" w:lastRowFirstColumn="0" w:lastRowLastColumn="0"/>
            </w:pPr>
            <w:r>
              <w:t>1 839</w:t>
            </w:r>
          </w:p>
        </w:tc>
        <w:tc>
          <w:tcPr>
            <w:tcW w:w="1777" w:type="dxa"/>
          </w:tcPr>
          <w:p w14:paraId="1D24CF46" w14:textId="77777777" w:rsidR="00182709" w:rsidRDefault="0044097C">
            <w:pPr>
              <w:cnfStyle w:val="000000000000" w:firstRow="0" w:lastRow="0" w:firstColumn="0" w:lastColumn="0" w:oddVBand="0" w:evenVBand="0" w:oddHBand="0" w:evenHBand="0" w:firstRowFirstColumn="0" w:firstRowLastColumn="0" w:lastRowFirstColumn="0" w:lastRowLastColumn="0"/>
            </w:pPr>
            <w:r>
              <w:t>1 346</w:t>
            </w:r>
          </w:p>
        </w:tc>
        <w:tc>
          <w:tcPr>
            <w:tcW w:w="1582" w:type="dxa"/>
          </w:tcPr>
          <w:p w14:paraId="2830784A" w14:textId="77777777" w:rsidR="00182709" w:rsidRDefault="0044097C">
            <w:pPr>
              <w:cnfStyle w:val="000000000000" w:firstRow="0" w:lastRow="0" w:firstColumn="0" w:lastColumn="0" w:oddVBand="0" w:evenVBand="0" w:oddHBand="0" w:evenHBand="0" w:firstRowFirstColumn="0" w:firstRowLastColumn="0" w:lastRowFirstColumn="0" w:lastRowLastColumn="0"/>
            </w:pPr>
            <w:r>
              <w:t>50</w:t>
            </w:r>
          </w:p>
        </w:tc>
        <w:tc>
          <w:tcPr>
            <w:tcW w:w="1772" w:type="dxa"/>
          </w:tcPr>
          <w:p w14:paraId="668369C6" w14:textId="77777777" w:rsidR="00182709" w:rsidRDefault="0044097C">
            <w:pPr>
              <w:cnfStyle w:val="000000000000" w:firstRow="0" w:lastRow="0" w:firstColumn="0" w:lastColumn="0" w:oddVBand="0" w:evenVBand="0" w:oddHBand="0" w:evenHBand="0" w:firstRowFirstColumn="0" w:firstRowLastColumn="0" w:lastRowFirstColumn="0" w:lastRowLastColumn="0"/>
            </w:pPr>
            <w:r>
              <w:t>1 296</w:t>
            </w:r>
          </w:p>
        </w:tc>
      </w:tr>
      <w:tr w:rsidR="00182709" w14:paraId="3F218257"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2679A649" w14:textId="77777777" w:rsidR="00182709" w:rsidRDefault="0044097C">
            <w:r>
              <w:t>Other income</w:t>
            </w:r>
          </w:p>
        </w:tc>
        <w:tc>
          <w:tcPr>
            <w:tcW w:w="1722" w:type="dxa"/>
            <w:tcBorders>
              <w:bottom w:val="single" w:sz="12" w:space="0" w:color="auto"/>
            </w:tcBorders>
          </w:tcPr>
          <w:p w14:paraId="23ED0B79" w14:textId="77777777" w:rsidR="00182709" w:rsidRDefault="0044097C">
            <w:pPr>
              <w:cnfStyle w:val="000000000000" w:firstRow="0" w:lastRow="0" w:firstColumn="0" w:lastColumn="0" w:oddVBand="0" w:evenVBand="0" w:oddHBand="0" w:evenHBand="0" w:firstRowFirstColumn="0" w:firstRowLastColumn="0" w:lastRowFirstColumn="0" w:lastRowLastColumn="0"/>
            </w:pPr>
            <w:r>
              <w:t>101 771</w:t>
            </w:r>
          </w:p>
        </w:tc>
        <w:tc>
          <w:tcPr>
            <w:tcW w:w="1777" w:type="dxa"/>
            <w:tcBorders>
              <w:bottom w:val="single" w:sz="12" w:space="0" w:color="auto"/>
            </w:tcBorders>
          </w:tcPr>
          <w:p w14:paraId="57DDE956" w14:textId="77777777" w:rsidR="00182709" w:rsidRDefault="0044097C">
            <w:pPr>
              <w:cnfStyle w:val="000000000000" w:firstRow="0" w:lastRow="0" w:firstColumn="0" w:lastColumn="0" w:oddVBand="0" w:evenVBand="0" w:oddHBand="0" w:evenHBand="0" w:firstRowFirstColumn="0" w:firstRowLastColumn="0" w:lastRowFirstColumn="0" w:lastRowLastColumn="0"/>
            </w:pPr>
            <w:r>
              <w:t>82 017</w:t>
            </w:r>
          </w:p>
        </w:tc>
        <w:tc>
          <w:tcPr>
            <w:tcW w:w="1582" w:type="dxa"/>
            <w:tcBorders>
              <w:bottom w:val="single" w:sz="12" w:space="0" w:color="auto"/>
            </w:tcBorders>
          </w:tcPr>
          <w:p w14:paraId="774D73E9"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7164B285" w14:textId="77777777" w:rsidR="00182709" w:rsidRDefault="0044097C">
            <w:pPr>
              <w:cnfStyle w:val="000000000000" w:firstRow="0" w:lastRow="0" w:firstColumn="0" w:lastColumn="0" w:oddVBand="0" w:evenVBand="0" w:oddHBand="0" w:evenHBand="0" w:firstRowFirstColumn="0" w:firstRowLastColumn="0" w:lastRowFirstColumn="0" w:lastRowLastColumn="0"/>
            </w:pPr>
            <w:r>
              <w:t>82 017</w:t>
            </w:r>
          </w:p>
        </w:tc>
      </w:tr>
      <w:tr w:rsidR="00671D55" w14:paraId="7002C92D"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03921E59" w14:textId="77777777" w:rsidR="00182709" w:rsidRDefault="0044097C">
            <w:r>
              <w:rPr>
                <w:b/>
              </w:rPr>
              <w:t>Total income from transactions</w:t>
            </w:r>
          </w:p>
        </w:tc>
        <w:tc>
          <w:tcPr>
            <w:tcW w:w="1722" w:type="dxa"/>
          </w:tcPr>
          <w:p w14:paraId="17A2EE8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107 474</w:t>
            </w:r>
          </w:p>
        </w:tc>
        <w:tc>
          <w:tcPr>
            <w:tcW w:w="1777" w:type="dxa"/>
          </w:tcPr>
          <w:p w14:paraId="60A5CC1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86 260</w:t>
            </w:r>
          </w:p>
        </w:tc>
        <w:tc>
          <w:tcPr>
            <w:tcW w:w="1582" w:type="dxa"/>
          </w:tcPr>
          <w:p w14:paraId="5392A14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Pr>
          <w:p w14:paraId="3B414F3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86 260</w:t>
            </w:r>
          </w:p>
        </w:tc>
      </w:tr>
      <w:tr w:rsidR="00671D55" w14:paraId="54C0E4DE"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26378A3C" w14:textId="77777777" w:rsidR="00182709" w:rsidRDefault="0044097C">
            <w:r>
              <w:t>Employee expenses</w:t>
            </w:r>
          </w:p>
        </w:tc>
        <w:tc>
          <w:tcPr>
            <w:tcW w:w="1722" w:type="dxa"/>
          </w:tcPr>
          <w:p w14:paraId="3BBEE0D6" w14:textId="77777777" w:rsidR="00182709" w:rsidRDefault="0044097C">
            <w:pPr>
              <w:cnfStyle w:val="000000000000" w:firstRow="0" w:lastRow="0" w:firstColumn="0" w:lastColumn="0" w:oddVBand="0" w:evenVBand="0" w:oddHBand="0" w:evenHBand="0" w:firstRowFirstColumn="0" w:firstRowLastColumn="0" w:lastRowFirstColumn="0" w:lastRowLastColumn="0"/>
            </w:pPr>
            <w:r>
              <w:t>(13 767)</w:t>
            </w:r>
          </w:p>
        </w:tc>
        <w:tc>
          <w:tcPr>
            <w:tcW w:w="1777" w:type="dxa"/>
          </w:tcPr>
          <w:p w14:paraId="24C43EB2" w14:textId="77777777" w:rsidR="00182709" w:rsidRDefault="0044097C">
            <w:pPr>
              <w:cnfStyle w:val="000000000000" w:firstRow="0" w:lastRow="0" w:firstColumn="0" w:lastColumn="0" w:oddVBand="0" w:evenVBand="0" w:oddHBand="0" w:evenHBand="0" w:firstRowFirstColumn="0" w:firstRowLastColumn="0" w:lastRowFirstColumn="0" w:lastRowLastColumn="0"/>
            </w:pPr>
            <w:r>
              <w:t>(10 970)</w:t>
            </w:r>
          </w:p>
        </w:tc>
        <w:tc>
          <w:tcPr>
            <w:tcW w:w="1582" w:type="dxa"/>
          </w:tcPr>
          <w:p w14:paraId="17A5FB0C" w14:textId="77777777" w:rsidR="00182709" w:rsidRDefault="0044097C">
            <w:pPr>
              <w:cnfStyle w:val="000000000000" w:firstRow="0" w:lastRow="0" w:firstColumn="0" w:lastColumn="0" w:oddVBand="0" w:evenVBand="0" w:oddHBand="0" w:evenHBand="0" w:firstRowFirstColumn="0" w:firstRowLastColumn="0" w:lastRowFirstColumn="0" w:lastRowLastColumn="0"/>
            </w:pPr>
            <w:r>
              <w:t>1 950</w:t>
            </w:r>
          </w:p>
        </w:tc>
        <w:tc>
          <w:tcPr>
            <w:tcW w:w="1772" w:type="dxa"/>
          </w:tcPr>
          <w:p w14:paraId="559CC0A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(12 920)</w:t>
            </w:r>
          </w:p>
        </w:tc>
      </w:tr>
      <w:tr w:rsidR="00182709" w14:paraId="39F22A07" w14:textId="77777777">
        <w:tc>
          <w:tcPr>
            <w:cnfStyle w:val="001000000000" w:firstRow="0" w:lastRow="0" w:firstColumn="1" w:lastColumn="0" w:oddVBand="0" w:evenVBand="0" w:oddHBand="0" w:evenHBand="0" w:firstRowFirstColumn="0" w:firstRowLastColumn="0" w:lastRowFirstColumn="0" w:lastRowLastColumn="0"/>
            <w:tcW w:w="2786" w:type="dxa"/>
          </w:tcPr>
          <w:p w14:paraId="600E42E0" w14:textId="77777777" w:rsidR="00182709" w:rsidRDefault="0044097C">
            <w:r>
              <w:t>Depreciation</w:t>
            </w:r>
          </w:p>
        </w:tc>
        <w:tc>
          <w:tcPr>
            <w:tcW w:w="1722" w:type="dxa"/>
          </w:tcPr>
          <w:p w14:paraId="1E28661E" w14:textId="77777777" w:rsidR="00182709" w:rsidRDefault="0044097C">
            <w:pPr>
              <w:cnfStyle w:val="000000000000" w:firstRow="0" w:lastRow="0" w:firstColumn="0" w:lastColumn="0" w:oddVBand="0" w:evenVBand="0" w:oddHBand="0" w:evenHBand="0" w:firstRowFirstColumn="0" w:firstRowLastColumn="0" w:lastRowFirstColumn="0" w:lastRowLastColumn="0"/>
            </w:pPr>
            <w:r>
              <w:t>(15 099)</w:t>
            </w:r>
          </w:p>
        </w:tc>
        <w:tc>
          <w:tcPr>
            <w:tcW w:w="1777" w:type="dxa"/>
          </w:tcPr>
          <w:p w14:paraId="0EE23F1B" w14:textId="77777777" w:rsidR="00182709" w:rsidRDefault="0044097C">
            <w:pPr>
              <w:cnfStyle w:val="000000000000" w:firstRow="0" w:lastRow="0" w:firstColumn="0" w:lastColumn="0" w:oddVBand="0" w:evenVBand="0" w:oddHBand="0" w:evenHBand="0" w:firstRowFirstColumn="0" w:firstRowLastColumn="0" w:lastRowFirstColumn="0" w:lastRowLastColumn="0"/>
            </w:pPr>
            <w:r>
              <w:t>(12 157)</w:t>
            </w:r>
          </w:p>
        </w:tc>
        <w:tc>
          <w:tcPr>
            <w:tcW w:w="1582" w:type="dxa"/>
          </w:tcPr>
          <w:p w14:paraId="189B96C0" w14:textId="77777777" w:rsidR="00182709" w:rsidRDefault="0044097C">
            <w:pPr>
              <w:cnfStyle w:val="000000000000" w:firstRow="0" w:lastRow="0" w:firstColumn="0" w:lastColumn="0" w:oddVBand="0" w:evenVBand="0" w:oddHBand="0" w:evenHBand="0" w:firstRowFirstColumn="0" w:firstRowLastColumn="0" w:lastRowFirstColumn="0" w:lastRowLastColumn="0"/>
            </w:pPr>
            <w:r>
              <w:t>900</w:t>
            </w:r>
          </w:p>
        </w:tc>
        <w:tc>
          <w:tcPr>
            <w:tcW w:w="1772" w:type="dxa"/>
          </w:tcPr>
          <w:p w14:paraId="23F2F01C" w14:textId="77777777" w:rsidR="00182709" w:rsidRDefault="0044097C">
            <w:pPr>
              <w:cnfStyle w:val="000000000000" w:firstRow="0" w:lastRow="0" w:firstColumn="0" w:lastColumn="0" w:oddVBand="0" w:evenVBand="0" w:oddHBand="0" w:evenHBand="0" w:firstRowFirstColumn="0" w:firstRowLastColumn="0" w:lastRowFirstColumn="0" w:lastRowLastColumn="0"/>
            </w:pPr>
            <w:r>
              <w:t>(13 057)</w:t>
            </w:r>
          </w:p>
        </w:tc>
      </w:tr>
      <w:tr w:rsidR="00182709" w14:paraId="53582F9E" w14:textId="77777777">
        <w:tc>
          <w:tcPr>
            <w:cnfStyle w:val="001000000000" w:firstRow="0" w:lastRow="0" w:firstColumn="1" w:lastColumn="0" w:oddVBand="0" w:evenVBand="0" w:oddHBand="0" w:evenHBand="0" w:firstRowFirstColumn="0" w:firstRowLastColumn="0" w:lastRowFirstColumn="0" w:lastRowLastColumn="0"/>
            <w:tcW w:w="2786" w:type="dxa"/>
          </w:tcPr>
          <w:p w14:paraId="1A432FCD" w14:textId="77777777" w:rsidR="00182709" w:rsidRDefault="0044097C">
            <w:r>
              <w:t>Interest expense</w:t>
            </w:r>
          </w:p>
        </w:tc>
        <w:tc>
          <w:tcPr>
            <w:tcW w:w="1722" w:type="dxa"/>
          </w:tcPr>
          <w:p w14:paraId="1E8D9C79" w14:textId="77777777" w:rsidR="00182709" w:rsidRDefault="0044097C">
            <w:pPr>
              <w:cnfStyle w:val="000000000000" w:firstRow="0" w:lastRow="0" w:firstColumn="0" w:lastColumn="0" w:oddVBand="0" w:evenVBand="0" w:oddHBand="0" w:evenHBand="0" w:firstRowFirstColumn="0" w:firstRowLastColumn="0" w:lastRowFirstColumn="0" w:lastRowLastColumn="0"/>
            </w:pPr>
            <w:r>
              <w:t>(2 366)</w:t>
            </w:r>
          </w:p>
        </w:tc>
        <w:tc>
          <w:tcPr>
            <w:tcW w:w="1777" w:type="dxa"/>
          </w:tcPr>
          <w:p w14:paraId="39B88EFF" w14:textId="77777777" w:rsidR="00182709" w:rsidRDefault="0044097C">
            <w:pPr>
              <w:cnfStyle w:val="000000000000" w:firstRow="0" w:lastRow="0" w:firstColumn="0" w:lastColumn="0" w:oddVBand="0" w:evenVBand="0" w:oddHBand="0" w:evenHBand="0" w:firstRowFirstColumn="0" w:firstRowLastColumn="0" w:lastRowFirstColumn="0" w:lastRowLastColumn="0"/>
            </w:pPr>
            <w:r>
              <w:t>(2 336)</w:t>
            </w:r>
          </w:p>
        </w:tc>
        <w:tc>
          <w:tcPr>
            <w:tcW w:w="1582" w:type="dxa"/>
          </w:tcPr>
          <w:p w14:paraId="78529996" w14:textId="77777777" w:rsidR="00182709" w:rsidRDefault="0044097C">
            <w:pPr>
              <w:cnfStyle w:val="000000000000" w:firstRow="0" w:lastRow="0" w:firstColumn="0" w:lastColumn="0" w:oddVBand="0" w:evenVBand="0" w:oddHBand="0" w:evenHBand="0" w:firstRowFirstColumn="0" w:firstRowLastColumn="0" w:lastRowFirstColumn="0" w:lastRowLastColumn="0"/>
            </w:pPr>
            <w:r>
              <w:t>1 050</w:t>
            </w:r>
          </w:p>
        </w:tc>
        <w:tc>
          <w:tcPr>
            <w:tcW w:w="1772" w:type="dxa"/>
          </w:tcPr>
          <w:p w14:paraId="13DAFE3D" w14:textId="77777777" w:rsidR="00182709" w:rsidRDefault="0044097C">
            <w:pPr>
              <w:cnfStyle w:val="000000000000" w:firstRow="0" w:lastRow="0" w:firstColumn="0" w:lastColumn="0" w:oddVBand="0" w:evenVBand="0" w:oddHBand="0" w:evenHBand="0" w:firstRowFirstColumn="0" w:firstRowLastColumn="0" w:lastRowFirstColumn="0" w:lastRowLastColumn="0"/>
            </w:pPr>
            <w:r>
              <w:t>(3 386)</w:t>
            </w:r>
          </w:p>
        </w:tc>
      </w:tr>
      <w:tr w:rsidR="00182709" w14:paraId="19AC7E86"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7927A8D8" w14:textId="77777777" w:rsidR="00182709" w:rsidRDefault="0044097C">
            <w:r>
              <w:t>Other operating expenses</w:t>
            </w:r>
          </w:p>
        </w:tc>
        <w:tc>
          <w:tcPr>
            <w:tcW w:w="1722" w:type="dxa"/>
            <w:tcBorders>
              <w:bottom w:val="single" w:sz="12" w:space="0" w:color="auto"/>
            </w:tcBorders>
          </w:tcPr>
          <w:p w14:paraId="01856E9E" w14:textId="77777777" w:rsidR="00182709" w:rsidRDefault="0044097C">
            <w:pPr>
              <w:cnfStyle w:val="000000000000" w:firstRow="0" w:lastRow="0" w:firstColumn="0" w:lastColumn="0" w:oddVBand="0" w:evenVBand="0" w:oddHBand="0" w:evenHBand="0" w:firstRowFirstColumn="0" w:firstRowLastColumn="0" w:lastRowFirstColumn="0" w:lastRowLastColumn="0"/>
            </w:pPr>
            <w:r>
              <w:t>(50 020)</w:t>
            </w:r>
          </w:p>
        </w:tc>
        <w:tc>
          <w:tcPr>
            <w:tcW w:w="1777" w:type="dxa"/>
            <w:tcBorders>
              <w:bottom w:val="single" w:sz="12" w:space="0" w:color="auto"/>
            </w:tcBorders>
          </w:tcPr>
          <w:p w14:paraId="76F15885" w14:textId="77777777" w:rsidR="00182709" w:rsidRDefault="0044097C">
            <w:pPr>
              <w:cnfStyle w:val="000000000000" w:firstRow="0" w:lastRow="0" w:firstColumn="0" w:lastColumn="0" w:oddVBand="0" w:evenVBand="0" w:oddHBand="0" w:evenHBand="0" w:firstRowFirstColumn="0" w:firstRowLastColumn="0" w:lastRowFirstColumn="0" w:lastRowLastColumn="0"/>
            </w:pPr>
            <w:r>
              <w:t>(51 958)</w:t>
            </w:r>
          </w:p>
        </w:tc>
        <w:tc>
          <w:tcPr>
            <w:tcW w:w="1582" w:type="dxa"/>
            <w:tcBorders>
              <w:bottom w:val="single" w:sz="12" w:space="0" w:color="auto"/>
            </w:tcBorders>
          </w:tcPr>
          <w:p w14:paraId="23DDDE3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11A247E3" w14:textId="77777777" w:rsidR="00182709" w:rsidRDefault="0044097C">
            <w:pPr>
              <w:cnfStyle w:val="000000000000" w:firstRow="0" w:lastRow="0" w:firstColumn="0" w:lastColumn="0" w:oddVBand="0" w:evenVBand="0" w:oddHBand="0" w:evenHBand="0" w:firstRowFirstColumn="0" w:firstRowLastColumn="0" w:lastRowFirstColumn="0" w:lastRowLastColumn="0"/>
            </w:pPr>
            <w:r>
              <w:t>(51 958)</w:t>
            </w:r>
          </w:p>
        </w:tc>
      </w:tr>
      <w:tr w:rsidR="00671D55" w14:paraId="660F7511"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097E90DB" w14:textId="77777777" w:rsidR="00182709" w:rsidRDefault="0044097C">
            <w:r>
              <w:rPr>
                <w:b/>
              </w:rPr>
              <w:t>Total expenses from transactions</w:t>
            </w:r>
          </w:p>
        </w:tc>
        <w:tc>
          <w:tcPr>
            <w:tcW w:w="1722" w:type="dxa"/>
          </w:tcPr>
          <w:p w14:paraId="5787E18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(81 252)</w:t>
            </w:r>
          </w:p>
        </w:tc>
        <w:tc>
          <w:tcPr>
            <w:tcW w:w="1777" w:type="dxa"/>
          </w:tcPr>
          <w:p w14:paraId="12E4965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(77 421)</w:t>
            </w:r>
          </w:p>
        </w:tc>
        <w:tc>
          <w:tcPr>
            <w:tcW w:w="1582" w:type="dxa"/>
          </w:tcPr>
          <w:p w14:paraId="666889A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3 900</w:t>
            </w:r>
          </w:p>
        </w:tc>
        <w:tc>
          <w:tcPr>
            <w:tcW w:w="1772" w:type="dxa"/>
          </w:tcPr>
          <w:p w14:paraId="5376BEA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(81 321)</w:t>
            </w:r>
          </w:p>
        </w:tc>
      </w:tr>
      <w:tr w:rsidR="00671D55" w14:paraId="1389055F"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76626FB6" w14:textId="77777777" w:rsidR="00182709" w:rsidRDefault="0044097C">
            <w:r>
              <w:rPr>
                <w:b/>
              </w:rPr>
              <w:t>Net result from transactions (net operating balance)</w:t>
            </w:r>
            <w:r>
              <w:br/>
            </w:r>
          </w:p>
        </w:tc>
        <w:tc>
          <w:tcPr>
            <w:tcW w:w="1722" w:type="dxa"/>
          </w:tcPr>
          <w:p w14:paraId="39647FE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26 222</w:t>
            </w:r>
          </w:p>
        </w:tc>
        <w:tc>
          <w:tcPr>
            <w:tcW w:w="1777" w:type="dxa"/>
          </w:tcPr>
          <w:p w14:paraId="5F8C3C4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8 839</w:t>
            </w:r>
          </w:p>
        </w:tc>
        <w:tc>
          <w:tcPr>
            <w:tcW w:w="1582" w:type="dxa"/>
          </w:tcPr>
          <w:p w14:paraId="21F23F5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Pr>
          <w:p w14:paraId="657415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4 939</w:t>
            </w:r>
          </w:p>
        </w:tc>
      </w:tr>
      <w:tr w:rsidR="00182709" w14:paraId="22202664"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tcBorders>
          </w:tcPr>
          <w:p w14:paraId="086784A4" w14:textId="77777777" w:rsidR="00182709" w:rsidRDefault="0044097C">
            <w:r>
              <w:t>Share of net profits/(losses) of associates and joint entities, excluding dividends</w:t>
            </w:r>
          </w:p>
        </w:tc>
        <w:tc>
          <w:tcPr>
            <w:tcW w:w="1722" w:type="dxa"/>
            <w:tcBorders>
              <w:top w:val="single" w:sz="6" w:space="0" w:color="auto"/>
            </w:tcBorders>
          </w:tcPr>
          <w:p w14:paraId="06582CE5" w14:textId="77777777" w:rsidR="00182709" w:rsidRDefault="0044097C">
            <w:pPr>
              <w:cnfStyle w:val="000000000000" w:firstRow="0" w:lastRow="0" w:firstColumn="0" w:lastColumn="0" w:oddVBand="0" w:evenVBand="0" w:oddHBand="0" w:evenHBand="0" w:firstRowFirstColumn="0" w:firstRowLastColumn="0" w:lastRowFirstColumn="0" w:lastRowLastColumn="0"/>
            </w:pPr>
            <w:r>
              <w:t>1 286</w:t>
            </w:r>
          </w:p>
        </w:tc>
        <w:tc>
          <w:tcPr>
            <w:tcW w:w="1777" w:type="dxa"/>
            <w:tcBorders>
              <w:top w:val="single" w:sz="6" w:space="0" w:color="auto"/>
            </w:tcBorders>
          </w:tcPr>
          <w:p w14:paraId="7FBF1232" w14:textId="77777777" w:rsidR="00182709" w:rsidRDefault="0044097C">
            <w:pPr>
              <w:cnfStyle w:val="000000000000" w:firstRow="0" w:lastRow="0" w:firstColumn="0" w:lastColumn="0" w:oddVBand="0" w:evenVBand="0" w:oddHBand="0" w:evenHBand="0" w:firstRowFirstColumn="0" w:firstRowLastColumn="0" w:lastRowFirstColumn="0" w:lastRowLastColumn="0"/>
            </w:pPr>
            <w:r>
              <w:t>1 397</w:t>
            </w:r>
          </w:p>
        </w:tc>
        <w:tc>
          <w:tcPr>
            <w:tcW w:w="1582" w:type="dxa"/>
            <w:tcBorders>
              <w:top w:val="single" w:sz="6" w:space="0" w:color="auto"/>
            </w:tcBorders>
          </w:tcPr>
          <w:p w14:paraId="602A1387" w14:textId="77777777" w:rsidR="00182709" w:rsidRDefault="0044097C">
            <w:pPr>
              <w:cnfStyle w:val="000000000000" w:firstRow="0" w:lastRow="0" w:firstColumn="0" w:lastColumn="0" w:oddVBand="0" w:evenVBand="0" w:oddHBand="0" w:evenHBand="0" w:firstRowFirstColumn="0" w:firstRowLastColumn="0" w:lastRowFirstColumn="0" w:lastRowLastColumn="0"/>
            </w:pPr>
            <w:r>
              <w:t>(3 900)</w:t>
            </w:r>
          </w:p>
        </w:tc>
        <w:tc>
          <w:tcPr>
            <w:tcW w:w="1772" w:type="dxa"/>
            <w:tcBorders>
              <w:top w:val="single" w:sz="6" w:space="0" w:color="auto"/>
            </w:tcBorders>
          </w:tcPr>
          <w:p w14:paraId="493C1C8D" w14:textId="77777777" w:rsidR="00182709" w:rsidRDefault="0044097C">
            <w:pPr>
              <w:cnfStyle w:val="000000000000" w:firstRow="0" w:lastRow="0" w:firstColumn="0" w:lastColumn="0" w:oddVBand="0" w:evenVBand="0" w:oddHBand="0" w:evenHBand="0" w:firstRowFirstColumn="0" w:firstRowLastColumn="0" w:lastRowFirstColumn="0" w:lastRowLastColumn="0"/>
            </w:pPr>
            <w:r>
              <w:t>5 297</w:t>
            </w:r>
          </w:p>
        </w:tc>
      </w:tr>
      <w:tr w:rsidR="00182709" w14:paraId="4692612E"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bottom w:val="single" w:sz="12" w:space="0" w:color="auto"/>
            </w:tcBorders>
          </w:tcPr>
          <w:p w14:paraId="466D83A6" w14:textId="77777777" w:rsidR="00182709" w:rsidRDefault="0044097C">
            <w:r>
              <w:t>Other gains/(losses) from other economic flows</w:t>
            </w:r>
          </w:p>
        </w:tc>
        <w:tc>
          <w:tcPr>
            <w:tcW w:w="1722" w:type="dxa"/>
            <w:tcBorders>
              <w:bottom w:val="single" w:sz="12" w:space="0" w:color="auto"/>
            </w:tcBorders>
          </w:tcPr>
          <w:p w14:paraId="72604F6B" w14:textId="77777777" w:rsidR="00182709" w:rsidRDefault="0044097C">
            <w:pPr>
              <w:cnfStyle w:val="000000000000" w:firstRow="0" w:lastRow="0" w:firstColumn="0" w:lastColumn="0" w:oddVBand="0" w:evenVBand="0" w:oddHBand="0" w:evenHBand="0" w:firstRowFirstColumn="0" w:firstRowLastColumn="0" w:lastRowFirstColumn="0" w:lastRowLastColumn="0"/>
            </w:pPr>
            <w:r>
              <w:t>(13 947)</w:t>
            </w:r>
          </w:p>
        </w:tc>
        <w:tc>
          <w:tcPr>
            <w:tcW w:w="1777" w:type="dxa"/>
            <w:tcBorders>
              <w:bottom w:val="single" w:sz="12" w:space="0" w:color="auto"/>
            </w:tcBorders>
          </w:tcPr>
          <w:p w14:paraId="73D3AD16"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(4 213)</w:t>
            </w:r>
          </w:p>
        </w:tc>
        <w:tc>
          <w:tcPr>
            <w:tcW w:w="1582" w:type="dxa"/>
            <w:tcBorders>
              <w:bottom w:val="single" w:sz="12" w:space="0" w:color="auto"/>
            </w:tcBorders>
          </w:tcPr>
          <w:p w14:paraId="1AA41084"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Borders>
              <w:bottom w:val="single" w:sz="12" w:space="0" w:color="auto"/>
            </w:tcBorders>
          </w:tcPr>
          <w:p w14:paraId="231A649B" w14:textId="77777777" w:rsidR="00182709" w:rsidRDefault="0044097C">
            <w:pPr>
              <w:cnfStyle w:val="000000000000" w:firstRow="0" w:lastRow="0" w:firstColumn="0" w:lastColumn="0" w:oddVBand="0" w:evenVBand="0" w:oddHBand="0" w:evenHBand="0" w:firstRowFirstColumn="0" w:firstRowLastColumn="0" w:lastRowFirstColumn="0" w:lastRowLastColumn="0"/>
            </w:pPr>
            <w:r>
              <w:t>(4 213)</w:t>
            </w:r>
          </w:p>
        </w:tc>
      </w:tr>
      <w:tr w:rsidR="00671D55" w14:paraId="308FDAFE"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78A6F780" w14:textId="77777777" w:rsidR="00182709" w:rsidRDefault="0044097C">
            <w:r>
              <w:rPr>
                <w:b/>
              </w:rPr>
              <w:t>Total other economic flows included in net result</w:t>
            </w:r>
          </w:p>
        </w:tc>
        <w:tc>
          <w:tcPr>
            <w:tcW w:w="1722" w:type="dxa"/>
          </w:tcPr>
          <w:p w14:paraId="3871E8E1"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(12 661)</w:t>
            </w:r>
          </w:p>
        </w:tc>
        <w:tc>
          <w:tcPr>
            <w:tcW w:w="1777" w:type="dxa"/>
          </w:tcPr>
          <w:p w14:paraId="04FFD17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(2 816)</w:t>
            </w:r>
          </w:p>
        </w:tc>
        <w:tc>
          <w:tcPr>
            <w:tcW w:w="1582" w:type="dxa"/>
          </w:tcPr>
          <w:p w14:paraId="65146267"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(3 900)</w:t>
            </w:r>
          </w:p>
        </w:tc>
        <w:tc>
          <w:tcPr>
            <w:tcW w:w="1772" w:type="dxa"/>
          </w:tcPr>
          <w:p w14:paraId="5A0FF9E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1 084</w:t>
            </w:r>
          </w:p>
        </w:tc>
      </w:tr>
      <w:tr w:rsidR="00182709" w14:paraId="63DD2E98"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bottom w:val="single" w:sz="12" w:space="0" w:color="auto"/>
            </w:tcBorders>
          </w:tcPr>
          <w:p w14:paraId="3664A0AD" w14:textId="77777777" w:rsidR="00182709" w:rsidRDefault="0044097C">
            <w:r>
              <w:rPr>
                <w:b/>
              </w:rPr>
              <w:t>Net result from continuing operations</w:t>
            </w:r>
          </w:p>
        </w:tc>
        <w:tc>
          <w:tcPr>
            <w:tcW w:w="1722" w:type="dxa"/>
            <w:tcBorders>
              <w:top w:val="single" w:sz="6" w:space="0" w:color="auto"/>
              <w:bottom w:val="single" w:sz="12" w:space="0" w:color="auto"/>
            </w:tcBorders>
          </w:tcPr>
          <w:p w14:paraId="4D74D92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13 561</w:t>
            </w:r>
          </w:p>
        </w:tc>
        <w:tc>
          <w:tcPr>
            <w:tcW w:w="1777" w:type="dxa"/>
            <w:tcBorders>
              <w:top w:val="single" w:sz="6" w:space="0" w:color="auto"/>
              <w:bottom w:val="single" w:sz="12" w:space="0" w:color="auto"/>
            </w:tcBorders>
          </w:tcPr>
          <w:p w14:paraId="16BA770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6 023</w:t>
            </w:r>
          </w:p>
        </w:tc>
        <w:tc>
          <w:tcPr>
            <w:tcW w:w="1582" w:type="dxa"/>
            <w:tcBorders>
              <w:top w:val="single" w:sz="6" w:space="0" w:color="auto"/>
              <w:bottom w:val="single" w:sz="12" w:space="0" w:color="auto"/>
            </w:tcBorders>
          </w:tcPr>
          <w:p w14:paraId="0A74BED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6" w:space="0" w:color="auto"/>
              <w:bottom w:val="single" w:sz="12" w:space="0" w:color="auto"/>
            </w:tcBorders>
          </w:tcPr>
          <w:p w14:paraId="3BCA885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6 023</w:t>
            </w:r>
          </w:p>
        </w:tc>
      </w:tr>
      <w:tr w:rsidR="00671D55" w14:paraId="05B79BA4"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375177E1" w14:textId="77777777" w:rsidR="00182709" w:rsidRDefault="0044097C">
            <w:r>
              <w:t>Net result from discontinued operations</w:t>
            </w:r>
          </w:p>
        </w:tc>
        <w:tc>
          <w:tcPr>
            <w:tcW w:w="1722" w:type="dxa"/>
          </w:tcPr>
          <w:p w14:paraId="4B70B37A" w14:textId="77777777" w:rsidR="00182709" w:rsidRDefault="0044097C">
            <w:pPr>
              <w:cnfStyle w:val="000000000000" w:firstRow="0" w:lastRow="0" w:firstColumn="0" w:lastColumn="0" w:oddVBand="0" w:evenVBand="0" w:oddHBand="0" w:evenHBand="0" w:firstRowFirstColumn="0" w:firstRowLastColumn="0" w:lastRowFirstColumn="0" w:lastRowLastColumn="0"/>
            </w:pPr>
            <w:r>
              <w:t>1 229</w:t>
            </w:r>
          </w:p>
        </w:tc>
        <w:tc>
          <w:tcPr>
            <w:tcW w:w="1777" w:type="dxa"/>
          </w:tcPr>
          <w:p w14:paraId="3DA226C3" w14:textId="77777777" w:rsidR="00182709" w:rsidRDefault="0044097C">
            <w:pPr>
              <w:cnfStyle w:val="000000000000" w:firstRow="0" w:lastRow="0" w:firstColumn="0" w:lastColumn="0" w:oddVBand="0" w:evenVBand="0" w:oddHBand="0" w:evenHBand="0" w:firstRowFirstColumn="0" w:firstRowLastColumn="0" w:lastRowFirstColumn="0" w:lastRowLastColumn="0"/>
            </w:pPr>
            <w:r>
              <w:t>3 856</w:t>
            </w:r>
          </w:p>
        </w:tc>
        <w:tc>
          <w:tcPr>
            <w:tcW w:w="1582" w:type="dxa"/>
          </w:tcPr>
          <w:p w14:paraId="10B5DFB5" w14:textId="77777777" w:rsidR="00182709" w:rsidRDefault="0044097C">
            <w:pPr>
              <w:cnfStyle w:val="000000000000" w:firstRow="0" w:lastRow="0" w:firstColumn="0" w:lastColumn="0" w:oddVBand="0" w:evenVBand="0" w:oddHBand="0" w:evenHBand="0" w:firstRowFirstColumn="0" w:firstRowLastColumn="0" w:lastRowFirstColumn="0" w:lastRowLastColumn="0"/>
            </w:pPr>
            <w:r>
              <w:t>..</w:t>
            </w:r>
          </w:p>
        </w:tc>
        <w:tc>
          <w:tcPr>
            <w:tcW w:w="1772" w:type="dxa"/>
          </w:tcPr>
          <w:p w14:paraId="2C53E691" w14:textId="77777777" w:rsidR="00182709" w:rsidRDefault="0044097C">
            <w:pPr>
              <w:cnfStyle w:val="000000000000" w:firstRow="0" w:lastRow="0" w:firstColumn="0" w:lastColumn="0" w:oddVBand="0" w:evenVBand="0" w:oddHBand="0" w:evenHBand="0" w:firstRowFirstColumn="0" w:firstRowLastColumn="0" w:lastRowFirstColumn="0" w:lastRowLastColumn="0"/>
            </w:pPr>
            <w:r>
              <w:t>3 856</w:t>
            </w:r>
          </w:p>
        </w:tc>
      </w:tr>
      <w:tr w:rsidR="00671D55" w14:paraId="329B47A7"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6DCC7C5C" w14:textId="77777777" w:rsidR="00182709" w:rsidRDefault="0044097C">
            <w:r>
              <w:rPr>
                <w:b/>
              </w:rPr>
              <w:t>Net result</w:t>
            </w:r>
          </w:p>
        </w:tc>
        <w:tc>
          <w:tcPr>
            <w:tcW w:w="1722" w:type="dxa"/>
          </w:tcPr>
          <w:p w14:paraId="58CBCEF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14 790</w:t>
            </w:r>
          </w:p>
        </w:tc>
        <w:tc>
          <w:tcPr>
            <w:tcW w:w="1777" w:type="dxa"/>
          </w:tcPr>
          <w:p w14:paraId="1DCF58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9 879</w:t>
            </w:r>
          </w:p>
        </w:tc>
        <w:tc>
          <w:tcPr>
            <w:tcW w:w="1582" w:type="dxa"/>
          </w:tcPr>
          <w:p w14:paraId="368156F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Pr>
          <w:p w14:paraId="1AF25976"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9 879</w:t>
            </w:r>
          </w:p>
        </w:tc>
      </w:tr>
      <w:tr w:rsidR="00671D55" w14:paraId="6C8D0D85" w14:textId="77777777" w:rsidTr="00182709">
        <w:tc>
          <w:tcPr>
            <w:cnfStyle w:val="001000000000" w:firstRow="0" w:lastRow="0" w:firstColumn="1" w:lastColumn="0" w:oddVBand="0" w:evenVBand="0" w:oddHBand="0" w:evenHBand="0" w:firstRowFirstColumn="0" w:firstRowLastColumn="0" w:lastRowFirstColumn="0" w:lastRowLastColumn="0"/>
            <w:tcW w:w="2786" w:type="dxa"/>
          </w:tcPr>
          <w:p w14:paraId="7766A631" w14:textId="77777777" w:rsidR="00182709" w:rsidRDefault="0044097C">
            <w:r>
              <w:rPr>
                <w:b/>
              </w:rPr>
              <w:t>Total other economic flows – other comprehensive income</w:t>
            </w:r>
            <w:r>
              <w:br/>
            </w:r>
          </w:p>
        </w:tc>
        <w:tc>
          <w:tcPr>
            <w:tcW w:w="1722" w:type="dxa"/>
          </w:tcPr>
          <w:p w14:paraId="38029CF0"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6 413</w:t>
            </w:r>
          </w:p>
        </w:tc>
        <w:tc>
          <w:tcPr>
            <w:tcW w:w="1777" w:type="dxa"/>
          </w:tcPr>
          <w:p w14:paraId="574B75D5"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4 101</w:t>
            </w:r>
          </w:p>
        </w:tc>
        <w:tc>
          <w:tcPr>
            <w:tcW w:w="1582" w:type="dxa"/>
          </w:tcPr>
          <w:p w14:paraId="04F453A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Pr>
          <w:p w14:paraId="2C392CD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4 101</w:t>
            </w:r>
          </w:p>
        </w:tc>
      </w:tr>
      <w:tr w:rsidR="00182709" w14:paraId="6156DB74" w14:textId="77777777" w:rsidTr="00182709">
        <w:tc>
          <w:tcPr>
            <w:cnfStyle w:val="001000000000" w:firstRow="0" w:lastRow="0" w:firstColumn="1" w:lastColumn="0" w:oddVBand="0" w:evenVBand="0" w:oddHBand="0" w:evenHBand="0" w:firstRowFirstColumn="0" w:firstRowLastColumn="0" w:lastRowFirstColumn="0" w:lastRowLastColumn="0"/>
            <w:tcW w:w="2786" w:type="dxa"/>
            <w:tcBorders>
              <w:top w:val="single" w:sz="6" w:space="0" w:color="auto"/>
            </w:tcBorders>
          </w:tcPr>
          <w:p w14:paraId="14526EFE" w14:textId="77777777" w:rsidR="00182709" w:rsidRDefault="0044097C">
            <w:r>
              <w:rPr>
                <w:b/>
              </w:rPr>
              <w:t>Comprehensive result</w:t>
            </w:r>
          </w:p>
        </w:tc>
        <w:tc>
          <w:tcPr>
            <w:tcW w:w="1722" w:type="dxa"/>
            <w:tcBorders>
              <w:top w:val="single" w:sz="6" w:space="0" w:color="auto"/>
            </w:tcBorders>
          </w:tcPr>
          <w:p w14:paraId="3978C17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21 203</w:t>
            </w:r>
          </w:p>
        </w:tc>
        <w:tc>
          <w:tcPr>
            <w:tcW w:w="1777" w:type="dxa"/>
            <w:tcBorders>
              <w:top w:val="single" w:sz="6" w:space="0" w:color="auto"/>
            </w:tcBorders>
          </w:tcPr>
          <w:p w14:paraId="68A2DF1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13 980</w:t>
            </w:r>
          </w:p>
        </w:tc>
        <w:tc>
          <w:tcPr>
            <w:tcW w:w="1582" w:type="dxa"/>
            <w:tcBorders>
              <w:top w:val="single" w:sz="6" w:space="0" w:color="auto"/>
            </w:tcBorders>
          </w:tcPr>
          <w:p w14:paraId="4B55BF5D"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w:t>
            </w:r>
          </w:p>
        </w:tc>
        <w:tc>
          <w:tcPr>
            <w:tcW w:w="1772" w:type="dxa"/>
            <w:tcBorders>
              <w:top w:val="single" w:sz="6" w:space="0" w:color="auto"/>
            </w:tcBorders>
          </w:tcPr>
          <w:p w14:paraId="339B213C"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13 980</w:t>
            </w:r>
          </w:p>
        </w:tc>
      </w:tr>
    </w:tbl>
    <w:p w14:paraId="024EEE2F" w14:textId="77777777" w:rsidR="003719CD" w:rsidRDefault="003719CD" w:rsidP="00DC39DE"/>
    <w:p w14:paraId="291432FA" w14:textId="6F64337D" w:rsidR="003719CD" w:rsidRDefault="003719CD" w:rsidP="007D536F">
      <w:pPr>
        <w:pStyle w:val="Caption"/>
      </w:pPr>
      <w:r>
        <w:t>Impact of correction of an error on the consolidated balance sheet</w:t>
      </w:r>
      <w:r>
        <w:tab/>
        <w:t>($ million)</w:t>
      </w:r>
    </w:p>
    <w:tbl>
      <w:tblPr>
        <w:tblW w:w="9639" w:type="dxa"/>
        <w:tblInd w:w="-30" w:type="dxa"/>
        <w:tblLayout w:type="fixed"/>
        <w:tblLook w:val="0000" w:firstRow="0" w:lastRow="0" w:firstColumn="0" w:lastColumn="0" w:noHBand="0" w:noVBand="0"/>
      </w:tblPr>
      <w:tblGrid>
        <w:gridCol w:w="3149"/>
        <w:gridCol w:w="1375"/>
        <w:gridCol w:w="1805"/>
        <w:gridCol w:w="1582"/>
        <w:gridCol w:w="1728"/>
      </w:tblGrid>
      <w:tr w:rsidR="00721786" w:rsidRPr="00271540" w14:paraId="125EECA6" w14:textId="77777777" w:rsidTr="005B58FE">
        <w:trPr>
          <w:trHeight w:val="166"/>
        </w:trPr>
        <w:tc>
          <w:tcPr>
            <w:tcW w:w="3149" w:type="dxa"/>
            <w:tcBorders>
              <w:top w:val="nil"/>
              <w:left w:val="nil"/>
              <w:bottom w:val="nil"/>
              <w:right w:val="nil"/>
            </w:tcBorders>
            <w:shd w:val="clear" w:color="auto" w:fill="000000" w:themeFill="text1"/>
            <w:vAlign w:val="bottom"/>
          </w:tcPr>
          <w:p w14:paraId="2D89DD48" w14:textId="77777777" w:rsidR="00E10F60" w:rsidRPr="00271540" w:rsidRDefault="00E10F60" w:rsidP="00433C72">
            <w:pPr>
              <w:keepLines w:val="0"/>
              <w:autoSpaceDE w:val="0"/>
              <w:autoSpaceDN w:val="0"/>
              <w:adjustRightInd w:val="0"/>
              <w:spacing w:before="20" w:after="20" w:line="240" w:lineRule="auto"/>
              <w:rPr>
                <w:rFonts w:ascii="Arial" w:hAnsi="Arial" w:cs="Arial"/>
                <w:i/>
                <w:iCs/>
                <w:color w:val="FFFFFF"/>
                <w:sz w:val="16"/>
                <w:szCs w:val="16"/>
              </w:rPr>
            </w:pPr>
            <w:r w:rsidRPr="00271540">
              <w:rPr>
                <w:rFonts w:ascii="Arial" w:hAnsi="Arial" w:cs="Arial"/>
                <w:i/>
                <w:iCs/>
                <w:color w:val="FFFFFF"/>
                <w:sz w:val="16"/>
                <w:szCs w:val="16"/>
              </w:rPr>
              <w:t>Assets</w:t>
            </w:r>
          </w:p>
        </w:tc>
        <w:tc>
          <w:tcPr>
            <w:tcW w:w="1375" w:type="dxa"/>
            <w:tcBorders>
              <w:top w:val="nil"/>
              <w:left w:val="nil"/>
              <w:bottom w:val="nil"/>
              <w:right w:val="nil"/>
            </w:tcBorders>
            <w:shd w:val="clear" w:color="auto" w:fill="000000" w:themeFill="text1"/>
            <w:vAlign w:val="bottom"/>
          </w:tcPr>
          <w:p w14:paraId="1CFACF7A" w14:textId="56A73407" w:rsidR="00E10F60" w:rsidRPr="0027154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271540">
              <w:rPr>
                <w:rFonts w:ascii="Arial" w:hAnsi="Arial" w:cs="Arial"/>
                <w:i/>
                <w:iCs/>
                <w:color w:val="FFFFFF"/>
                <w:sz w:val="16"/>
                <w:szCs w:val="16"/>
              </w:rPr>
              <w:t xml:space="preserve">As at </w:t>
            </w:r>
            <w:r w:rsidR="00433C72" w:rsidRPr="00271540">
              <w:rPr>
                <w:rFonts w:ascii="Arial" w:hAnsi="Arial" w:cs="Arial"/>
                <w:i/>
                <w:iCs/>
                <w:color w:val="FFFFFF"/>
                <w:sz w:val="16"/>
                <w:szCs w:val="16"/>
              </w:rPr>
              <w:br/>
            </w:r>
            <w:r w:rsidRPr="00271540">
              <w:rPr>
                <w:rFonts w:ascii="Arial" w:hAnsi="Arial" w:cs="Arial"/>
                <w:i/>
                <w:iCs/>
                <w:color w:val="FFFFFF"/>
                <w:sz w:val="16"/>
                <w:szCs w:val="16"/>
              </w:rPr>
              <w:t xml:space="preserve">30 June </w:t>
            </w:r>
            <w:r w:rsidR="00271540" w:rsidRPr="00271540">
              <w:rPr>
                <w:sz w:val="16"/>
                <w:szCs w:val="16"/>
              </w:rPr>
              <w:fldChar w:fldCharType="begin"/>
            </w:r>
            <w:r w:rsidR="00271540" w:rsidRPr="00271540">
              <w:rPr>
                <w:sz w:val="16"/>
                <w:szCs w:val="16"/>
              </w:rPr>
              <w:instrText>DOCPROPERTY  YearCurrent \* MERGEFORMAT</w:instrText>
            </w:r>
            <w:r w:rsidR="00271540" w:rsidRPr="00271540">
              <w:rPr>
                <w:sz w:val="16"/>
                <w:szCs w:val="16"/>
              </w:rPr>
              <w:fldChar w:fldCharType="separate"/>
            </w:r>
            <w:r w:rsidR="00271540" w:rsidRPr="00271540">
              <w:rPr>
                <w:sz w:val="16"/>
                <w:szCs w:val="16"/>
              </w:rPr>
              <w:t>20X2</w:t>
            </w:r>
            <w:r w:rsidR="00271540" w:rsidRPr="00271540">
              <w:rPr>
                <w:sz w:val="16"/>
                <w:szCs w:val="16"/>
              </w:rPr>
              <w:fldChar w:fldCharType="end"/>
            </w:r>
          </w:p>
        </w:tc>
        <w:tc>
          <w:tcPr>
            <w:tcW w:w="1805" w:type="dxa"/>
            <w:tcBorders>
              <w:top w:val="nil"/>
              <w:left w:val="nil"/>
              <w:bottom w:val="nil"/>
              <w:right w:val="nil"/>
            </w:tcBorders>
            <w:shd w:val="clear" w:color="auto" w:fill="000000" w:themeFill="text1"/>
            <w:vAlign w:val="bottom"/>
          </w:tcPr>
          <w:p w14:paraId="5CF63743" w14:textId="69D61B51" w:rsidR="00E10F60" w:rsidRPr="0027154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271540">
              <w:rPr>
                <w:rFonts w:ascii="Arial" w:hAnsi="Arial" w:cs="Arial"/>
                <w:i/>
                <w:color w:val="FFFFFF" w:themeColor="background1"/>
                <w:sz w:val="16"/>
                <w:szCs w:val="16"/>
              </w:rPr>
              <w:t xml:space="preserve">As at 30 June </w:t>
            </w:r>
            <w:r w:rsidR="00271540" w:rsidRPr="00271540">
              <w:rPr>
                <w:sz w:val="16"/>
                <w:szCs w:val="16"/>
              </w:rPr>
              <w:fldChar w:fldCharType="begin"/>
            </w:r>
            <w:r w:rsidR="00271540" w:rsidRPr="00271540">
              <w:rPr>
                <w:sz w:val="16"/>
                <w:szCs w:val="16"/>
              </w:rPr>
              <w:instrText>DOCPROPERTY  YearPrevious  \* MERGEFORMAT</w:instrText>
            </w:r>
            <w:r w:rsidR="00271540" w:rsidRPr="00271540">
              <w:rPr>
                <w:sz w:val="16"/>
                <w:szCs w:val="16"/>
              </w:rPr>
              <w:fldChar w:fldCharType="separate"/>
            </w:r>
            <w:r w:rsidR="00271540" w:rsidRPr="00271540">
              <w:rPr>
                <w:sz w:val="16"/>
                <w:szCs w:val="16"/>
                <w:lang w:val="en-US"/>
              </w:rPr>
              <w:t>20X1</w:t>
            </w:r>
            <w:r w:rsidR="00271540" w:rsidRPr="00271540">
              <w:rPr>
                <w:sz w:val="16"/>
                <w:szCs w:val="16"/>
              </w:rPr>
              <w:fldChar w:fldCharType="end"/>
            </w:r>
            <w:r w:rsidRPr="00271540">
              <w:rPr>
                <w:rFonts w:ascii="Arial" w:hAnsi="Arial" w:cs="Arial"/>
                <w:i/>
                <w:color w:val="FFFFFF" w:themeColor="background1"/>
                <w:sz w:val="16"/>
                <w:szCs w:val="16"/>
              </w:rPr>
              <w:t xml:space="preserve"> (restated)</w:t>
            </w:r>
          </w:p>
        </w:tc>
        <w:tc>
          <w:tcPr>
            <w:tcW w:w="1582" w:type="dxa"/>
            <w:tcBorders>
              <w:top w:val="nil"/>
              <w:left w:val="nil"/>
              <w:bottom w:val="nil"/>
              <w:right w:val="nil"/>
            </w:tcBorders>
            <w:shd w:val="clear" w:color="auto" w:fill="000000" w:themeFill="text1"/>
            <w:vAlign w:val="bottom"/>
          </w:tcPr>
          <w:p w14:paraId="6CB2EB2A" w14:textId="77777777" w:rsidR="00E10F60" w:rsidRPr="0027154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271540">
              <w:rPr>
                <w:rFonts w:ascii="Arial" w:hAnsi="Arial" w:cs="Arial"/>
                <w:i/>
                <w:iCs/>
                <w:color w:val="FFFFFF"/>
                <w:sz w:val="16"/>
                <w:szCs w:val="16"/>
              </w:rPr>
              <w:t>Consolidation of Innovation Victoria (100% owned)</w:t>
            </w:r>
          </w:p>
        </w:tc>
        <w:tc>
          <w:tcPr>
            <w:tcW w:w="1728" w:type="dxa"/>
            <w:tcBorders>
              <w:top w:val="nil"/>
              <w:left w:val="nil"/>
              <w:bottom w:val="nil"/>
              <w:right w:val="nil"/>
            </w:tcBorders>
            <w:shd w:val="clear" w:color="auto" w:fill="000000" w:themeFill="text1"/>
            <w:vAlign w:val="bottom"/>
          </w:tcPr>
          <w:p w14:paraId="26F4A4B1" w14:textId="299226EF" w:rsidR="00E10F60" w:rsidRPr="00271540" w:rsidRDefault="00E10F60" w:rsidP="00433C72">
            <w:pPr>
              <w:keepLines w:val="0"/>
              <w:autoSpaceDE w:val="0"/>
              <w:autoSpaceDN w:val="0"/>
              <w:adjustRightInd w:val="0"/>
              <w:spacing w:before="20" w:after="20" w:line="240" w:lineRule="auto"/>
              <w:jc w:val="right"/>
              <w:rPr>
                <w:rFonts w:ascii="Arial" w:hAnsi="Arial" w:cs="Arial"/>
                <w:i/>
                <w:iCs/>
                <w:color w:val="FFFFFF"/>
                <w:sz w:val="16"/>
                <w:szCs w:val="16"/>
              </w:rPr>
            </w:pPr>
            <w:r w:rsidRPr="00271540">
              <w:rPr>
                <w:rFonts w:ascii="Arial" w:hAnsi="Arial" w:cs="Arial"/>
                <w:i/>
                <w:color w:val="FFFFFF" w:themeColor="background1"/>
                <w:sz w:val="16"/>
                <w:szCs w:val="16"/>
              </w:rPr>
              <w:t xml:space="preserve">As at 30 June </w:t>
            </w:r>
            <w:r w:rsidR="00271540" w:rsidRPr="00271540">
              <w:rPr>
                <w:sz w:val="16"/>
                <w:szCs w:val="16"/>
              </w:rPr>
              <w:fldChar w:fldCharType="begin"/>
            </w:r>
            <w:r w:rsidR="00271540" w:rsidRPr="00271540">
              <w:rPr>
                <w:sz w:val="16"/>
                <w:szCs w:val="16"/>
              </w:rPr>
              <w:instrText>DOCPROPERTY  YearPrevious  \* MERGEFORMAT</w:instrText>
            </w:r>
            <w:r w:rsidR="00271540" w:rsidRPr="00271540">
              <w:rPr>
                <w:sz w:val="16"/>
                <w:szCs w:val="16"/>
              </w:rPr>
              <w:fldChar w:fldCharType="separate"/>
            </w:r>
            <w:r w:rsidR="00271540" w:rsidRPr="00271540">
              <w:rPr>
                <w:sz w:val="16"/>
                <w:szCs w:val="16"/>
                <w:lang w:val="en-US"/>
              </w:rPr>
              <w:t>20X1</w:t>
            </w:r>
            <w:r w:rsidR="00271540" w:rsidRPr="00271540">
              <w:rPr>
                <w:sz w:val="16"/>
                <w:szCs w:val="16"/>
              </w:rPr>
              <w:fldChar w:fldCharType="end"/>
            </w:r>
            <w:r w:rsidRPr="00271540">
              <w:rPr>
                <w:rFonts w:ascii="Arial" w:hAnsi="Arial" w:cs="Arial"/>
                <w:i/>
                <w:color w:val="FFFFFF" w:themeColor="background1"/>
                <w:sz w:val="16"/>
                <w:szCs w:val="16"/>
              </w:rPr>
              <w:t xml:space="preserve"> (as previously reported)</w:t>
            </w:r>
          </w:p>
        </w:tc>
      </w:tr>
      <w:tr w:rsidR="00433C72" w:rsidRPr="00433C72" w14:paraId="58BBF468" w14:textId="77777777" w:rsidTr="00433C72">
        <w:trPr>
          <w:trHeight w:val="55"/>
        </w:trPr>
        <w:tc>
          <w:tcPr>
            <w:tcW w:w="3149" w:type="dxa"/>
            <w:tcBorders>
              <w:top w:val="nil"/>
              <w:left w:val="nil"/>
              <w:bottom w:val="nil"/>
              <w:right w:val="nil"/>
            </w:tcBorders>
          </w:tcPr>
          <w:p w14:paraId="2EAB003C"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Cash and deposits</w:t>
            </w:r>
          </w:p>
        </w:tc>
        <w:tc>
          <w:tcPr>
            <w:tcW w:w="1375" w:type="dxa"/>
            <w:tcBorders>
              <w:top w:val="nil"/>
              <w:left w:val="nil"/>
              <w:bottom w:val="nil"/>
              <w:right w:val="nil"/>
            </w:tcBorders>
          </w:tcPr>
          <w:p w14:paraId="7134D9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59 528</w:t>
            </w:r>
          </w:p>
        </w:tc>
        <w:tc>
          <w:tcPr>
            <w:tcW w:w="1805" w:type="dxa"/>
            <w:tcBorders>
              <w:top w:val="nil"/>
              <w:left w:val="nil"/>
              <w:bottom w:val="nil"/>
              <w:right w:val="nil"/>
            </w:tcBorders>
          </w:tcPr>
          <w:p w14:paraId="138656C9"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48 648</w:t>
            </w:r>
          </w:p>
        </w:tc>
        <w:tc>
          <w:tcPr>
            <w:tcW w:w="1582" w:type="dxa"/>
            <w:tcBorders>
              <w:top w:val="nil"/>
              <w:left w:val="nil"/>
              <w:bottom w:val="nil"/>
              <w:right w:val="nil"/>
            </w:tcBorders>
          </w:tcPr>
          <w:p w14:paraId="23BC206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( 800)</w:t>
            </w:r>
          </w:p>
        </w:tc>
        <w:tc>
          <w:tcPr>
            <w:tcW w:w="1728" w:type="dxa"/>
            <w:tcBorders>
              <w:top w:val="nil"/>
              <w:left w:val="nil"/>
              <w:bottom w:val="nil"/>
              <w:right w:val="nil"/>
            </w:tcBorders>
          </w:tcPr>
          <w:p w14:paraId="03330E6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47 848</w:t>
            </w:r>
          </w:p>
        </w:tc>
      </w:tr>
      <w:tr w:rsidR="00433C72" w:rsidRPr="00433C72" w14:paraId="5233DFB7" w14:textId="77777777" w:rsidTr="00433C72">
        <w:trPr>
          <w:trHeight w:val="55"/>
        </w:trPr>
        <w:tc>
          <w:tcPr>
            <w:tcW w:w="3149" w:type="dxa"/>
            <w:tcBorders>
              <w:top w:val="nil"/>
              <w:left w:val="nil"/>
              <w:bottom w:val="nil"/>
              <w:right w:val="nil"/>
            </w:tcBorders>
          </w:tcPr>
          <w:p w14:paraId="3D9C3112"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Receivables</w:t>
            </w:r>
          </w:p>
        </w:tc>
        <w:tc>
          <w:tcPr>
            <w:tcW w:w="1375" w:type="dxa"/>
            <w:tcBorders>
              <w:top w:val="nil"/>
              <w:left w:val="nil"/>
              <w:bottom w:val="nil"/>
              <w:right w:val="nil"/>
            </w:tcBorders>
          </w:tcPr>
          <w:p w14:paraId="2C13509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36 045</w:t>
            </w:r>
          </w:p>
        </w:tc>
        <w:tc>
          <w:tcPr>
            <w:tcW w:w="1805" w:type="dxa"/>
            <w:tcBorders>
              <w:top w:val="nil"/>
              <w:left w:val="nil"/>
              <w:bottom w:val="nil"/>
              <w:right w:val="nil"/>
            </w:tcBorders>
          </w:tcPr>
          <w:p w14:paraId="7C085F0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20 544</w:t>
            </w:r>
          </w:p>
        </w:tc>
        <w:tc>
          <w:tcPr>
            <w:tcW w:w="1582" w:type="dxa"/>
            <w:tcBorders>
              <w:top w:val="nil"/>
              <w:left w:val="nil"/>
              <w:bottom w:val="nil"/>
              <w:right w:val="nil"/>
            </w:tcBorders>
          </w:tcPr>
          <w:p w14:paraId="6832F1D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(2 000)</w:t>
            </w:r>
          </w:p>
        </w:tc>
        <w:tc>
          <w:tcPr>
            <w:tcW w:w="1728" w:type="dxa"/>
            <w:tcBorders>
              <w:top w:val="nil"/>
              <w:left w:val="nil"/>
              <w:bottom w:val="nil"/>
              <w:right w:val="nil"/>
            </w:tcBorders>
          </w:tcPr>
          <w:p w14:paraId="05741AC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22 544</w:t>
            </w:r>
          </w:p>
        </w:tc>
      </w:tr>
      <w:tr w:rsidR="00433C72" w:rsidRPr="00433C72" w14:paraId="4C8A58E7" w14:textId="77777777" w:rsidTr="00433C72">
        <w:trPr>
          <w:trHeight w:val="55"/>
        </w:trPr>
        <w:tc>
          <w:tcPr>
            <w:tcW w:w="3149" w:type="dxa"/>
            <w:tcBorders>
              <w:top w:val="nil"/>
              <w:left w:val="nil"/>
              <w:bottom w:val="nil"/>
              <w:right w:val="nil"/>
            </w:tcBorders>
          </w:tcPr>
          <w:p w14:paraId="2B1A5BC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Investments accounted for using equity method</w:t>
            </w:r>
          </w:p>
        </w:tc>
        <w:tc>
          <w:tcPr>
            <w:tcW w:w="1375" w:type="dxa"/>
            <w:tcBorders>
              <w:top w:val="nil"/>
              <w:left w:val="nil"/>
              <w:bottom w:val="nil"/>
              <w:right w:val="nil"/>
            </w:tcBorders>
          </w:tcPr>
          <w:p w14:paraId="2D3EC0A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5 187</w:t>
            </w:r>
          </w:p>
        </w:tc>
        <w:tc>
          <w:tcPr>
            <w:tcW w:w="1805" w:type="dxa"/>
            <w:tcBorders>
              <w:top w:val="nil"/>
              <w:left w:val="nil"/>
              <w:bottom w:val="nil"/>
              <w:right w:val="nil"/>
            </w:tcBorders>
          </w:tcPr>
          <w:p w14:paraId="5B71695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6 112</w:t>
            </w:r>
          </w:p>
        </w:tc>
        <w:tc>
          <w:tcPr>
            <w:tcW w:w="1582" w:type="dxa"/>
            <w:tcBorders>
              <w:top w:val="nil"/>
              <w:left w:val="nil"/>
              <w:bottom w:val="nil"/>
              <w:right w:val="nil"/>
            </w:tcBorders>
          </w:tcPr>
          <w:p w14:paraId="28E3CC1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6 000</w:t>
            </w:r>
          </w:p>
        </w:tc>
        <w:tc>
          <w:tcPr>
            <w:tcW w:w="1728" w:type="dxa"/>
            <w:tcBorders>
              <w:top w:val="nil"/>
              <w:left w:val="nil"/>
              <w:bottom w:val="nil"/>
              <w:right w:val="nil"/>
            </w:tcBorders>
          </w:tcPr>
          <w:p w14:paraId="46191D6B"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xml:space="preserve"> 112</w:t>
            </w:r>
          </w:p>
        </w:tc>
      </w:tr>
      <w:tr w:rsidR="00433C72" w:rsidRPr="00433C72" w14:paraId="61F0108B" w14:textId="77777777" w:rsidTr="46DFB224">
        <w:trPr>
          <w:trHeight w:val="58"/>
        </w:trPr>
        <w:tc>
          <w:tcPr>
            <w:tcW w:w="3149" w:type="dxa"/>
            <w:tcBorders>
              <w:top w:val="nil"/>
              <w:left w:val="nil"/>
              <w:bottom w:val="single" w:sz="12" w:space="0" w:color="000000" w:themeColor="text1"/>
              <w:right w:val="nil"/>
            </w:tcBorders>
          </w:tcPr>
          <w:p w14:paraId="7281773F"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financial assets</w:t>
            </w:r>
          </w:p>
        </w:tc>
        <w:tc>
          <w:tcPr>
            <w:tcW w:w="1375" w:type="dxa"/>
            <w:tcBorders>
              <w:top w:val="nil"/>
              <w:left w:val="nil"/>
              <w:bottom w:val="single" w:sz="12" w:space="0" w:color="000000" w:themeColor="text1"/>
              <w:right w:val="nil"/>
            </w:tcBorders>
          </w:tcPr>
          <w:p w14:paraId="6BC8AA3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22 548</w:t>
            </w:r>
          </w:p>
        </w:tc>
        <w:tc>
          <w:tcPr>
            <w:tcW w:w="1805" w:type="dxa"/>
            <w:tcBorders>
              <w:top w:val="nil"/>
              <w:left w:val="nil"/>
              <w:bottom w:val="single" w:sz="12" w:space="0" w:color="000000" w:themeColor="text1"/>
              <w:right w:val="nil"/>
            </w:tcBorders>
          </w:tcPr>
          <w:p w14:paraId="0C36E36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28 488</w:t>
            </w:r>
          </w:p>
        </w:tc>
        <w:tc>
          <w:tcPr>
            <w:tcW w:w="1582" w:type="dxa"/>
            <w:tcBorders>
              <w:top w:val="nil"/>
              <w:left w:val="nil"/>
              <w:bottom w:val="single" w:sz="12" w:space="0" w:color="000000" w:themeColor="text1"/>
              <w:right w:val="nil"/>
            </w:tcBorders>
          </w:tcPr>
          <w:p w14:paraId="30BF0E7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themeColor="text1"/>
              <w:right w:val="nil"/>
            </w:tcBorders>
          </w:tcPr>
          <w:p w14:paraId="2C9B6EA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28 488</w:t>
            </w:r>
          </w:p>
        </w:tc>
      </w:tr>
      <w:tr w:rsidR="00433C72" w:rsidRPr="00433C72" w14:paraId="380482DE" w14:textId="77777777" w:rsidTr="46DFB224">
        <w:trPr>
          <w:trHeight w:val="58"/>
        </w:trPr>
        <w:tc>
          <w:tcPr>
            <w:tcW w:w="3149" w:type="dxa"/>
            <w:tcBorders>
              <w:top w:val="nil"/>
              <w:left w:val="nil"/>
              <w:bottom w:val="single" w:sz="12" w:space="0" w:color="000000" w:themeColor="text1"/>
              <w:right w:val="nil"/>
            </w:tcBorders>
          </w:tcPr>
          <w:p w14:paraId="51B7A094"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financial assets</w:t>
            </w:r>
          </w:p>
        </w:tc>
        <w:tc>
          <w:tcPr>
            <w:tcW w:w="1375" w:type="dxa"/>
            <w:tcBorders>
              <w:top w:val="nil"/>
              <w:left w:val="nil"/>
              <w:bottom w:val="single" w:sz="12" w:space="0" w:color="000000" w:themeColor="text1"/>
              <w:right w:val="nil"/>
            </w:tcBorders>
          </w:tcPr>
          <w:p w14:paraId="0C981FD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123 308</w:t>
            </w:r>
          </w:p>
        </w:tc>
        <w:tc>
          <w:tcPr>
            <w:tcW w:w="1805" w:type="dxa"/>
            <w:tcBorders>
              <w:top w:val="nil"/>
              <w:left w:val="nil"/>
              <w:bottom w:val="single" w:sz="12" w:space="0" w:color="000000" w:themeColor="text1"/>
              <w:right w:val="nil"/>
            </w:tcBorders>
          </w:tcPr>
          <w:p w14:paraId="430944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103 792</w:t>
            </w:r>
          </w:p>
        </w:tc>
        <w:tc>
          <w:tcPr>
            <w:tcW w:w="1582" w:type="dxa"/>
            <w:tcBorders>
              <w:top w:val="nil"/>
              <w:left w:val="nil"/>
              <w:bottom w:val="single" w:sz="12" w:space="0" w:color="000000" w:themeColor="text1"/>
              <w:right w:val="nil"/>
            </w:tcBorders>
          </w:tcPr>
          <w:p w14:paraId="55930FF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4 800</w:t>
            </w:r>
          </w:p>
        </w:tc>
        <w:tc>
          <w:tcPr>
            <w:tcW w:w="1728" w:type="dxa"/>
            <w:tcBorders>
              <w:top w:val="nil"/>
              <w:left w:val="nil"/>
              <w:bottom w:val="single" w:sz="12" w:space="0" w:color="000000" w:themeColor="text1"/>
              <w:right w:val="nil"/>
            </w:tcBorders>
          </w:tcPr>
          <w:p w14:paraId="05D7848B"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98 992</w:t>
            </w:r>
          </w:p>
        </w:tc>
      </w:tr>
      <w:tr w:rsidR="00433C72" w:rsidRPr="00433C72" w14:paraId="58D261A4" w14:textId="77777777" w:rsidTr="00433C72">
        <w:trPr>
          <w:trHeight w:val="55"/>
        </w:trPr>
        <w:tc>
          <w:tcPr>
            <w:tcW w:w="3149" w:type="dxa"/>
            <w:tcBorders>
              <w:top w:val="nil"/>
              <w:left w:val="nil"/>
              <w:bottom w:val="nil"/>
              <w:right w:val="nil"/>
            </w:tcBorders>
          </w:tcPr>
          <w:p w14:paraId="201D453C"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Inventories</w:t>
            </w:r>
          </w:p>
        </w:tc>
        <w:tc>
          <w:tcPr>
            <w:tcW w:w="1375" w:type="dxa"/>
            <w:tcBorders>
              <w:top w:val="nil"/>
              <w:left w:val="nil"/>
              <w:bottom w:val="nil"/>
              <w:right w:val="nil"/>
            </w:tcBorders>
          </w:tcPr>
          <w:p w14:paraId="1DF5C65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12 056</w:t>
            </w:r>
          </w:p>
        </w:tc>
        <w:tc>
          <w:tcPr>
            <w:tcW w:w="1805" w:type="dxa"/>
            <w:tcBorders>
              <w:top w:val="nil"/>
              <w:left w:val="nil"/>
              <w:bottom w:val="nil"/>
              <w:right w:val="nil"/>
            </w:tcBorders>
          </w:tcPr>
          <w:p w14:paraId="78C6021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19 733</w:t>
            </w:r>
          </w:p>
        </w:tc>
        <w:tc>
          <w:tcPr>
            <w:tcW w:w="1582" w:type="dxa"/>
            <w:tcBorders>
              <w:top w:val="nil"/>
              <w:left w:val="nil"/>
              <w:bottom w:val="nil"/>
              <w:right w:val="nil"/>
            </w:tcBorders>
          </w:tcPr>
          <w:p w14:paraId="5F4C19E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058BA1F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19 733</w:t>
            </w:r>
          </w:p>
        </w:tc>
      </w:tr>
      <w:tr w:rsidR="00433C72" w:rsidRPr="00433C72" w14:paraId="4F9348B1" w14:textId="77777777" w:rsidTr="00433C72">
        <w:trPr>
          <w:trHeight w:val="55"/>
        </w:trPr>
        <w:tc>
          <w:tcPr>
            <w:tcW w:w="3149" w:type="dxa"/>
            <w:tcBorders>
              <w:top w:val="nil"/>
              <w:left w:val="nil"/>
              <w:bottom w:val="nil"/>
              <w:right w:val="nil"/>
            </w:tcBorders>
          </w:tcPr>
          <w:p w14:paraId="19F8BEA7" w14:textId="20CA3033"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46DFB224">
              <w:rPr>
                <w:rFonts w:ascii="Arial" w:hAnsi="Arial" w:cs="Arial"/>
                <w:color w:val="000000" w:themeColor="text1"/>
                <w:sz w:val="16"/>
                <w:szCs w:val="16"/>
              </w:rPr>
              <w:t>Property, plant and equipment</w:t>
            </w:r>
          </w:p>
        </w:tc>
        <w:tc>
          <w:tcPr>
            <w:tcW w:w="1375" w:type="dxa"/>
            <w:tcBorders>
              <w:top w:val="nil"/>
              <w:left w:val="nil"/>
              <w:bottom w:val="nil"/>
              <w:right w:val="nil"/>
            </w:tcBorders>
          </w:tcPr>
          <w:p w14:paraId="76B6B99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83 044</w:t>
            </w:r>
          </w:p>
        </w:tc>
        <w:tc>
          <w:tcPr>
            <w:tcW w:w="1805" w:type="dxa"/>
            <w:tcBorders>
              <w:top w:val="nil"/>
              <w:left w:val="nil"/>
              <w:bottom w:val="nil"/>
              <w:right w:val="nil"/>
            </w:tcBorders>
          </w:tcPr>
          <w:p w14:paraId="5AFC085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76 807</w:t>
            </w:r>
          </w:p>
        </w:tc>
        <w:tc>
          <w:tcPr>
            <w:tcW w:w="1582" w:type="dxa"/>
            <w:tcBorders>
              <w:top w:val="nil"/>
              <w:left w:val="nil"/>
              <w:bottom w:val="nil"/>
              <w:right w:val="nil"/>
            </w:tcBorders>
          </w:tcPr>
          <w:p w14:paraId="11D9BE8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5 200</w:t>
            </w:r>
          </w:p>
        </w:tc>
        <w:tc>
          <w:tcPr>
            <w:tcW w:w="1728" w:type="dxa"/>
            <w:tcBorders>
              <w:top w:val="nil"/>
              <w:left w:val="nil"/>
              <w:bottom w:val="nil"/>
              <w:right w:val="nil"/>
            </w:tcBorders>
          </w:tcPr>
          <w:p w14:paraId="696E828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71 607</w:t>
            </w:r>
          </w:p>
        </w:tc>
      </w:tr>
      <w:tr w:rsidR="00433C72" w:rsidRPr="00433C72" w14:paraId="54DCDF46" w14:textId="77777777" w:rsidTr="46DFB224">
        <w:trPr>
          <w:trHeight w:val="58"/>
        </w:trPr>
        <w:tc>
          <w:tcPr>
            <w:tcW w:w="3149" w:type="dxa"/>
            <w:tcBorders>
              <w:top w:val="nil"/>
              <w:left w:val="nil"/>
              <w:bottom w:val="single" w:sz="12" w:space="0" w:color="000000" w:themeColor="text1"/>
              <w:right w:val="nil"/>
            </w:tcBorders>
          </w:tcPr>
          <w:p w14:paraId="6058969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non</w:t>
            </w:r>
            <w:r w:rsidRPr="00E10F60">
              <w:rPr>
                <w:rFonts w:ascii="Cambria Math" w:hAnsi="Cambria Math" w:cs="Cambria Math"/>
                <w:color w:val="000000"/>
                <w:sz w:val="16"/>
                <w:szCs w:val="16"/>
              </w:rPr>
              <w:t>‑</w:t>
            </w:r>
            <w:r w:rsidRPr="00E10F60">
              <w:rPr>
                <w:rFonts w:ascii="Arial" w:hAnsi="Arial" w:cs="Arial"/>
                <w:color w:val="000000"/>
                <w:sz w:val="16"/>
                <w:szCs w:val="16"/>
              </w:rPr>
              <w:t>financial assets</w:t>
            </w:r>
          </w:p>
        </w:tc>
        <w:tc>
          <w:tcPr>
            <w:tcW w:w="1375" w:type="dxa"/>
            <w:tcBorders>
              <w:top w:val="nil"/>
              <w:left w:val="nil"/>
              <w:bottom w:val="single" w:sz="12" w:space="0" w:color="000000" w:themeColor="text1"/>
              <w:right w:val="nil"/>
            </w:tcBorders>
          </w:tcPr>
          <w:p w14:paraId="419665C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22 826</w:t>
            </w:r>
          </w:p>
        </w:tc>
        <w:tc>
          <w:tcPr>
            <w:tcW w:w="1805" w:type="dxa"/>
            <w:tcBorders>
              <w:top w:val="nil"/>
              <w:left w:val="nil"/>
              <w:bottom w:val="single" w:sz="12" w:space="0" w:color="000000" w:themeColor="text1"/>
              <w:right w:val="nil"/>
            </w:tcBorders>
          </w:tcPr>
          <w:p w14:paraId="41CBDA0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27 455</w:t>
            </w:r>
          </w:p>
        </w:tc>
        <w:tc>
          <w:tcPr>
            <w:tcW w:w="1582" w:type="dxa"/>
            <w:tcBorders>
              <w:top w:val="nil"/>
              <w:left w:val="nil"/>
              <w:bottom w:val="single" w:sz="12" w:space="0" w:color="000000" w:themeColor="text1"/>
              <w:right w:val="nil"/>
            </w:tcBorders>
          </w:tcPr>
          <w:p w14:paraId="44787B7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themeColor="text1"/>
              <w:right w:val="nil"/>
            </w:tcBorders>
          </w:tcPr>
          <w:p w14:paraId="5D244E4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27 455</w:t>
            </w:r>
          </w:p>
        </w:tc>
      </w:tr>
      <w:tr w:rsidR="00433C72" w:rsidRPr="00433C72" w14:paraId="7BFCA33F" w14:textId="77777777" w:rsidTr="00433C72">
        <w:trPr>
          <w:trHeight w:val="55"/>
        </w:trPr>
        <w:tc>
          <w:tcPr>
            <w:tcW w:w="3149" w:type="dxa"/>
            <w:tcBorders>
              <w:top w:val="nil"/>
              <w:left w:val="nil"/>
              <w:bottom w:val="nil"/>
              <w:right w:val="nil"/>
            </w:tcBorders>
          </w:tcPr>
          <w:p w14:paraId="386E7192"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non</w:t>
            </w:r>
            <w:r w:rsidRPr="00E10F60">
              <w:rPr>
                <w:rFonts w:ascii="Cambria Math" w:hAnsi="Cambria Math" w:cs="Cambria Math"/>
                <w:b/>
                <w:bCs/>
                <w:color w:val="000000"/>
                <w:sz w:val="16"/>
                <w:szCs w:val="16"/>
              </w:rPr>
              <w:t>‑</w:t>
            </w:r>
            <w:r w:rsidRPr="00E10F60">
              <w:rPr>
                <w:rFonts w:ascii="Arial" w:hAnsi="Arial" w:cs="Arial"/>
                <w:b/>
                <w:bCs/>
                <w:color w:val="000000"/>
                <w:sz w:val="16"/>
                <w:szCs w:val="16"/>
              </w:rPr>
              <w:t>financial assets</w:t>
            </w:r>
          </w:p>
        </w:tc>
        <w:tc>
          <w:tcPr>
            <w:tcW w:w="1375" w:type="dxa"/>
            <w:tcBorders>
              <w:top w:val="nil"/>
              <w:left w:val="nil"/>
              <w:bottom w:val="nil"/>
              <w:right w:val="nil"/>
            </w:tcBorders>
          </w:tcPr>
          <w:p w14:paraId="0007D28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117 926</w:t>
            </w:r>
          </w:p>
        </w:tc>
        <w:tc>
          <w:tcPr>
            <w:tcW w:w="1805" w:type="dxa"/>
            <w:tcBorders>
              <w:top w:val="nil"/>
              <w:left w:val="nil"/>
              <w:bottom w:val="nil"/>
              <w:right w:val="nil"/>
            </w:tcBorders>
          </w:tcPr>
          <w:p w14:paraId="4724020C"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123 995</w:t>
            </w:r>
          </w:p>
        </w:tc>
        <w:tc>
          <w:tcPr>
            <w:tcW w:w="1582" w:type="dxa"/>
            <w:tcBorders>
              <w:top w:val="nil"/>
              <w:left w:val="nil"/>
              <w:bottom w:val="nil"/>
              <w:right w:val="nil"/>
            </w:tcBorders>
          </w:tcPr>
          <w:p w14:paraId="4B6F560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5 200</w:t>
            </w:r>
          </w:p>
        </w:tc>
        <w:tc>
          <w:tcPr>
            <w:tcW w:w="1728" w:type="dxa"/>
            <w:tcBorders>
              <w:top w:val="nil"/>
              <w:left w:val="nil"/>
              <w:bottom w:val="nil"/>
              <w:right w:val="nil"/>
            </w:tcBorders>
          </w:tcPr>
          <w:p w14:paraId="0943756E"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118 795</w:t>
            </w:r>
          </w:p>
        </w:tc>
      </w:tr>
      <w:tr w:rsidR="00433C72" w:rsidRPr="00433C72" w14:paraId="7008D6BC" w14:textId="77777777" w:rsidTr="46DFB224">
        <w:trPr>
          <w:trHeight w:val="58"/>
        </w:trPr>
        <w:tc>
          <w:tcPr>
            <w:tcW w:w="3149" w:type="dxa"/>
            <w:tcBorders>
              <w:top w:val="nil"/>
              <w:left w:val="nil"/>
              <w:bottom w:val="single" w:sz="12" w:space="0" w:color="000000" w:themeColor="text1"/>
              <w:right w:val="nil"/>
            </w:tcBorders>
          </w:tcPr>
          <w:p w14:paraId="260FA11F"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assets</w:t>
            </w:r>
          </w:p>
        </w:tc>
        <w:tc>
          <w:tcPr>
            <w:tcW w:w="1375" w:type="dxa"/>
            <w:tcBorders>
              <w:top w:val="nil"/>
              <w:left w:val="nil"/>
              <w:bottom w:val="single" w:sz="12" w:space="0" w:color="000000" w:themeColor="text1"/>
              <w:right w:val="nil"/>
            </w:tcBorders>
          </w:tcPr>
          <w:p w14:paraId="40A4F83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241 234</w:t>
            </w:r>
          </w:p>
        </w:tc>
        <w:tc>
          <w:tcPr>
            <w:tcW w:w="1805" w:type="dxa"/>
            <w:tcBorders>
              <w:top w:val="nil"/>
              <w:left w:val="nil"/>
              <w:bottom w:val="single" w:sz="12" w:space="0" w:color="000000" w:themeColor="text1"/>
              <w:right w:val="nil"/>
            </w:tcBorders>
          </w:tcPr>
          <w:p w14:paraId="13D2C9D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227 787</w:t>
            </w:r>
          </w:p>
        </w:tc>
        <w:tc>
          <w:tcPr>
            <w:tcW w:w="1582" w:type="dxa"/>
            <w:tcBorders>
              <w:top w:val="nil"/>
              <w:left w:val="nil"/>
              <w:bottom w:val="single" w:sz="12" w:space="0" w:color="000000" w:themeColor="text1"/>
              <w:right w:val="nil"/>
            </w:tcBorders>
          </w:tcPr>
          <w:p w14:paraId="18962CFA"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10 000</w:t>
            </w:r>
          </w:p>
        </w:tc>
        <w:tc>
          <w:tcPr>
            <w:tcW w:w="1728" w:type="dxa"/>
            <w:tcBorders>
              <w:top w:val="nil"/>
              <w:left w:val="nil"/>
              <w:bottom w:val="single" w:sz="12" w:space="0" w:color="000000" w:themeColor="text1"/>
              <w:right w:val="nil"/>
            </w:tcBorders>
          </w:tcPr>
          <w:p w14:paraId="54482D9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217 787</w:t>
            </w:r>
          </w:p>
        </w:tc>
      </w:tr>
      <w:tr w:rsidR="00433C72" w:rsidRPr="00433C72" w14:paraId="57DEF9EB" w14:textId="77777777" w:rsidTr="00433C72">
        <w:trPr>
          <w:trHeight w:val="55"/>
        </w:trPr>
        <w:tc>
          <w:tcPr>
            <w:tcW w:w="3149" w:type="dxa"/>
            <w:tcBorders>
              <w:top w:val="nil"/>
              <w:left w:val="nil"/>
              <w:bottom w:val="nil"/>
              <w:right w:val="nil"/>
            </w:tcBorders>
          </w:tcPr>
          <w:p w14:paraId="1E22D9F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Liabilities</w:t>
            </w:r>
          </w:p>
        </w:tc>
        <w:tc>
          <w:tcPr>
            <w:tcW w:w="1375" w:type="dxa"/>
            <w:tcBorders>
              <w:top w:val="nil"/>
              <w:left w:val="nil"/>
              <w:bottom w:val="nil"/>
              <w:right w:val="nil"/>
            </w:tcBorders>
          </w:tcPr>
          <w:p w14:paraId="3A0FBEE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805" w:type="dxa"/>
            <w:tcBorders>
              <w:top w:val="nil"/>
              <w:left w:val="nil"/>
              <w:bottom w:val="nil"/>
              <w:right w:val="nil"/>
            </w:tcBorders>
          </w:tcPr>
          <w:p w14:paraId="091B814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582" w:type="dxa"/>
            <w:tcBorders>
              <w:top w:val="nil"/>
              <w:left w:val="nil"/>
              <w:bottom w:val="nil"/>
              <w:right w:val="nil"/>
            </w:tcBorders>
          </w:tcPr>
          <w:p w14:paraId="7F3B671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728" w:type="dxa"/>
            <w:tcBorders>
              <w:top w:val="nil"/>
              <w:left w:val="nil"/>
              <w:bottom w:val="nil"/>
              <w:right w:val="nil"/>
            </w:tcBorders>
          </w:tcPr>
          <w:p w14:paraId="24EDF50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r>
      <w:tr w:rsidR="00433C72" w:rsidRPr="00433C72" w14:paraId="76D8EF0A" w14:textId="77777777" w:rsidTr="00433C72">
        <w:trPr>
          <w:trHeight w:val="55"/>
        </w:trPr>
        <w:tc>
          <w:tcPr>
            <w:tcW w:w="3149" w:type="dxa"/>
            <w:tcBorders>
              <w:top w:val="nil"/>
              <w:left w:val="nil"/>
              <w:bottom w:val="nil"/>
              <w:right w:val="nil"/>
            </w:tcBorders>
          </w:tcPr>
          <w:p w14:paraId="2026926D"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Payables</w:t>
            </w:r>
          </w:p>
        </w:tc>
        <w:tc>
          <w:tcPr>
            <w:tcW w:w="1375" w:type="dxa"/>
            <w:tcBorders>
              <w:top w:val="nil"/>
              <w:left w:val="nil"/>
              <w:bottom w:val="nil"/>
              <w:right w:val="nil"/>
            </w:tcBorders>
          </w:tcPr>
          <w:p w14:paraId="02CC223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17 591</w:t>
            </w:r>
          </w:p>
        </w:tc>
        <w:tc>
          <w:tcPr>
            <w:tcW w:w="1805" w:type="dxa"/>
            <w:tcBorders>
              <w:top w:val="nil"/>
              <w:left w:val="nil"/>
              <w:bottom w:val="nil"/>
              <w:right w:val="nil"/>
            </w:tcBorders>
          </w:tcPr>
          <w:p w14:paraId="6C49377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16 704</w:t>
            </w:r>
          </w:p>
        </w:tc>
        <w:tc>
          <w:tcPr>
            <w:tcW w:w="1582" w:type="dxa"/>
            <w:tcBorders>
              <w:top w:val="nil"/>
              <w:left w:val="nil"/>
              <w:bottom w:val="nil"/>
              <w:right w:val="nil"/>
            </w:tcBorders>
          </w:tcPr>
          <w:p w14:paraId="4FE11BB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10 000</w:t>
            </w:r>
          </w:p>
        </w:tc>
        <w:tc>
          <w:tcPr>
            <w:tcW w:w="1728" w:type="dxa"/>
            <w:tcBorders>
              <w:top w:val="nil"/>
              <w:left w:val="nil"/>
              <w:bottom w:val="nil"/>
              <w:right w:val="nil"/>
            </w:tcBorders>
          </w:tcPr>
          <w:p w14:paraId="09F0D2F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6 704</w:t>
            </w:r>
          </w:p>
        </w:tc>
      </w:tr>
      <w:tr w:rsidR="00433C72" w:rsidRPr="00433C72" w14:paraId="1CF7E8D6" w14:textId="77777777" w:rsidTr="46DFB224">
        <w:trPr>
          <w:trHeight w:val="58"/>
        </w:trPr>
        <w:tc>
          <w:tcPr>
            <w:tcW w:w="3149" w:type="dxa"/>
            <w:tcBorders>
              <w:top w:val="nil"/>
              <w:left w:val="nil"/>
              <w:bottom w:val="single" w:sz="12" w:space="0" w:color="000000" w:themeColor="text1"/>
              <w:right w:val="nil"/>
            </w:tcBorders>
          </w:tcPr>
          <w:p w14:paraId="7B575920"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Other liabilities</w:t>
            </w:r>
          </w:p>
        </w:tc>
        <w:tc>
          <w:tcPr>
            <w:tcW w:w="1375" w:type="dxa"/>
            <w:tcBorders>
              <w:top w:val="nil"/>
              <w:left w:val="nil"/>
              <w:bottom w:val="single" w:sz="12" w:space="0" w:color="000000" w:themeColor="text1"/>
              <w:right w:val="nil"/>
            </w:tcBorders>
          </w:tcPr>
          <w:p w14:paraId="610322A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80 010</w:t>
            </w:r>
          </w:p>
        </w:tc>
        <w:tc>
          <w:tcPr>
            <w:tcW w:w="1805" w:type="dxa"/>
            <w:tcBorders>
              <w:top w:val="nil"/>
              <w:left w:val="nil"/>
              <w:bottom w:val="single" w:sz="12" w:space="0" w:color="000000" w:themeColor="text1"/>
              <w:right w:val="nil"/>
            </w:tcBorders>
          </w:tcPr>
          <w:p w14:paraId="505433A8"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96 122</w:t>
            </w:r>
          </w:p>
        </w:tc>
        <w:tc>
          <w:tcPr>
            <w:tcW w:w="1582" w:type="dxa"/>
            <w:tcBorders>
              <w:top w:val="nil"/>
              <w:left w:val="nil"/>
              <w:bottom w:val="single" w:sz="12" w:space="0" w:color="000000" w:themeColor="text1"/>
              <w:right w:val="nil"/>
            </w:tcBorders>
          </w:tcPr>
          <w:p w14:paraId="494EA49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single" w:sz="12" w:space="0" w:color="000000" w:themeColor="text1"/>
              <w:right w:val="nil"/>
            </w:tcBorders>
          </w:tcPr>
          <w:p w14:paraId="690C6E7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96 122</w:t>
            </w:r>
          </w:p>
        </w:tc>
      </w:tr>
      <w:tr w:rsidR="00433C72" w:rsidRPr="00433C72" w14:paraId="0261A9FE" w14:textId="77777777" w:rsidTr="46DFB224">
        <w:trPr>
          <w:trHeight w:val="58"/>
        </w:trPr>
        <w:tc>
          <w:tcPr>
            <w:tcW w:w="3149" w:type="dxa"/>
            <w:tcBorders>
              <w:top w:val="nil"/>
              <w:left w:val="nil"/>
              <w:bottom w:val="single" w:sz="12" w:space="0" w:color="000000" w:themeColor="text1"/>
              <w:right w:val="nil"/>
            </w:tcBorders>
          </w:tcPr>
          <w:p w14:paraId="6DAC2664"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Total liabilities</w:t>
            </w:r>
          </w:p>
        </w:tc>
        <w:tc>
          <w:tcPr>
            <w:tcW w:w="1375" w:type="dxa"/>
            <w:tcBorders>
              <w:top w:val="nil"/>
              <w:left w:val="nil"/>
              <w:bottom w:val="single" w:sz="12" w:space="0" w:color="000000" w:themeColor="text1"/>
              <w:right w:val="nil"/>
            </w:tcBorders>
          </w:tcPr>
          <w:p w14:paraId="0049C39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97 601</w:t>
            </w:r>
          </w:p>
        </w:tc>
        <w:tc>
          <w:tcPr>
            <w:tcW w:w="1805" w:type="dxa"/>
            <w:tcBorders>
              <w:top w:val="nil"/>
              <w:left w:val="nil"/>
              <w:bottom w:val="single" w:sz="12" w:space="0" w:color="000000" w:themeColor="text1"/>
              <w:right w:val="nil"/>
            </w:tcBorders>
          </w:tcPr>
          <w:p w14:paraId="28E0414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112 826</w:t>
            </w:r>
          </w:p>
        </w:tc>
        <w:tc>
          <w:tcPr>
            <w:tcW w:w="1582" w:type="dxa"/>
            <w:tcBorders>
              <w:top w:val="nil"/>
              <w:left w:val="nil"/>
              <w:bottom w:val="single" w:sz="12" w:space="0" w:color="000000" w:themeColor="text1"/>
              <w:right w:val="nil"/>
            </w:tcBorders>
          </w:tcPr>
          <w:p w14:paraId="3E34419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10 000</w:t>
            </w:r>
          </w:p>
        </w:tc>
        <w:tc>
          <w:tcPr>
            <w:tcW w:w="1728" w:type="dxa"/>
            <w:tcBorders>
              <w:top w:val="nil"/>
              <w:left w:val="nil"/>
              <w:bottom w:val="single" w:sz="12" w:space="0" w:color="000000" w:themeColor="text1"/>
              <w:right w:val="nil"/>
            </w:tcBorders>
          </w:tcPr>
          <w:p w14:paraId="75C42F9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102 826</w:t>
            </w:r>
          </w:p>
        </w:tc>
      </w:tr>
      <w:tr w:rsidR="00433C72" w:rsidRPr="00433C72" w14:paraId="4C88E7AF" w14:textId="77777777" w:rsidTr="00433C72">
        <w:trPr>
          <w:trHeight w:val="55"/>
        </w:trPr>
        <w:tc>
          <w:tcPr>
            <w:tcW w:w="3149" w:type="dxa"/>
            <w:tcBorders>
              <w:top w:val="nil"/>
              <w:left w:val="nil"/>
              <w:bottom w:val="nil"/>
              <w:right w:val="nil"/>
            </w:tcBorders>
          </w:tcPr>
          <w:p w14:paraId="77C3205B"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Equity</w:t>
            </w:r>
          </w:p>
        </w:tc>
        <w:tc>
          <w:tcPr>
            <w:tcW w:w="1375" w:type="dxa"/>
            <w:tcBorders>
              <w:top w:val="nil"/>
              <w:left w:val="nil"/>
              <w:bottom w:val="nil"/>
              <w:right w:val="nil"/>
            </w:tcBorders>
          </w:tcPr>
          <w:p w14:paraId="13BD2DE9"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805" w:type="dxa"/>
            <w:tcBorders>
              <w:top w:val="nil"/>
              <w:left w:val="nil"/>
              <w:bottom w:val="nil"/>
              <w:right w:val="nil"/>
            </w:tcBorders>
          </w:tcPr>
          <w:p w14:paraId="5B970EF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582" w:type="dxa"/>
            <w:tcBorders>
              <w:top w:val="nil"/>
              <w:left w:val="nil"/>
              <w:bottom w:val="nil"/>
              <w:right w:val="nil"/>
            </w:tcBorders>
          </w:tcPr>
          <w:p w14:paraId="4D2548C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c>
          <w:tcPr>
            <w:tcW w:w="1728" w:type="dxa"/>
            <w:tcBorders>
              <w:top w:val="nil"/>
              <w:left w:val="nil"/>
              <w:bottom w:val="nil"/>
              <w:right w:val="nil"/>
            </w:tcBorders>
          </w:tcPr>
          <w:p w14:paraId="2A67007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p>
        </w:tc>
      </w:tr>
      <w:tr w:rsidR="00433C72" w:rsidRPr="00433C72" w14:paraId="712C65FE" w14:textId="77777777" w:rsidTr="00433C72">
        <w:trPr>
          <w:trHeight w:val="55"/>
        </w:trPr>
        <w:tc>
          <w:tcPr>
            <w:tcW w:w="3149" w:type="dxa"/>
            <w:tcBorders>
              <w:top w:val="nil"/>
              <w:left w:val="nil"/>
              <w:bottom w:val="nil"/>
              <w:right w:val="nil"/>
            </w:tcBorders>
          </w:tcPr>
          <w:p w14:paraId="3B2D0F5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Accumulated surplus/(deficit)</w:t>
            </w:r>
          </w:p>
        </w:tc>
        <w:tc>
          <w:tcPr>
            <w:tcW w:w="1375" w:type="dxa"/>
            <w:tcBorders>
              <w:top w:val="nil"/>
              <w:left w:val="nil"/>
              <w:bottom w:val="nil"/>
              <w:right w:val="nil"/>
            </w:tcBorders>
          </w:tcPr>
          <w:p w14:paraId="4AB29CF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78 633</w:t>
            </w:r>
          </w:p>
        </w:tc>
        <w:tc>
          <w:tcPr>
            <w:tcW w:w="1805" w:type="dxa"/>
            <w:tcBorders>
              <w:top w:val="nil"/>
              <w:left w:val="nil"/>
              <w:bottom w:val="nil"/>
              <w:right w:val="nil"/>
            </w:tcBorders>
          </w:tcPr>
          <w:p w14:paraId="413C0B6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71 133</w:t>
            </w:r>
          </w:p>
        </w:tc>
        <w:tc>
          <w:tcPr>
            <w:tcW w:w="1582" w:type="dxa"/>
            <w:tcBorders>
              <w:top w:val="nil"/>
              <w:left w:val="nil"/>
              <w:bottom w:val="nil"/>
              <w:right w:val="nil"/>
            </w:tcBorders>
          </w:tcPr>
          <w:p w14:paraId="378DD17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56AACAA1"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71 133</w:t>
            </w:r>
          </w:p>
        </w:tc>
      </w:tr>
      <w:tr w:rsidR="00433C72" w:rsidRPr="00433C72" w14:paraId="37E5F7BE" w14:textId="77777777" w:rsidTr="00433C72">
        <w:trPr>
          <w:trHeight w:val="55"/>
        </w:trPr>
        <w:tc>
          <w:tcPr>
            <w:tcW w:w="3149" w:type="dxa"/>
            <w:tcBorders>
              <w:top w:val="nil"/>
              <w:left w:val="nil"/>
              <w:bottom w:val="nil"/>
              <w:right w:val="nil"/>
            </w:tcBorders>
          </w:tcPr>
          <w:p w14:paraId="4F51A381"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Physical asset revaluation surplus</w:t>
            </w:r>
          </w:p>
        </w:tc>
        <w:tc>
          <w:tcPr>
            <w:tcW w:w="1375" w:type="dxa"/>
            <w:tcBorders>
              <w:top w:val="nil"/>
              <w:left w:val="nil"/>
              <w:bottom w:val="nil"/>
              <w:right w:val="nil"/>
            </w:tcBorders>
          </w:tcPr>
          <w:p w14:paraId="09FA6ACD"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7 338</w:t>
            </w:r>
          </w:p>
        </w:tc>
        <w:tc>
          <w:tcPr>
            <w:tcW w:w="1805" w:type="dxa"/>
            <w:tcBorders>
              <w:top w:val="nil"/>
              <w:left w:val="nil"/>
              <w:bottom w:val="nil"/>
              <w:right w:val="nil"/>
            </w:tcBorders>
          </w:tcPr>
          <w:p w14:paraId="66DFF34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3 759</w:t>
            </w:r>
          </w:p>
        </w:tc>
        <w:tc>
          <w:tcPr>
            <w:tcW w:w="1582" w:type="dxa"/>
            <w:tcBorders>
              <w:top w:val="nil"/>
              <w:left w:val="nil"/>
              <w:bottom w:val="nil"/>
              <w:right w:val="nil"/>
            </w:tcBorders>
          </w:tcPr>
          <w:p w14:paraId="38846BC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4B2725E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3 759</w:t>
            </w:r>
          </w:p>
        </w:tc>
      </w:tr>
      <w:tr w:rsidR="00433C72" w:rsidRPr="00433C72" w14:paraId="1B648216" w14:textId="77777777" w:rsidTr="00433C72">
        <w:trPr>
          <w:trHeight w:val="55"/>
        </w:trPr>
        <w:tc>
          <w:tcPr>
            <w:tcW w:w="3149" w:type="dxa"/>
            <w:tcBorders>
              <w:top w:val="nil"/>
              <w:left w:val="nil"/>
              <w:bottom w:val="nil"/>
              <w:right w:val="nil"/>
            </w:tcBorders>
          </w:tcPr>
          <w:p w14:paraId="0C5E1249"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Financial assets available</w:t>
            </w:r>
            <w:r w:rsidRPr="00E10F60">
              <w:rPr>
                <w:rFonts w:ascii="Cambria Math" w:hAnsi="Cambria Math" w:cs="Cambria Math"/>
                <w:color w:val="000000"/>
                <w:sz w:val="16"/>
                <w:szCs w:val="16"/>
              </w:rPr>
              <w:t>‑</w:t>
            </w:r>
            <w:r w:rsidRPr="00E10F60">
              <w:rPr>
                <w:rFonts w:ascii="Arial" w:hAnsi="Arial" w:cs="Arial"/>
                <w:color w:val="000000"/>
                <w:sz w:val="16"/>
                <w:szCs w:val="16"/>
              </w:rPr>
              <w:t>for</w:t>
            </w:r>
            <w:r w:rsidRPr="00E10F60">
              <w:rPr>
                <w:rFonts w:ascii="Cambria Math" w:hAnsi="Cambria Math" w:cs="Cambria Math"/>
                <w:color w:val="000000"/>
                <w:sz w:val="16"/>
                <w:szCs w:val="16"/>
              </w:rPr>
              <w:t>‑</w:t>
            </w:r>
            <w:r w:rsidRPr="00E10F60">
              <w:rPr>
                <w:rFonts w:ascii="Arial" w:hAnsi="Arial" w:cs="Arial"/>
                <w:color w:val="000000"/>
                <w:sz w:val="16"/>
                <w:szCs w:val="16"/>
              </w:rPr>
              <w:t>sale</w:t>
            </w:r>
          </w:p>
        </w:tc>
        <w:tc>
          <w:tcPr>
            <w:tcW w:w="1375" w:type="dxa"/>
            <w:tcBorders>
              <w:top w:val="nil"/>
              <w:left w:val="nil"/>
              <w:bottom w:val="nil"/>
              <w:right w:val="nil"/>
            </w:tcBorders>
          </w:tcPr>
          <w:p w14:paraId="0FF0415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 xml:space="preserve"> 200</w:t>
            </w:r>
          </w:p>
        </w:tc>
        <w:tc>
          <w:tcPr>
            <w:tcW w:w="1805" w:type="dxa"/>
            <w:tcBorders>
              <w:top w:val="nil"/>
              <w:left w:val="nil"/>
              <w:bottom w:val="nil"/>
              <w:right w:val="nil"/>
            </w:tcBorders>
          </w:tcPr>
          <w:p w14:paraId="0F06FFF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1 723</w:t>
            </w:r>
          </w:p>
        </w:tc>
        <w:tc>
          <w:tcPr>
            <w:tcW w:w="1582" w:type="dxa"/>
            <w:tcBorders>
              <w:top w:val="nil"/>
              <w:left w:val="nil"/>
              <w:bottom w:val="nil"/>
              <w:right w:val="nil"/>
            </w:tcBorders>
          </w:tcPr>
          <w:p w14:paraId="1A95A4E2"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79E32DE4"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1 723</w:t>
            </w:r>
          </w:p>
        </w:tc>
      </w:tr>
      <w:tr w:rsidR="00433C72" w:rsidRPr="00433C72" w14:paraId="445D2BEB" w14:textId="77777777" w:rsidTr="00433C72">
        <w:trPr>
          <w:trHeight w:val="58"/>
        </w:trPr>
        <w:tc>
          <w:tcPr>
            <w:tcW w:w="3149" w:type="dxa"/>
            <w:tcBorders>
              <w:top w:val="nil"/>
              <w:left w:val="nil"/>
              <w:bottom w:val="nil"/>
              <w:right w:val="nil"/>
            </w:tcBorders>
          </w:tcPr>
          <w:p w14:paraId="79DF3C03"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color w:val="000000"/>
                <w:sz w:val="16"/>
                <w:szCs w:val="16"/>
              </w:rPr>
            </w:pPr>
            <w:r w:rsidRPr="00E10F60">
              <w:rPr>
                <w:rFonts w:ascii="Arial" w:hAnsi="Arial" w:cs="Arial"/>
                <w:color w:val="000000"/>
                <w:sz w:val="16"/>
                <w:szCs w:val="16"/>
              </w:rPr>
              <w:t>Contributed capital</w:t>
            </w:r>
          </w:p>
        </w:tc>
        <w:tc>
          <w:tcPr>
            <w:tcW w:w="1375" w:type="dxa"/>
            <w:tcBorders>
              <w:top w:val="nil"/>
              <w:left w:val="nil"/>
              <w:bottom w:val="nil"/>
              <w:right w:val="nil"/>
            </w:tcBorders>
          </w:tcPr>
          <w:p w14:paraId="040E3DD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57 460</w:t>
            </w:r>
          </w:p>
        </w:tc>
        <w:tc>
          <w:tcPr>
            <w:tcW w:w="1805" w:type="dxa"/>
            <w:tcBorders>
              <w:top w:val="nil"/>
              <w:left w:val="nil"/>
              <w:bottom w:val="nil"/>
              <w:right w:val="nil"/>
            </w:tcBorders>
          </w:tcPr>
          <w:p w14:paraId="31685460"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38 345</w:t>
            </w:r>
          </w:p>
        </w:tc>
        <w:tc>
          <w:tcPr>
            <w:tcW w:w="1582" w:type="dxa"/>
            <w:tcBorders>
              <w:top w:val="nil"/>
              <w:left w:val="nil"/>
              <w:bottom w:val="nil"/>
              <w:right w:val="nil"/>
            </w:tcBorders>
          </w:tcPr>
          <w:p w14:paraId="0A79C1D7"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w:t>
            </w:r>
          </w:p>
        </w:tc>
        <w:tc>
          <w:tcPr>
            <w:tcW w:w="1728" w:type="dxa"/>
            <w:tcBorders>
              <w:top w:val="nil"/>
              <w:left w:val="nil"/>
              <w:bottom w:val="nil"/>
              <w:right w:val="nil"/>
            </w:tcBorders>
          </w:tcPr>
          <w:p w14:paraId="7C0E1C36"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color w:val="000000"/>
                <w:sz w:val="16"/>
                <w:szCs w:val="16"/>
              </w:rPr>
            </w:pPr>
            <w:r w:rsidRPr="00E10F60">
              <w:rPr>
                <w:rFonts w:ascii="Arial" w:hAnsi="Arial" w:cs="Arial"/>
                <w:color w:val="000000"/>
                <w:sz w:val="16"/>
                <w:szCs w:val="16"/>
              </w:rPr>
              <w:t>38 345</w:t>
            </w:r>
          </w:p>
        </w:tc>
      </w:tr>
      <w:tr w:rsidR="00E10F60" w:rsidRPr="00433C72" w14:paraId="5547D67B" w14:textId="77777777" w:rsidTr="46DFB224">
        <w:trPr>
          <w:trHeight w:val="55"/>
        </w:trPr>
        <w:tc>
          <w:tcPr>
            <w:tcW w:w="3149" w:type="dxa"/>
            <w:tcBorders>
              <w:top w:val="single" w:sz="12" w:space="0" w:color="000000" w:themeColor="text1"/>
              <w:left w:val="nil"/>
              <w:bottom w:val="single" w:sz="18" w:space="0" w:color="000000" w:themeColor="text1"/>
              <w:right w:val="nil"/>
            </w:tcBorders>
          </w:tcPr>
          <w:p w14:paraId="456AAA37" w14:textId="77777777" w:rsidR="00E10F60" w:rsidRPr="00E10F60" w:rsidRDefault="00E10F60" w:rsidP="00433C72">
            <w:pPr>
              <w:keepLines w:val="0"/>
              <w:autoSpaceDE w:val="0"/>
              <w:autoSpaceDN w:val="0"/>
              <w:adjustRightInd w:val="0"/>
              <w:spacing w:before="20" w:after="20" w:line="240" w:lineRule="auto"/>
              <w:ind w:left="170" w:hanging="170"/>
              <w:rPr>
                <w:rFonts w:ascii="Arial" w:hAnsi="Arial" w:cs="Arial"/>
                <w:b/>
                <w:bCs/>
                <w:color w:val="000000"/>
                <w:sz w:val="16"/>
                <w:szCs w:val="16"/>
              </w:rPr>
            </w:pPr>
            <w:r w:rsidRPr="00E10F60">
              <w:rPr>
                <w:rFonts w:ascii="Arial" w:hAnsi="Arial" w:cs="Arial"/>
                <w:b/>
                <w:bCs/>
                <w:color w:val="000000"/>
                <w:sz w:val="16"/>
                <w:szCs w:val="16"/>
              </w:rPr>
              <w:t>Net worth</w:t>
            </w:r>
          </w:p>
        </w:tc>
        <w:tc>
          <w:tcPr>
            <w:tcW w:w="1375" w:type="dxa"/>
            <w:tcBorders>
              <w:top w:val="single" w:sz="12" w:space="0" w:color="000000" w:themeColor="text1"/>
              <w:left w:val="nil"/>
              <w:bottom w:val="single" w:sz="18" w:space="0" w:color="000000" w:themeColor="text1"/>
              <w:right w:val="nil"/>
            </w:tcBorders>
          </w:tcPr>
          <w:p w14:paraId="2810E3A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143 631</w:t>
            </w:r>
          </w:p>
        </w:tc>
        <w:tc>
          <w:tcPr>
            <w:tcW w:w="1805" w:type="dxa"/>
            <w:tcBorders>
              <w:top w:val="single" w:sz="12" w:space="0" w:color="000000" w:themeColor="text1"/>
              <w:left w:val="nil"/>
              <w:bottom w:val="single" w:sz="18" w:space="0" w:color="000000" w:themeColor="text1"/>
              <w:right w:val="nil"/>
            </w:tcBorders>
          </w:tcPr>
          <w:p w14:paraId="2AF9AE05"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114 960</w:t>
            </w:r>
          </w:p>
        </w:tc>
        <w:tc>
          <w:tcPr>
            <w:tcW w:w="1582" w:type="dxa"/>
            <w:tcBorders>
              <w:top w:val="single" w:sz="12" w:space="0" w:color="000000" w:themeColor="text1"/>
              <w:left w:val="nil"/>
              <w:bottom w:val="single" w:sz="18" w:space="0" w:color="000000" w:themeColor="text1"/>
              <w:right w:val="nil"/>
            </w:tcBorders>
          </w:tcPr>
          <w:p w14:paraId="4795CC6F"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w:t>
            </w:r>
          </w:p>
        </w:tc>
        <w:tc>
          <w:tcPr>
            <w:tcW w:w="1728" w:type="dxa"/>
            <w:tcBorders>
              <w:top w:val="single" w:sz="12" w:space="0" w:color="000000" w:themeColor="text1"/>
              <w:left w:val="nil"/>
              <w:bottom w:val="single" w:sz="18" w:space="0" w:color="000000" w:themeColor="text1"/>
              <w:right w:val="nil"/>
            </w:tcBorders>
          </w:tcPr>
          <w:p w14:paraId="58D09743" w14:textId="77777777" w:rsidR="00E10F60" w:rsidRPr="00E10F60" w:rsidRDefault="00E10F60" w:rsidP="00433C72">
            <w:pPr>
              <w:keepLines w:val="0"/>
              <w:autoSpaceDE w:val="0"/>
              <w:autoSpaceDN w:val="0"/>
              <w:adjustRightInd w:val="0"/>
              <w:spacing w:before="20" w:after="20" w:line="240" w:lineRule="auto"/>
              <w:jc w:val="right"/>
              <w:rPr>
                <w:rFonts w:ascii="Arial" w:hAnsi="Arial" w:cs="Arial"/>
                <w:b/>
                <w:bCs/>
                <w:color w:val="000000"/>
                <w:sz w:val="16"/>
                <w:szCs w:val="16"/>
              </w:rPr>
            </w:pPr>
            <w:r w:rsidRPr="00E10F60">
              <w:rPr>
                <w:rFonts w:ascii="Arial" w:hAnsi="Arial" w:cs="Arial"/>
                <w:b/>
                <w:bCs/>
                <w:color w:val="000000"/>
                <w:sz w:val="16"/>
                <w:szCs w:val="16"/>
              </w:rPr>
              <w:t>114 960</w:t>
            </w:r>
          </w:p>
        </w:tc>
      </w:tr>
    </w:tbl>
    <w:p w14:paraId="4E757832" w14:textId="77777777" w:rsidR="00E10F60" w:rsidRDefault="00E10F60" w:rsidP="00E10F60"/>
    <w:p w14:paraId="03317C5D" w14:textId="77777777" w:rsidR="00E10F60" w:rsidRPr="00E10F60" w:rsidRDefault="00E10F60" w:rsidP="00E10F60"/>
    <w:p w14:paraId="5D83E46E" w14:textId="77777777" w:rsidR="000302AA" w:rsidRDefault="000302AA">
      <w:pPr>
        <w:keepLines w:val="0"/>
        <w:rPr>
          <w:b/>
          <w:iCs/>
          <w:color w:val="404040" w:themeColor="text1" w:themeTint="BF"/>
        </w:rPr>
      </w:pPr>
      <w:r>
        <w:br w:type="page"/>
      </w:r>
    </w:p>
    <w:p w14:paraId="4B02A819" w14:textId="0C7AE494" w:rsidR="003719CD" w:rsidRDefault="003719CD" w:rsidP="007D536F">
      <w:pPr>
        <w:pStyle w:val="Caption"/>
      </w:pPr>
      <w:r>
        <w:lastRenderedPageBreak/>
        <w:t>Impact of correction of an error on the consolidated cash flow statement</w:t>
      </w:r>
      <w:r>
        <w:tab/>
        <w:t>($ million)</w:t>
      </w:r>
    </w:p>
    <w:tbl>
      <w:tblPr>
        <w:tblW w:w="9498" w:type="dxa"/>
        <w:tblInd w:w="108" w:type="dxa"/>
        <w:tblLook w:val="04A0" w:firstRow="1" w:lastRow="0" w:firstColumn="1" w:lastColumn="0" w:noHBand="0" w:noVBand="1"/>
      </w:tblPr>
      <w:tblGrid>
        <w:gridCol w:w="4536"/>
        <w:gridCol w:w="1276"/>
        <w:gridCol w:w="1276"/>
        <w:gridCol w:w="1276"/>
        <w:gridCol w:w="1134"/>
      </w:tblGrid>
      <w:tr w:rsidR="007A5D40" w:rsidRPr="00271540" w14:paraId="1123ACBE" w14:textId="77777777" w:rsidTr="46DFB224">
        <w:trPr>
          <w:trHeight w:val="450"/>
        </w:trPr>
        <w:tc>
          <w:tcPr>
            <w:tcW w:w="4536" w:type="dxa"/>
            <w:tcBorders>
              <w:top w:val="nil"/>
              <w:left w:val="nil"/>
              <w:bottom w:val="nil"/>
              <w:right w:val="nil"/>
            </w:tcBorders>
            <w:shd w:val="clear" w:color="auto" w:fill="000000" w:themeFill="text1"/>
            <w:noWrap/>
            <w:vAlign w:val="bottom"/>
            <w:hideMark/>
          </w:tcPr>
          <w:p w14:paraId="12247D50" w14:textId="698E866B" w:rsidR="007A66B0" w:rsidRPr="00271540" w:rsidRDefault="007A66B0" w:rsidP="00432865">
            <w:pPr>
              <w:keepLines w:val="0"/>
              <w:spacing w:before="0" w:after="0" w:line="240" w:lineRule="auto"/>
              <w:rPr>
                <w:rFonts w:ascii="Arial" w:eastAsia="Times New Roman" w:hAnsi="Arial" w:cs="Arial"/>
                <w:i/>
                <w:iCs/>
                <w:color w:val="FFFFFF"/>
                <w:sz w:val="17"/>
                <w:szCs w:val="17"/>
                <w:lang w:eastAsia="en-AU"/>
              </w:rPr>
            </w:pPr>
            <w:r w:rsidRPr="00271540">
              <w:rPr>
                <w:rFonts w:ascii="Arial" w:eastAsia="Times New Roman" w:hAnsi="Arial" w:cs="Arial"/>
                <w:i/>
                <w:iCs/>
                <w:color w:val="FFFFFF"/>
                <w:sz w:val="17"/>
                <w:szCs w:val="17"/>
                <w:lang w:eastAsia="en-AU"/>
              </w:rPr>
              <w:t>Line item</w:t>
            </w:r>
          </w:p>
        </w:tc>
        <w:tc>
          <w:tcPr>
            <w:tcW w:w="1276" w:type="dxa"/>
            <w:tcBorders>
              <w:top w:val="nil"/>
              <w:left w:val="nil"/>
              <w:bottom w:val="nil"/>
              <w:right w:val="nil"/>
            </w:tcBorders>
            <w:shd w:val="clear" w:color="auto" w:fill="000000" w:themeFill="text1"/>
            <w:vAlign w:val="center"/>
            <w:hideMark/>
          </w:tcPr>
          <w:p w14:paraId="1CE82C59" w14:textId="70E7DF14" w:rsidR="007A66B0" w:rsidRPr="0027154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271540">
              <w:rPr>
                <w:rFonts w:ascii="Arial" w:eastAsia="Times New Roman" w:hAnsi="Arial" w:cs="Arial"/>
                <w:i/>
                <w:color w:val="FFFFFF" w:themeColor="background1"/>
                <w:sz w:val="17"/>
                <w:szCs w:val="17"/>
                <w:lang w:eastAsia="en-AU"/>
              </w:rPr>
              <w:t xml:space="preserve">As at 30 June </w:t>
            </w:r>
            <w:r w:rsidR="00271540" w:rsidRPr="00271540">
              <w:rPr>
                <w:sz w:val="17"/>
                <w:szCs w:val="17"/>
              </w:rPr>
              <w:fldChar w:fldCharType="begin"/>
            </w:r>
            <w:r w:rsidR="00271540" w:rsidRPr="00271540">
              <w:rPr>
                <w:sz w:val="17"/>
                <w:szCs w:val="17"/>
              </w:rPr>
              <w:instrText>DOCPROPERTY  YearCurrent \* MERGEFORMAT</w:instrText>
            </w:r>
            <w:r w:rsidR="00271540" w:rsidRPr="00271540">
              <w:rPr>
                <w:sz w:val="17"/>
                <w:szCs w:val="17"/>
              </w:rPr>
              <w:fldChar w:fldCharType="separate"/>
            </w:r>
            <w:r w:rsidR="00271540" w:rsidRPr="00271540">
              <w:rPr>
                <w:sz w:val="17"/>
                <w:szCs w:val="17"/>
              </w:rPr>
              <w:t>20X2</w:t>
            </w:r>
            <w:r w:rsidR="00271540" w:rsidRPr="00271540">
              <w:rPr>
                <w:sz w:val="17"/>
                <w:szCs w:val="17"/>
              </w:rPr>
              <w:fldChar w:fldCharType="end"/>
            </w:r>
          </w:p>
        </w:tc>
        <w:tc>
          <w:tcPr>
            <w:tcW w:w="1276" w:type="dxa"/>
            <w:tcBorders>
              <w:top w:val="nil"/>
              <w:left w:val="nil"/>
              <w:bottom w:val="nil"/>
              <w:right w:val="nil"/>
            </w:tcBorders>
            <w:shd w:val="clear" w:color="auto" w:fill="000000" w:themeFill="text1"/>
            <w:vAlign w:val="center"/>
            <w:hideMark/>
          </w:tcPr>
          <w:p w14:paraId="11FA1459" w14:textId="2FA24CB6" w:rsidR="007A66B0" w:rsidRPr="0027154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271540">
              <w:rPr>
                <w:rFonts w:ascii="Arial" w:eastAsia="Times New Roman" w:hAnsi="Arial" w:cs="Arial"/>
                <w:i/>
                <w:color w:val="FFFFFF" w:themeColor="background1"/>
                <w:sz w:val="17"/>
                <w:szCs w:val="17"/>
                <w:lang w:eastAsia="en-AU"/>
              </w:rPr>
              <w:t xml:space="preserve">As at 30 June </w:t>
            </w:r>
            <w:r w:rsidR="00271540" w:rsidRPr="00271540">
              <w:rPr>
                <w:sz w:val="17"/>
                <w:szCs w:val="17"/>
              </w:rPr>
              <w:fldChar w:fldCharType="begin"/>
            </w:r>
            <w:r w:rsidR="00271540" w:rsidRPr="00271540">
              <w:rPr>
                <w:sz w:val="17"/>
                <w:szCs w:val="17"/>
              </w:rPr>
              <w:instrText>DOCPROPERTY  YearPrevious  \* MERGEFORMAT</w:instrText>
            </w:r>
            <w:r w:rsidR="00271540" w:rsidRPr="00271540">
              <w:rPr>
                <w:sz w:val="17"/>
                <w:szCs w:val="17"/>
              </w:rPr>
              <w:fldChar w:fldCharType="separate"/>
            </w:r>
            <w:r w:rsidR="00271540" w:rsidRPr="00271540">
              <w:rPr>
                <w:sz w:val="17"/>
                <w:szCs w:val="17"/>
                <w:lang w:val="en-US"/>
              </w:rPr>
              <w:t>20X1</w:t>
            </w:r>
            <w:r w:rsidR="00271540" w:rsidRPr="00271540">
              <w:rPr>
                <w:sz w:val="17"/>
                <w:szCs w:val="17"/>
              </w:rPr>
              <w:fldChar w:fldCharType="end"/>
            </w:r>
            <w:r w:rsidRPr="00271540">
              <w:rPr>
                <w:rFonts w:ascii="Arial" w:eastAsia="Times New Roman" w:hAnsi="Arial" w:cs="Arial"/>
                <w:i/>
                <w:color w:val="FFFFFF" w:themeColor="background1"/>
                <w:sz w:val="17"/>
                <w:szCs w:val="17"/>
                <w:lang w:eastAsia="en-AU"/>
              </w:rPr>
              <w:t xml:space="preserve"> (restated)</w:t>
            </w:r>
          </w:p>
        </w:tc>
        <w:tc>
          <w:tcPr>
            <w:tcW w:w="1276" w:type="dxa"/>
            <w:tcBorders>
              <w:top w:val="nil"/>
              <w:left w:val="nil"/>
              <w:bottom w:val="nil"/>
              <w:right w:val="nil"/>
            </w:tcBorders>
            <w:shd w:val="clear" w:color="auto" w:fill="000000" w:themeFill="text1"/>
            <w:vAlign w:val="center"/>
            <w:hideMark/>
          </w:tcPr>
          <w:p w14:paraId="41EB4EC8" w14:textId="6FE5EBC5" w:rsidR="007A66B0" w:rsidRPr="0027154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271540">
              <w:rPr>
                <w:rFonts w:ascii="Arial" w:eastAsia="Times New Roman" w:hAnsi="Arial" w:cs="Arial"/>
                <w:i/>
                <w:iCs/>
                <w:color w:val="FFFFFF"/>
                <w:sz w:val="17"/>
                <w:szCs w:val="17"/>
                <w:lang w:eastAsia="en-AU"/>
              </w:rPr>
              <w:t>Consolidation of Innovation Victoria (100% owned)</w:t>
            </w:r>
          </w:p>
        </w:tc>
        <w:tc>
          <w:tcPr>
            <w:tcW w:w="1134" w:type="dxa"/>
            <w:tcBorders>
              <w:top w:val="nil"/>
              <w:left w:val="nil"/>
              <w:bottom w:val="nil"/>
              <w:right w:val="nil"/>
            </w:tcBorders>
            <w:shd w:val="clear" w:color="auto" w:fill="000000" w:themeFill="text1"/>
            <w:vAlign w:val="center"/>
            <w:hideMark/>
          </w:tcPr>
          <w:p w14:paraId="7B3A2E30" w14:textId="746471AA" w:rsidR="007A66B0" w:rsidRPr="0027154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271540">
              <w:rPr>
                <w:rFonts w:ascii="Arial" w:eastAsia="Times New Roman" w:hAnsi="Arial" w:cs="Arial"/>
                <w:i/>
                <w:color w:val="FFFFFF" w:themeColor="background1"/>
                <w:sz w:val="17"/>
                <w:szCs w:val="17"/>
                <w:lang w:eastAsia="en-AU"/>
              </w:rPr>
              <w:t>As at 30</w:t>
            </w:r>
            <w:r w:rsidR="00271540" w:rsidRPr="00271540">
              <w:rPr>
                <w:rFonts w:ascii="Arial" w:eastAsia="Times New Roman" w:hAnsi="Arial" w:cs="Arial"/>
                <w:i/>
                <w:color w:val="FFFFFF" w:themeColor="background1"/>
                <w:sz w:val="17"/>
                <w:szCs w:val="17"/>
                <w:lang w:eastAsia="en-AU"/>
              </w:rPr>
              <w:t> </w:t>
            </w:r>
            <w:r w:rsidRPr="00271540">
              <w:rPr>
                <w:rFonts w:ascii="Arial" w:eastAsia="Times New Roman" w:hAnsi="Arial" w:cs="Arial"/>
                <w:i/>
                <w:color w:val="FFFFFF" w:themeColor="background1"/>
                <w:sz w:val="17"/>
                <w:szCs w:val="17"/>
                <w:lang w:eastAsia="en-AU"/>
              </w:rPr>
              <w:t xml:space="preserve">June </w:t>
            </w:r>
            <w:r w:rsidR="00271540" w:rsidRPr="00271540">
              <w:rPr>
                <w:sz w:val="17"/>
                <w:szCs w:val="17"/>
              </w:rPr>
              <w:fldChar w:fldCharType="begin"/>
            </w:r>
            <w:r w:rsidR="00271540" w:rsidRPr="00271540">
              <w:rPr>
                <w:sz w:val="17"/>
                <w:szCs w:val="17"/>
              </w:rPr>
              <w:instrText>DOCPROPERTY  YearPrevious  \* MERGEFORMAT</w:instrText>
            </w:r>
            <w:r w:rsidR="00271540" w:rsidRPr="00271540">
              <w:rPr>
                <w:sz w:val="17"/>
                <w:szCs w:val="17"/>
              </w:rPr>
              <w:fldChar w:fldCharType="separate"/>
            </w:r>
            <w:r w:rsidR="00271540" w:rsidRPr="00271540">
              <w:rPr>
                <w:sz w:val="17"/>
                <w:szCs w:val="17"/>
                <w:lang w:val="en-US"/>
              </w:rPr>
              <w:t>20X1</w:t>
            </w:r>
            <w:r w:rsidR="00271540" w:rsidRPr="00271540">
              <w:rPr>
                <w:sz w:val="17"/>
                <w:szCs w:val="17"/>
              </w:rPr>
              <w:fldChar w:fldCharType="end"/>
            </w:r>
            <w:r w:rsidRPr="00271540">
              <w:rPr>
                <w:rFonts w:ascii="Arial" w:eastAsia="Times New Roman" w:hAnsi="Arial" w:cs="Arial"/>
                <w:i/>
                <w:color w:val="FFFFFF" w:themeColor="background1"/>
                <w:sz w:val="17"/>
                <w:szCs w:val="17"/>
                <w:lang w:eastAsia="en-AU"/>
              </w:rPr>
              <w:t xml:space="preserve"> (as previously reported)</w:t>
            </w:r>
          </w:p>
        </w:tc>
      </w:tr>
      <w:tr w:rsidR="007A5D40" w:rsidRPr="007A66B0" w14:paraId="588530DD" w14:textId="77777777" w:rsidTr="007A66B0">
        <w:trPr>
          <w:trHeight w:val="900"/>
        </w:trPr>
        <w:tc>
          <w:tcPr>
            <w:tcW w:w="4536" w:type="dxa"/>
            <w:tcBorders>
              <w:top w:val="nil"/>
              <w:left w:val="nil"/>
              <w:bottom w:val="nil"/>
              <w:right w:val="nil"/>
            </w:tcBorders>
            <w:shd w:val="clear" w:color="auto" w:fill="auto"/>
            <w:noWrap/>
            <w:vAlign w:val="center"/>
            <w:hideMark/>
          </w:tcPr>
          <w:p w14:paraId="750C8B6D" w14:textId="09899E2A" w:rsidR="007A66B0" w:rsidRPr="007A66B0" w:rsidRDefault="007A66B0" w:rsidP="007A66B0">
            <w:pPr>
              <w:keepLines w:val="0"/>
              <w:spacing w:before="0" w:after="0" w:line="240" w:lineRule="auto"/>
              <w:rPr>
                <w:rFonts w:ascii="Arial" w:eastAsia="Times New Roman" w:hAnsi="Arial" w:cs="Arial"/>
                <w:color w:val="FFFFFF"/>
                <w:sz w:val="17"/>
                <w:szCs w:val="17"/>
                <w:lang w:eastAsia="en-AU"/>
              </w:rPr>
            </w:pPr>
            <w:r w:rsidRPr="007A66B0">
              <w:rPr>
                <w:rFonts w:ascii="Arial" w:eastAsia="Times New Roman" w:hAnsi="Arial" w:cs="Arial"/>
                <w:color w:val="000000"/>
                <w:sz w:val="17"/>
                <w:szCs w:val="17"/>
                <w:lang w:eastAsia="en-AU"/>
              </w:rPr>
              <w:t>Receipts from government</w:t>
            </w:r>
          </w:p>
        </w:tc>
        <w:tc>
          <w:tcPr>
            <w:tcW w:w="1276" w:type="dxa"/>
            <w:tcBorders>
              <w:top w:val="nil"/>
              <w:left w:val="nil"/>
              <w:bottom w:val="nil"/>
              <w:right w:val="nil"/>
            </w:tcBorders>
            <w:shd w:val="clear" w:color="auto" w:fill="auto"/>
            <w:vAlign w:val="center"/>
            <w:hideMark/>
          </w:tcPr>
          <w:p w14:paraId="7D4DCD3B" w14:textId="3AD55936"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78 344</w:t>
            </w:r>
          </w:p>
        </w:tc>
        <w:tc>
          <w:tcPr>
            <w:tcW w:w="1276" w:type="dxa"/>
            <w:tcBorders>
              <w:top w:val="nil"/>
              <w:left w:val="nil"/>
              <w:bottom w:val="nil"/>
              <w:right w:val="nil"/>
            </w:tcBorders>
            <w:shd w:val="clear" w:color="auto" w:fill="auto"/>
            <w:vAlign w:val="center"/>
            <w:hideMark/>
          </w:tcPr>
          <w:p w14:paraId="2CC75249" w14:textId="28C347A9"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87 135</w:t>
            </w:r>
          </w:p>
        </w:tc>
        <w:tc>
          <w:tcPr>
            <w:tcW w:w="1276" w:type="dxa"/>
            <w:tcBorders>
              <w:top w:val="nil"/>
              <w:left w:val="nil"/>
              <w:bottom w:val="nil"/>
              <w:right w:val="nil"/>
            </w:tcBorders>
            <w:shd w:val="clear" w:color="auto" w:fill="auto"/>
            <w:vAlign w:val="center"/>
            <w:hideMark/>
          </w:tcPr>
          <w:p w14:paraId="75AC8C1D" w14:textId="6055E91A"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(500)</w:t>
            </w:r>
          </w:p>
        </w:tc>
        <w:tc>
          <w:tcPr>
            <w:tcW w:w="1134" w:type="dxa"/>
            <w:tcBorders>
              <w:top w:val="nil"/>
              <w:left w:val="nil"/>
              <w:bottom w:val="nil"/>
              <w:right w:val="nil"/>
            </w:tcBorders>
            <w:shd w:val="clear" w:color="auto" w:fill="auto"/>
            <w:vAlign w:val="center"/>
            <w:hideMark/>
          </w:tcPr>
          <w:p w14:paraId="77882D51" w14:textId="426833A2" w:rsidR="007A66B0" w:rsidRPr="007A66B0" w:rsidRDefault="006F2291" w:rsidP="007A66B0">
            <w:pPr>
              <w:keepLines w:val="0"/>
              <w:spacing w:before="0" w:after="0" w:line="240" w:lineRule="auto"/>
              <w:jc w:val="right"/>
              <w:rPr>
                <w:rFonts w:ascii="Arial" w:eastAsia="Times New Roman" w:hAnsi="Arial" w:cs="Arial"/>
                <w:i/>
                <w:iCs/>
                <w:color w:val="FFFFFF"/>
                <w:sz w:val="17"/>
                <w:szCs w:val="17"/>
                <w:lang w:eastAsia="en-AU"/>
              </w:rPr>
            </w:pPr>
            <w:r>
              <w:rPr>
                <w:rFonts w:ascii="Arial" w:eastAsia="Times New Roman" w:hAnsi="Arial" w:cs="Arial"/>
                <w:color w:val="000000"/>
                <w:sz w:val="17"/>
                <w:szCs w:val="17"/>
                <w:lang w:eastAsia="en-AU"/>
              </w:rPr>
              <w:t>87</w:t>
            </w:r>
            <w:r w:rsidR="007A66B0" w:rsidRPr="007A66B0">
              <w:rPr>
                <w:rFonts w:ascii="Arial" w:eastAsia="Times New Roman" w:hAnsi="Arial" w:cs="Arial"/>
                <w:color w:val="000000"/>
                <w:sz w:val="17"/>
                <w:szCs w:val="17"/>
                <w:lang w:eastAsia="en-AU"/>
              </w:rPr>
              <w:t xml:space="preserve"> </w:t>
            </w:r>
            <w:r>
              <w:rPr>
                <w:rFonts w:ascii="Arial" w:eastAsia="Times New Roman" w:hAnsi="Arial" w:cs="Arial"/>
                <w:color w:val="000000"/>
                <w:sz w:val="17"/>
                <w:szCs w:val="17"/>
                <w:lang w:eastAsia="en-AU"/>
              </w:rPr>
              <w:t>6</w:t>
            </w:r>
            <w:r w:rsidR="007A66B0" w:rsidRPr="007A66B0">
              <w:rPr>
                <w:rFonts w:ascii="Arial" w:eastAsia="Times New Roman" w:hAnsi="Arial" w:cs="Arial"/>
                <w:color w:val="000000"/>
                <w:sz w:val="17"/>
                <w:szCs w:val="17"/>
                <w:lang w:eastAsia="en-AU"/>
              </w:rPr>
              <w:t>35</w:t>
            </w:r>
          </w:p>
        </w:tc>
      </w:tr>
      <w:tr w:rsidR="007A5D40" w:rsidRPr="007A66B0" w14:paraId="2E0EDBE2" w14:textId="77777777" w:rsidTr="007A66B0">
        <w:trPr>
          <w:trHeight w:val="285"/>
        </w:trPr>
        <w:tc>
          <w:tcPr>
            <w:tcW w:w="4536" w:type="dxa"/>
            <w:tcBorders>
              <w:top w:val="nil"/>
              <w:left w:val="nil"/>
              <w:bottom w:val="nil"/>
              <w:right w:val="nil"/>
            </w:tcBorders>
            <w:shd w:val="clear" w:color="auto" w:fill="auto"/>
            <w:noWrap/>
            <w:vAlign w:val="center"/>
            <w:hideMark/>
          </w:tcPr>
          <w:p w14:paraId="237D8B2B" w14:textId="212EC3B3" w:rsidR="007A66B0" w:rsidRPr="007A66B0" w:rsidRDefault="007A66B0" w:rsidP="007A66B0">
            <w:pPr>
              <w:keepLines w:val="0"/>
              <w:spacing w:before="0" w:after="0" w:line="240" w:lineRule="auto"/>
              <w:rPr>
                <w:rFonts w:ascii="Arial" w:eastAsia="Times New Roman" w:hAnsi="Arial" w:cs="Arial"/>
                <w:color w:val="FFFFFF"/>
                <w:sz w:val="17"/>
                <w:szCs w:val="17"/>
                <w:lang w:eastAsia="en-AU"/>
              </w:rPr>
            </w:pPr>
            <w:r w:rsidRPr="007A66B0">
              <w:rPr>
                <w:rFonts w:ascii="Arial" w:eastAsia="Times New Roman" w:hAnsi="Arial" w:cs="Arial"/>
                <w:color w:val="000000"/>
                <w:sz w:val="17"/>
                <w:szCs w:val="17"/>
                <w:lang w:eastAsia="en-AU"/>
              </w:rPr>
              <w:t>Receipts from other entities</w:t>
            </w:r>
          </w:p>
        </w:tc>
        <w:tc>
          <w:tcPr>
            <w:tcW w:w="1276" w:type="dxa"/>
            <w:tcBorders>
              <w:top w:val="nil"/>
              <w:left w:val="nil"/>
              <w:bottom w:val="nil"/>
              <w:right w:val="nil"/>
            </w:tcBorders>
            <w:shd w:val="clear" w:color="auto" w:fill="auto"/>
            <w:vAlign w:val="center"/>
            <w:hideMark/>
          </w:tcPr>
          <w:p w14:paraId="2250C717" w14:textId="67E865B4"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5 536</w:t>
            </w:r>
          </w:p>
        </w:tc>
        <w:tc>
          <w:tcPr>
            <w:tcW w:w="1276" w:type="dxa"/>
            <w:tcBorders>
              <w:top w:val="nil"/>
              <w:left w:val="nil"/>
              <w:bottom w:val="nil"/>
              <w:right w:val="nil"/>
            </w:tcBorders>
            <w:shd w:val="clear" w:color="auto" w:fill="auto"/>
            <w:vAlign w:val="center"/>
            <w:hideMark/>
          </w:tcPr>
          <w:p w14:paraId="0FF2885D" w14:textId="69A4A687"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4 373</w:t>
            </w:r>
          </w:p>
        </w:tc>
        <w:tc>
          <w:tcPr>
            <w:tcW w:w="1276" w:type="dxa"/>
            <w:tcBorders>
              <w:top w:val="nil"/>
              <w:left w:val="nil"/>
              <w:bottom w:val="nil"/>
              <w:right w:val="nil"/>
            </w:tcBorders>
            <w:shd w:val="clear" w:color="auto" w:fill="auto"/>
            <w:vAlign w:val="center"/>
            <w:hideMark/>
          </w:tcPr>
          <w:p w14:paraId="66660471" w14:textId="3DC51E52" w:rsidR="007A66B0" w:rsidRPr="007A66B0" w:rsidRDefault="007A66B0" w:rsidP="007A66B0">
            <w:pPr>
              <w:keepLines w:val="0"/>
              <w:spacing w:before="0" w:after="0" w:line="240" w:lineRule="auto"/>
              <w:jc w:val="right"/>
              <w:rPr>
                <w:rFonts w:ascii="Arial" w:eastAsia="Times New Roman" w:hAnsi="Arial" w:cs="Arial"/>
                <w:i/>
                <w:iCs/>
                <w:color w:val="FFFFFF"/>
                <w:sz w:val="17"/>
                <w:szCs w:val="17"/>
                <w:lang w:eastAsia="en-AU"/>
              </w:rPr>
            </w:pPr>
            <w:r w:rsidRPr="007A66B0">
              <w:rPr>
                <w:rFonts w:ascii="Arial" w:eastAsia="Times New Roman" w:hAnsi="Arial" w:cs="Arial"/>
                <w:color w:val="000000"/>
                <w:sz w:val="17"/>
                <w:szCs w:val="17"/>
                <w:lang w:eastAsia="en-AU"/>
              </w:rPr>
              <w:t>(1 400)</w:t>
            </w:r>
          </w:p>
        </w:tc>
        <w:tc>
          <w:tcPr>
            <w:tcW w:w="1134" w:type="dxa"/>
            <w:tcBorders>
              <w:top w:val="nil"/>
              <w:left w:val="nil"/>
              <w:bottom w:val="nil"/>
              <w:right w:val="nil"/>
            </w:tcBorders>
            <w:shd w:val="clear" w:color="auto" w:fill="auto"/>
            <w:vAlign w:val="center"/>
            <w:hideMark/>
          </w:tcPr>
          <w:p w14:paraId="72C546C7" w14:textId="18B2C4C9" w:rsidR="007A66B0" w:rsidRPr="007A66B0" w:rsidRDefault="006F2291" w:rsidP="007A66B0">
            <w:pPr>
              <w:keepLines w:val="0"/>
              <w:spacing w:before="0" w:after="0" w:line="240" w:lineRule="auto"/>
              <w:jc w:val="right"/>
              <w:rPr>
                <w:rFonts w:ascii="Arial" w:eastAsia="Times New Roman" w:hAnsi="Arial" w:cs="Arial"/>
                <w:i/>
                <w:iCs/>
                <w:color w:val="FFFFFF"/>
                <w:sz w:val="17"/>
                <w:szCs w:val="17"/>
                <w:lang w:eastAsia="en-AU"/>
              </w:rPr>
            </w:pPr>
            <w:r>
              <w:rPr>
                <w:rFonts w:ascii="Arial" w:eastAsia="Times New Roman" w:hAnsi="Arial" w:cs="Arial"/>
                <w:color w:val="000000"/>
                <w:sz w:val="17"/>
                <w:szCs w:val="17"/>
                <w:lang w:eastAsia="en-AU"/>
              </w:rPr>
              <w:t>5</w:t>
            </w:r>
            <w:r w:rsidR="007A66B0" w:rsidRPr="007A66B0">
              <w:rPr>
                <w:rFonts w:ascii="Arial" w:eastAsia="Times New Roman" w:hAnsi="Arial" w:cs="Arial"/>
                <w:color w:val="000000"/>
                <w:sz w:val="17"/>
                <w:szCs w:val="17"/>
                <w:lang w:eastAsia="en-AU"/>
              </w:rPr>
              <w:t xml:space="preserve"> </w:t>
            </w:r>
            <w:r>
              <w:rPr>
                <w:rFonts w:ascii="Arial" w:eastAsia="Times New Roman" w:hAnsi="Arial" w:cs="Arial"/>
                <w:color w:val="000000"/>
                <w:sz w:val="17"/>
                <w:szCs w:val="17"/>
                <w:lang w:eastAsia="en-AU"/>
              </w:rPr>
              <w:t>77</w:t>
            </w:r>
            <w:r w:rsidR="007A66B0" w:rsidRPr="007A66B0">
              <w:rPr>
                <w:rFonts w:ascii="Arial" w:eastAsia="Times New Roman" w:hAnsi="Arial" w:cs="Arial"/>
                <w:color w:val="000000"/>
                <w:sz w:val="17"/>
                <w:szCs w:val="17"/>
                <w:lang w:eastAsia="en-AU"/>
              </w:rPr>
              <w:t>3</w:t>
            </w:r>
          </w:p>
        </w:tc>
      </w:tr>
      <w:tr w:rsidR="007A5D40" w:rsidRPr="007A66B0" w14:paraId="61FED493" w14:textId="77777777" w:rsidTr="007A66B0">
        <w:trPr>
          <w:trHeight w:val="285"/>
        </w:trPr>
        <w:tc>
          <w:tcPr>
            <w:tcW w:w="4536" w:type="dxa"/>
            <w:tcBorders>
              <w:top w:val="nil"/>
              <w:left w:val="nil"/>
              <w:bottom w:val="nil"/>
              <w:right w:val="nil"/>
            </w:tcBorders>
            <w:shd w:val="clear" w:color="auto" w:fill="auto"/>
            <w:noWrap/>
            <w:vAlign w:val="center"/>
            <w:hideMark/>
          </w:tcPr>
          <w:p w14:paraId="4F10499B" w14:textId="3CB2E934"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Interest received</w:t>
            </w:r>
          </w:p>
        </w:tc>
        <w:tc>
          <w:tcPr>
            <w:tcW w:w="1276" w:type="dxa"/>
            <w:tcBorders>
              <w:top w:val="nil"/>
              <w:left w:val="nil"/>
              <w:bottom w:val="nil"/>
              <w:right w:val="nil"/>
            </w:tcBorders>
            <w:shd w:val="clear" w:color="auto" w:fill="auto"/>
            <w:vAlign w:val="center"/>
            <w:hideMark/>
          </w:tcPr>
          <w:p w14:paraId="3EE4A68F" w14:textId="141483EC"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1 749</w:t>
            </w:r>
          </w:p>
        </w:tc>
        <w:tc>
          <w:tcPr>
            <w:tcW w:w="1276" w:type="dxa"/>
            <w:tcBorders>
              <w:top w:val="nil"/>
              <w:left w:val="nil"/>
              <w:bottom w:val="nil"/>
              <w:right w:val="nil"/>
            </w:tcBorders>
            <w:shd w:val="clear" w:color="auto" w:fill="auto"/>
            <w:vAlign w:val="center"/>
            <w:hideMark/>
          </w:tcPr>
          <w:p w14:paraId="64D6A153" w14:textId="4797869D"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1 606</w:t>
            </w:r>
          </w:p>
        </w:tc>
        <w:tc>
          <w:tcPr>
            <w:tcW w:w="1276" w:type="dxa"/>
            <w:tcBorders>
              <w:top w:val="nil"/>
              <w:left w:val="nil"/>
              <w:bottom w:val="nil"/>
              <w:right w:val="nil"/>
            </w:tcBorders>
            <w:shd w:val="clear" w:color="auto" w:fill="auto"/>
            <w:vAlign w:val="center"/>
            <w:hideMark/>
          </w:tcPr>
          <w:p w14:paraId="18F7E424" w14:textId="68E51791"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shd w:val="clear" w:color="auto" w:fill="auto"/>
            <w:vAlign w:val="center"/>
            <w:hideMark/>
          </w:tcPr>
          <w:p w14:paraId="78F7FDA2" w14:textId="4176961F"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1 606</w:t>
            </w:r>
          </w:p>
        </w:tc>
      </w:tr>
      <w:tr w:rsidR="007A5D40" w:rsidRPr="007A66B0" w14:paraId="34B6BD1A" w14:textId="77777777" w:rsidTr="007A66B0">
        <w:trPr>
          <w:trHeight w:val="285"/>
        </w:trPr>
        <w:tc>
          <w:tcPr>
            <w:tcW w:w="4536" w:type="dxa"/>
            <w:tcBorders>
              <w:top w:val="nil"/>
              <w:left w:val="nil"/>
              <w:bottom w:val="nil"/>
              <w:right w:val="nil"/>
            </w:tcBorders>
            <w:shd w:val="clear" w:color="auto" w:fill="auto"/>
            <w:noWrap/>
            <w:vAlign w:val="center"/>
            <w:hideMark/>
          </w:tcPr>
          <w:p w14:paraId="54CA6D96" w14:textId="67D48C75"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Dividends received</w:t>
            </w:r>
          </w:p>
        </w:tc>
        <w:tc>
          <w:tcPr>
            <w:tcW w:w="1276" w:type="dxa"/>
            <w:tcBorders>
              <w:top w:val="nil"/>
              <w:left w:val="nil"/>
              <w:bottom w:val="nil"/>
              <w:right w:val="nil"/>
            </w:tcBorders>
            <w:shd w:val="clear" w:color="auto" w:fill="auto"/>
            <w:vAlign w:val="center"/>
            <w:hideMark/>
          </w:tcPr>
          <w:p w14:paraId="74DAF858" w14:textId="60BEDBAB"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1 698</w:t>
            </w:r>
          </w:p>
        </w:tc>
        <w:tc>
          <w:tcPr>
            <w:tcW w:w="1276" w:type="dxa"/>
            <w:tcBorders>
              <w:top w:val="nil"/>
              <w:left w:val="nil"/>
              <w:bottom w:val="nil"/>
              <w:right w:val="nil"/>
            </w:tcBorders>
            <w:shd w:val="clear" w:color="auto" w:fill="auto"/>
            <w:vAlign w:val="center"/>
            <w:hideMark/>
          </w:tcPr>
          <w:p w14:paraId="0F76348B" w14:textId="7356B842"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1 611</w:t>
            </w:r>
          </w:p>
        </w:tc>
        <w:tc>
          <w:tcPr>
            <w:tcW w:w="1276" w:type="dxa"/>
            <w:tcBorders>
              <w:top w:val="nil"/>
              <w:left w:val="nil"/>
              <w:bottom w:val="nil"/>
              <w:right w:val="nil"/>
            </w:tcBorders>
            <w:shd w:val="clear" w:color="auto" w:fill="auto"/>
            <w:vAlign w:val="center"/>
            <w:hideMark/>
          </w:tcPr>
          <w:p w14:paraId="44CA739D" w14:textId="31D828BD"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shd w:val="clear" w:color="auto" w:fill="auto"/>
            <w:vAlign w:val="center"/>
            <w:hideMark/>
          </w:tcPr>
          <w:p w14:paraId="25C233F1" w14:textId="25AB865F"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1 611</w:t>
            </w:r>
          </w:p>
        </w:tc>
      </w:tr>
      <w:tr w:rsidR="007A5D40" w:rsidRPr="007A66B0" w14:paraId="10F7C757" w14:textId="77777777" w:rsidTr="46DFB224">
        <w:trPr>
          <w:trHeight w:val="285"/>
        </w:trPr>
        <w:tc>
          <w:tcPr>
            <w:tcW w:w="4536" w:type="dxa"/>
            <w:tcBorders>
              <w:top w:val="nil"/>
              <w:left w:val="nil"/>
              <w:bottom w:val="single" w:sz="8" w:space="0" w:color="000000" w:themeColor="text1"/>
              <w:right w:val="nil"/>
            </w:tcBorders>
            <w:shd w:val="clear" w:color="auto" w:fill="auto"/>
            <w:noWrap/>
            <w:vAlign w:val="center"/>
            <w:hideMark/>
          </w:tcPr>
          <w:p w14:paraId="4D1ED425" w14:textId="27BE6EA8"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Other receipts</w:t>
            </w:r>
          </w:p>
        </w:tc>
        <w:tc>
          <w:tcPr>
            <w:tcW w:w="1276" w:type="dxa"/>
            <w:tcBorders>
              <w:top w:val="nil"/>
              <w:left w:val="nil"/>
              <w:bottom w:val="single" w:sz="8" w:space="0" w:color="000000" w:themeColor="text1"/>
              <w:right w:val="nil"/>
            </w:tcBorders>
            <w:shd w:val="clear" w:color="auto" w:fill="auto"/>
            <w:vAlign w:val="center"/>
            <w:hideMark/>
          </w:tcPr>
          <w:p w14:paraId="32BD739F" w14:textId="75F99E18"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 xml:space="preserve"> 516</w:t>
            </w:r>
          </w:p>
        </w:tc>
        <w:tc>
          <w:tcPr>
            <w:tcW w:w="1276" w:type="dxa"/>
            <w:tcBorders>
              <w:top w:val="nil"/>
              <w:left w:val="nil"/>
              <w:bottom w:val="single" w:sz="8" w:space="0" w:color="000000" w:themeColor="text1"/>
              <w:right w:val="nil"/>
            </w:tcBorders>
            <w:shd w:val="clear" w:color="auto" w:fill="auto"/>
            <w:vAlign w:val="center"/>
            <w:hideMark/>
          </w:tcPr>
          <w:p w14:paraId="29096EFC" w14:textId="2FB30037"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 xml:space="preserve"> 262</w:t>
            </w:r>
          </w:p>
        </w:tc>
        <w:tc>
          <w:tcPr>
            <w:tcW w:w="1276" w:type="dxa"/>
            <w:tcBorders>
              <w:top w:val="nil"/>
              <w:left w:val="nil"/>
              <w:bottom w:val="single" w:sz="8" w:space="0" w:color="000000" w:themeColor="text1"/>
              <w:right w:val="nil"/>
            </w:tcBorders>
            <w:shd w:val="clear" w:color="auto" w:fill="auto"/>
            <w:vAlign w:val="center"/>
            <w:hideMark/>
          </w:tcPr>
          <w:p w14:paraId="69F37350" w14:textId="2B2CE318"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single" w:sz="8" w:space="0" w:color="000000" w:themeColor="text1"/>
              <w:right w:val="nil"/>
            </w:tcBorders>
            <w:shd w:val="clear" w:color="auto" w:fill="auto"/>
            <w:vAlign w:val="center"/>
            <w:hideMark/>
          </w:tcPr>
          <w:p w14:paraId="3B9BC5FD" w14:textId="47F6CEF5"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 xml:space="preserve"> 262</w:t>
            </w:r>
          </w:p>
        </w:tc>
      </w:tr>
      <w:tr w:rsidR="007A5D40" w:rsidRPr="007A66B0" w14:paraId="42696B0A" w14:textId="77777777" w:rsidTr="46DFB224">
        <w:trPr>
          <w:trHeight w:val="285"/>
        </w:trPr>
        <w:tc>
          <w:tcPr>
            <w:tcW w:w="4536" w:type="dxa"/>
            <w:tcBorders>
              <w:top w:val="nil"/>
              <w:left w:val="nil"/>
              <w:bottom w:val="single" w:sz="8" w:space="0" w:color="000000" w:themeColor="text1"/>
              <w:right w:val="nil"/>
            </w:tcBorders>
            <w:shd w:val="clear" w:color="auto" w:fill="auto"/>
            <w:noWrap/>
            <w:vAlign w:val="center"/>
            <w:hideMark/>
          </w:tcPr>
          <w:p w14:paraId="4E175DC0" w14:textId="42C2233E"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Total receipts</w:t>
            </w:r>
          </w:p>
        </w:tc>
        <w:tc>
          <w:tcPr>
            <w:tcW w:w="1276" w:type="dxa"/>
            <w:tcBorders>
              <w:top w:val="nil"/>
              <w:left w:val="nil"/>
              <w:bottom w:val="single" w:sz="8" w:space="0" w:color="000000" w:themeColor="text1"/>
              <w:right w:val="nil"/>
            </w:tcBorders>
            <w:shd w:val="clear" w:color="auto" w:fill="auto"/>
            <w:vAlign w:val="center"/>
            <w:hideMark/>
          </w:tcPr>
          <w:p w14:paraId="71746597" w14:textId="14B727FF"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87 843</w:t>
            </w:r>
          </w:p>
        </w:tc>
        <w:tc>
          <w:tcPr>
            <w:tcW w:w="1276" w:type="dxa"/>
            <w:tcBorders>
              <w:top w:val="nil"/>
              <w:left w:val="nil"/>
              <w:bottom w:val="single" w:sz="8" w:space="0" w:color="000000" w:themeColor="text1"/>
              <w:right w:val="nil"/>
            </w:tcBorders>
            <w:shd w:val="clear" w:color="auto" w:fill="auto"/>
            <w:vAlign w:val="center"/>
            <w:hideMark/>
          </w:tcPr>
          <w:p w14:paraId="196A3FB4" w14:textId="22FE2784"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94 987</w:t>
            </w:r>
          </w:p>
        </w:tc>
        <w:tc>
          <w:tcPr>
            <w:tcW w:w="1276" w:type="dxa"/>
            <w:tcBorders>
              <w:top w:val="nil"/>
              <w:left w:val="nil"/>
              <w:bottom w:val="single" w:sz="8" w:space="0" w:color="000000" w:themeColor="text1"/>
              <w:right w:val="nil"/>
            </w:tcBorders>
            <w:shd w:val="clear" w:color="auto" w:fill="auto"/>
            <w:vAlign w:val="center"/>
            <w:hideMark/>
          </w:tcPr>
          <w:p w14:paraId="1C1A9AF5" w14:textId="7F77C520"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(1 900)</w:t>
            </w:r>
          </w:p>
        </w:tc>
        <w:tc>
          <w:tcPr>
            <w:tcW w:w="1134" w:type="dxa"/>
            <w:tcBorders>
              <w:top w:val="nil"/>
              <w:left w:val="nil"/>
              <w:bottom w:val="single" w:sz="8" w:space="0" w:color="000000" w:themeColor="text1"/>
              <w:right w:val="nil"/>
            </w:tcBorders>
            <w:shd w:val="clear" w:color="auto" w:fill="auto"/>
            <w:vAlign w:val="center"/>
            <w:hideMark/>
          </w:tcPr>
          <w:p w14:paraId="43B7762E" w14:textId="72BE6737" w:rsidR="007A66B0" w:rsidRPr="007A66B0" w:rsidRDefault="006F2291" w:rsidP="007A66B0">
            <w:pPr>
              <w:keepLines w:val="0"/>
              <w:spacing w:before="0" w:after="0" w:line="240" w:lineRule="auto"/>
              <w:jc w:val="right"/>
              <w:rPr>
                <w:rFonts w:ascii="Arial" w:eastAsia="Times New Roman" w:hAnsi="Arial" w:cs="Arial"/>
                <w:color w:val="000000"/>
                <w:sz w:val="17"/>
                <w:szCs w:val="17"/>
                <w:lang w:eastAsia="en-AU"/>
              </w:rPr>
            </w:pPr>
            <w:r>
              <w:rPr>
                <w:rFonts w:ascii="Arial" w:eastAsia="Times New Roman" w:hAnsi="Arial" w:cs="Arial"/>
                <w:b/>
                <w:bCs/>
                <w:color w:val="000000"/>
                <w:sz w:val="17"/>
                <w:szCs w:val="17"/>
                <w:lang w:eastAsia="en-AU"/>
              </w:rPr>
              <w:t>96</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8</w:t>
            </w:r>
            <w:r w:rsidR="007A66B0" w:rsidRPr="007A66B0">
              <w:rPr>
                <w:rFonts w:ascii="Arial" w:eastAsia="Times New Roman" w:hAnsi="Arial" w:cs="Arial"/>
                <w:b/>
                <w:bCs/>
                <w:color w:val="000000"/>
                <w:sz w:val="17"/>
                <w:szCs w:val="17"/>
                <w:lang w:eastAsia="en-AU"/>
              </w:rPr>
              <w:t>87</w:t>
            </w:r>
          </w:p>
        </w:tc>
      </w:tr>
      <w:tr w:rsidR="007A5D40" w:rsidRPr="007A66B0" w14:paraId="4F45C14C" w14:textId="77777777" w:rsidTr="007A66B0">
        <w:trPr>
          <w:trHeight w:val="293"/>
        </w:trPr>
        <w:tc>
          <w:tcPr>
            <w:tcW w:w="4536" w:type="dxa"/>
            <w:tcBorders>
              <w:top w:val="nil"/>
              <w:left w:val="nil"/>
              <w:bottom w:val="nil"/>
              <w:right w:val="nil"/>
            </w:tcBorders>
            <w:shd w:val="clear" w:color="auto" w:fill="auto"/>
            <w:noWrap/>
            <w:vAlign w:val="center"/>
            <w:hideMark/>
          </w:tcPr>
          <w:p w14:paraId="072FD8F3" w14:textId="7920B473"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Payments of grants and other transfers</w:t>
            </w:r>
          </w:p>
        </w:tc>
        <w:tc>
          <w:tcPr>
            <w:tcW w:w="1276" w:type="dxa"/>
            <w:tcBorders>
              <w:top w:val="nil"/>
              <w:left w:val="nil"/>
              <w:bottom w:val="nil"/>
              <w:right w:val="nil"/>
            </w:tcBorders>
            <w:shd w:val="clear" w:color="auto" w:fill="auto"/>
            <w:vAlign w:val="center"/>
            <w:hideMark/>
          </w:tcPr>
          <w:p w14:paraId="51A2978D" w14:textId="7BB8266A"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(36 227)</w:t>
            </w:r>
          </w:p>
        </w:tc>
        <w:tc>
          <w:tcPr>
            <w:tcW w:w="1276" w:type="dxa"/>
            <w:tcBorders>
              <w:top w:val="nil"/>
              <w:left w:val="nil"/>
              <w:bottom w:val="nil"/>
              <w:right w:val="nil"/>
            </w:tcBorders>
            <w:shd w:val="clear" w:color="auto" w:fill="auto"/>
            <w:vAlign w:val="center"/>
            <w:hideMark/>
          </w:tcPr>
          <w:p w14:paraId="659CDBAE" w14:textId="303D8336"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(47 011)</w:t>
            </w:r>
          </w:p>
        </w:tc>
        <w:tc>
          <w:tcPr>
            <w:tcW w:w="1276" w:type="dxa"/>
            <w:tcBorders>
              <w:top w:val="nil"/>
              <w:left w:val="nil"/>
              <w:bottom w:val="nil"/>
              <w:right w:val="nil"/>
            </w:tcBorders>
            <w:shd w:val="clear" w:color="auto" w:fill="auto"/>
            <w:vAlign w:val="center"/>
            <w:hideMark/>
          </w:tcPr>
          <w:p w14:paraId="4DA48BC9" w14:textId="10809059"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shd w:val="clear" w:color="auto" w:fill="auto"/>
            <w:vAlign w:val="center"/>
            <w:hideMark/>
          </w:tcPr>
          <w:p w14:paraId="3C93753D" w14:textId="22297580"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(47 011)</w:t>
            </w:r>
          </w:p>
        </w:tc>
      </w:tr>
      <w:tr w:rsidR="007A5D40" w:rsidRPr="007A66B0" w14:paraId="4ADB5444" w14:textId="77777777" w:rsidTr="007A66B0">
        <w:trPr>
          <w:trHeight w:val="293"/>
        </w:trPr>
        <w:tc>
          <w:tcPr>
            <w:tcW w:w="4536" w:type="dxa"/>
            <w:tcBorders>
              <w:top w:val="nil"/>
              <w:left w:val="nil"/>
              <w:bottom w:val="nil"/>
              <w:right w:val="nil"/>
            </w:tcBorders>
            <w:shd w:val="clear" w:color="auto" w:fill="auto"/>
            <w:noWrap/>
            <w:vAlign w:val="center"/>
            <w:hideMark/>
          </w:tcPr>
          <w:p w14:paraId="6A9E9A6F" w14:textId="6C6DE7B8"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Payments to suppliers and employees</w:t>
            </w:r>
          </w:p>
        </w:tc>
        <w:tc>
          <w:tcPr>
            <w:tcW w:w="1276" w:type="dxa"/>
            <w:tcBorders>
              <w:top w:val="nil"/>
              <w:left w:val="nil"/>
              <w:bottom w:val="nil"/>
              <w:right w:val="nil"/>
            </w:tcBorders>
            <w:shd w:val="clear" w:color="auto" w:fill="auto"/>
            <w:vAlign w:val="center"/>
            <w:hideMark/>
          </w:tcPr>
          <w:p w14:paraId="61977BCD" w14:textId="1C065475"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(22 979)</w:t>
            </w:r>
          </w:p>
        </w:tc>
        <w:tc>
          <w:tcPr>
            <w:tcW w:w="1276" w:type="dxa"/>
            <w:tcBorders>
              <w:top w:val="nil"/>
              <w:left w:val="nil"/>
              <w:bottom w:val="nil"/>
              <w:right w:val="nil"/>
            </w:tcBorders>
            <w:shd w:val="clear" w:color="auto" w:fill="auto"/>
            <w:vAlign w:val="center"/>
            <w:hideMark/>
          </w:tcPr>
          <w:p w14:paraId="0B754942" w14:textId="4E8C4815"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(19 167)</w:t>
            </w:r>
          </w:p>
        </w:tc>
        <w:tc>
          <w:tcPr>
            <w:tcW w:w="1276" w:type="dxa"/>
            <w:tcBorders>
              <w:top w:val="nil"/>
              <w:left w:val="nil"/>
              <w:bottom w:val="nil"/>
              <w:right w:val="nil"/>
            </w:tcBorders>
            <w:shd w:val="clear" w:color="auto" w:fill="auto"/>
            <w:vAlign w:val="center"/>
            <w:hideMark/>
          </w:tcPr>
          <w:p w14:paraId="2D881E07" w14:textId="46C144FF"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(1 500)</w:t>
            </w:r>
          </w:p>
        </w:tc>
        <w:tc>
          <w:tcPr>
            <w:tcW w:w="1134" w:type="dxa"/>
            <w:tcBorders>
              <w:top w:val="nil"/>
              <w:left w:val="nil"/>
              <w:bottom w:val="nil"/>
              <w:right w:val="nil"/>
            </w:tcBorders>
            <w:shd w:val="clear" w:color="auto" w:fill="auto"/>
            <w:vAlign w:val="center"/>
            <w:hideMark/>
          </w:tcPr>
          <w:p w14:paraId="59F4BD18" w14:textId="09E74F08"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(19 792)</w:t>
            </w:r>
          </w:p>
        </w:tc>
      </w:tr>
      <w:tr w:rsidR="007A5D40" w:rsidRPr="007A66B0" w14:paraId="5EA33FFA" w14:textId="77777777" w:rsidTr="007A66B0">
        <w:trPr>
          <w:trHeight w:val="285"/>
        </w:trPr>
        <w:tc>
          <w:tcPr>
            <w:tcW w:w="4536" w:type="dxa"/>
            <w:tcBorders>
              <w:top w:val="nil"/>
              <w:left w:val="nil"/>
              <w:bottom w:val="nil"/>
              <w:right w:val="nil"/>
            </w:tcBorders>
            <w:shd w:val="clear" w:color="auto" w:fill="auto"/>
            <w:noWrap/>
            <w:vAlign w:val="center"/>
            <w:hideMark/>
          </w:tcPr>
          <w:p w14:paraId="38EEFE20" w14:textId="7B61A019"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GST paid to the ATO</w:t>
            </w:r>
          </w:p>
        </w:tc>
        <w:tc>
          <w:tcPr>
            <w:tcW w:w="1276" w:type="dxa"/>
            <w:tcBorders>
              <w:top w:val="nil"/>
              <w:left w:val="nil"/>
              <w:bottom w:val="nil"/>
              <w:right w:val="nil"/>
            </w:tcBorders>
            <w:shd w:val="clear" w:color="auto" w:fill="auto"/>
            <w:vAlign w:val="center"/>
            <w:hideMark/>
          </w:tcPr>
          <w:p w14:paraId="4397E026" w14:textId="402DFB2E"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(3 055)</w:t>
            </w:r>
          </w:p>
        </w:tc>
        <w:tc>
          <w:tcPr>
            <w:tcW w:w="1276" w:type="dxa"/>
            <w:tcBorders>
              <w:top w:val="nil"/>
              <w:left w:val="nil"/>
              <w:bottom w:val="nil"/>
              <w:right w:val="nil"/>
            </w:tcBorders>
            <w:shd w:val="clear" w:color="auto" w:fill="auto"/>
            <w:vAlign w:val="center"/>
            <w:hideMark/>
          </w:tcPr>
          <w:p w14:paraId="347EF96E" w14:textId="79BA599A"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(3 497)</w:t>
            </w:r>
          </w:p>
        </w:tc>
        <w:tc>
          <w:tcPr>
            <w:tcW w:w="1276" w:type="dxa"/>
            <w:tcBorders>
              <w:top w:val="nil"/>
              <w:left w:val="nil"/>
              <w:bottom w:val="nil"/>
              <w:right w:val="nil"/>
            </w:tcBorders>
            <w:shd w:val="clear" w:color="auto" w:fill="auto"/>
            <w:vAlign w:val="center"/>
            <w:hideMark/>
          </w:tcPr>
          <w:p w14:paraId="0633D2D2" w14:textId="5C92D1EF"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shd w:val="clear" w:color="auto" w:fill="auto"/>
            <w:vAlign w:val="center"/>
            <w:hideMark/>
          </w:tcPr>
          <w:p w14:paraId="0D2B7E4F" w14:textId="3AC80238"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(3 497)</w:t>
            </w:r>
          </w:p>
        </w:tc>
      </w:tr>
      <w:tr w:rsidR="007A5D40" w:rsidRPr="007A66B0" w14:paraId="7C589D8A" w14:textId="77777777" w:rsidTr="007A66B0">
        <w:trPr>
          <w:trHeight w:val="285"/>
        </w:trPr>
        <w:tc>
          <w:tcPr>
            <w:tcW w:w="4536" w:type="dxa"/>
            <w:tcBorders>
              <w:top w:val="nil"/>
              <w:left w:val="nil"/>
              <w:bottom w:val="nil"/>
              <w:right w:val="nil"/>
            </w:tcBorders>
            <w:shd w:val="clear" w:color="auto" w:fill="auto"/>
            <w:noWrap/>
            <w:vAlign w:val="center"/>
            <w:hideMark/>
          </w:tcPr>
          <w:p w14:paraId="0F7CDF4E" w14:textId="66FEBAB1"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Interest and other costs of finance paid</w:t>
            </w:r>
          </w:p>
        </w:tc>
        <w:tc>
          <w:tcPr>
            <w:tcW w:w="1276" w:type="dxa"/>
            <w:tcBorders>
              <w:top w:val="nil"/>
              <w:left w:val="nil"/>
              <w:bottom w:val="nil"/>
              <w:right w:val="nil"/>
            </w:tcBorders>
            <w:shd w:val="clear" w:color="auto" w:fill="auto"/>
            <w:vAlign w:val="center"/>
            <w:hideMark/>
          </w:tcPr>
          <w:p w14:paraId="448F5F8B" w14:textId="094A6332"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(2 427)</w:t>
            </w:r>
          </w:p>
        </w:tc>
        <w:tc>
          <w:tcPr>
            <w:tcW w:w="1276" w:type="dxa"/>
            <w:tcBorders>
              <w:top w:val="nil"/>
              <w:left w:val="nil"/>
              <w:bottom w:val="nil"/>
              <w:right w:val="nil"/>
            </w:tcBorders>
            <w:shd w:val="clear" w:color="auto" w:fill="auto"/>
            <w:vAlign w:val="center"/>
            <w:hideMark/>
          </w:tcPr>
          <w:p w14:paraId="4B5137C7" w14:textId="036B36D3"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(2 507)</w:t>
            </w:r>
          </w:p>
        </w:tc>
        <w:tc>
          <w:tcPr>
            <w:tcW w:w="1276" w:type="dxa"/>
            <w:tcBorders>
              <w:top w:val="nil"/>
              <w:left w:val="nil"/>
              <w:bottom w:val="nil"/>
              <w:right w:val="nil"/>
            </w:tcBorders>
            <w:shd w:val="clear" w:color="auto" w:fill="auto"/>
            <w:vAlign w:val="center"/>
            <w:hideMark/>
          </w:tcPr>
          <w:p w14:paraId="05D5B6CC" w14:textId="2E06F7CD"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nil"/>
              <w:right w:val="nil"/>
            </w:tcBorders>
            <w:shd w:val="clear" w:color="auto" w:fill="auto"/>
            <w:vAlign w:val="center"/>
            <w:hideMark/>
          </w:tcPr>
          <w:p w14:paraId="72D259FE" w14:textId="0D8AA60A"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r w:rsidR="006F2291">
              <w:rPr>
                <w:rFonts w:ascii="Arial" w:eastAsia="Times New Roman" w:hAnsi="Arial" w:cs="Arial"/>
                <w:color w:val="000000"/>
                <w:sz w:val="17"/>
                <w:szCs w:val="17"/>
                <w:lang w:eastAsia="en-AU"/>
              </w:rPr>
              <w:t>2</w:t>
            </w:r>
            <w:r w:rsidRPr="007A66B0">
              <w:rPr>
                <w:rFonts w:ascii="Arial" w:eastAsia="Times New Roman" w:hAnsi="Arial" w:cs="Arial"/>
                <w:color w:val="000000"/>
                <w:sz w:val="17"/>
                <w:szCs w:val="17"/>
                <w:lang w:eastAsia="en-AU"/>
              </w:rPr>
              <w:t xml:space="preserve"> 507)</w:t>
            </w:r>
          </w:p>
        </w:tc>
      </w:tr>
      <w:tr w:rsidR="007A5D40" w:rsidRPr="007A66B0" w14:paraId="70CE0E2A" w14:textId="77777777" w:rsidTr="46DFB224">
        <w:trPr>
          <w:trHeight w:val="285"/>
        </w:trPr>
        <w:tc>
          <w:tcPr>
            <w:tcW w:w="4536" w:type="dxa"/>
            <w:tcBorders>
              <w:top w:val="nil"/>
              <w:left w:val="nil"/>
              <w:bottom w:val="single" w:sz="8" w:space="0" w:color="000000" w:themeColor="text1"/>
              <w:right w:val="nil"/>
            </w:tcBorders>
            <w:shd w:val="clear" w:color="auto" w:fill="auto"/>
            <w:noWrap/>
            <w:vAlign w:val="center"/>
            <w:hideMark/>
          </w:tcPr>
          <w:p w14:paraId="683F89CA" w14:textId="37B222A0"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Other payments</w:t>
            </w:r>
          </w:p>
        </w:tc>
        <w:tc>
          <w:tcPr>
            <w:tcW w:w="1276" w:type="dxa"/>
            <w:tcBorders>
              <w:top w:val="nil"/>
              <w:left w:val="nil"/>
              <w:bottom w:val="single" w:sz="8" w:space="0" w:color="000000" w:themeColor="text1"/>
              <w:right w:val="nil"/>
            </w:tcBorders>
            <w:shd w:val="clear" w:color="auto" w:fill="auto"/>
            <w:vAlign w:val="center"/>
            <w:hideMark/>
          </w:tcPr>
          <w:p w14:paraId="68960351" w14:textId="09B8DB78"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(6 382)</w:t>
            </w:r>
          </w:p>
        </w:tc>
        <w:tc>
          <w:tcPr>
            <w:tcW w:w="1276" w:type="dxa"/>
            <w:tcBorders>
              <w:top w:val="nil"/>
              <w:left w:val="nil"/>
              <w:bottom w:val="single" w:sz="8" w:space="0" w:color="000000" w:themeColor="text1"/>
              <w:right w:val="nil"/>
            </w:tcBorders>
            <w:shd w:val="clear" w:color="auto" w:fill="auto"/>
            <w:vAlign w:val="center"/>
            <w:hideMark/>
          </w:tcPr>
          <w:p w14:paraId="5E0A1AB5" w14:textId="031374F3"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(3 200)</w:t>
            </w:r>
          </w:p>
        </w:tc>
        <w:tc>
          <w:tcPr>
            <w:tcW w:w="1276" w:type="dxa"/>
            <w:tcBorders>
              <w:top w:val="nil"/>
              <w:left w:val="nil"/>
              <w:bottom w:val="single" w:sz="8" w:space="0" w:color="000000" w:themeColor="text1"/>
              <w:right w:val="nil"/>
            </w:tcBorders>
            <w:shd w:val="clear" w:color="auto" w:fill="auto"/>
            <w:vAlign w:val="center"/>
            <w:hideMark/>
          </w:tcPr>
          <w:p w14:paraId="44AF7B41" w14:textId="18AC8121"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w:t>
            </w:r>
          </w:p>
        </w:tc>
        <w:tc>
          <w:tcPr>
            <w:tcW w:w="1134" w:type="dxa"/>
            <w:tcBorders>
              <w:top w:val="nil"/>
              <w:left w:val="nil"/>
              <w:bottom w:val="single" w:sz="8" w:space="0" w:color="000000" w:themeColor="text1"/>
              <w:right w:val="nil"/>
            </w:tcBorders>
            <w:shd w:val="clear" w:color="auto" w:fill="auto"/>
            <w:vAlign w:val="center"/>
            <w:hideMark/>
          </w:tcPr>
          <w:p w14:paraId="1B183CDD" w14:textId="07D96ABC"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color w:val="000000"/>
                <w:sz w:val="17"/>
                <w:szCs w:val="17"/>
                <w:lang w:eastAsia="en-AU"/>
              </w:rPr>
              <w:t>(3 200)</w:t>
            </w:r>
          </w:p>
        </w:tc>
      </w:tr>
      <w:tr w:rsidR="007A5D40" w:rsidRPr="007A66B0" w14:paraId="28B6C53F" w14:textId="77777777" w:rsidTr="46DFB224">
        <w:trPr>
          <w:trHeight w:val="285"/>
        </w:trPr>
        <w:tc>
          <w:tcPr>
            <w:tcW w:w="4536" w:type="dxa"/>
            <w:tcBorders>
              <w:top w:val="nil"/>
              <w:left w:val="nil"/>
              <w:bottom w:val="single" w:sz="8" w:space="0" w:color="000000" w:themeColor="text1"/>
              <w:right w:val="nil"/>
            </w:tcBorders>
            <w:shd w:val="clear" w:color="auto" w:fill="auto"/>
            <w:noWrap/>
            <w:vAlign w:val="center"/>
            <w:hideMark/>
          </w:tcPr>
          <w:p w14:paraId="393E8FF3" w14:textId="4DF3F083"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Total payments</w:t>
            </w:r>
          </w:p>
        </w:tc>
        <w:tc>
          <w:tcPr>
            <w:tcW w:w="1276" w:type="dxa"/>
            <w:tcBorders>
              <w:top w:val="nil"/>
              <w:left w:val="nil"/>
              <w:bottom w:val="single" w:sz="8" w:space="0" w:color="000000" w:themeColor="text1"/>
              <w:right w:val="nil"/>
            </w:tcBorders>
            <w:shd w:val="clear" w:color="auto" w:fill="auto"/>
            <w:vAlign w:val="center"/>
            <w:hideMark/>
          </w:tcPr>
          <w:p w14:paraId="302521EA" w14:textId="28644449"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(71 070)</w:t>
            </w:r>
          </w:p>
        </w:tc>
        <w:tc>
          <w:tcPr>
            <w:tcW w:w="1276" w:type="dxa"/>
            <w:tcBorders>
              <w:top w:val="nil"/>
              <w:left w:val="nil"/>
              <w:bottom w:val="single" w:sz="8" w:space="0" w:color="000000" w:themeColor="text1"/>
              <w:right w:val="nil"/>
            </w:tcBorders>
            <w:shd w:val="clear" w:color="auto" w:fill="auto"/>
            <w:vAlign w:val="center"/>
            <w:hideMark/>
          </w:tcPr>
          <w:p w14:paraId="1B92D02C" w14:textId="70A04402"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(75 382)</w:t>
            </w:r>
          </w:p>
        </w:tc>
        <w:tc>
          <w:tcPr>
            <w:tcW w:w="1276" w:type="dxa"/>
            <w:tcBorders>
              <w:top w:val="nil"/>
              <w:left w:val="nil"/>
              <w:bottom w:val="single" w:sz="8" w:space="0" w:color="000000" w:themeColor="text1"/>
              <w:right w:val="nil"/>
            </w:tcBorders>
            <w:shd w:val="clear" w:color="auto" w:fill="auto"/>
            <w:vAlign w:val="center"/>
            <w:hideMark/>
          </w:tcPr>
          <w:p w14:paraId="6A48EA5E" w14:textId="644AFCB9"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14 500</w:t>
            </w:r>
          </w:p>
        </w:tc>
        <w:tc>
          <w:tcPr>
            <w:tcW w:w="1134" w:type="dxa"/>
            <w:tcBorders>
              <w:top w:val="nil"/>
              <w:left w:val="nil"/>
              <w:bottom w:val="single" w:sz="8" w:space="0" w:color="000000" w:themeColor="text1"/>
              <w:right w:val="nil"/>
            </w:tcBorders>
            <w:shd w:val="clear" w:color="auto" w:fill="auto"/>
            <w:vAlign w:val="center"/>
            <w:hideMark/>
          </w:tcPr>
          <w:p w14:paraId="0A5415CF" w14:textId="6421963D"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(7</w:t>
            </w:r>
            <w:r w:rsidR="006F2291">
              <w:rPr>
                <w:rFonts w:ascii="Arial" w:eastAsia="Times New Roman" w:hAnsi="Arial" w:cs="Arial"/>
                <w:b/>
                <w:bCs/>
                <w:color w:val="000000"/>
                <w:sz w:val="17"/>
                <w:szCs w:val="17"/>
                <w:lang w:eastAsia="en-AU"/>
              </w:rPr>
              <w:t>6</w:t>
            </w:r>
            <w:r w:rsidRPr="007A66B0">
              <w:rPr>
                <w:rFonts w:ascii="Arial" w:eastAsia="Times New Roman" w:hAnsi="Arial" w:cs="Arial"/>
                <w:b/>
                <w:bCs/>
                <w:color w:val="000000"/>
                <w:sz w:val="17"/>
                <w:szCs w:val="17"/>
                <w:lang w:eastAsia="en-AU"/>
              </w:rPr>
              <w:t xml:space="preserve"> </w:t>
            </w:r>
            <w:r w:rsidR="006F2291">
              <w:rPr>
                <w:rFonts w:ascii="Arial" w:eastAsia="Times New Roman" w:hAnsi="Arial" w:cs="Arial"/>
                <w:b/>
                <w:bCs/>
                <w:color w:val="000000"/>
                <w:sz w:val="17"/>
                <w:szCs w:val="17"/>
                <w:lang w:eastAsia="en-AU"/>
              </w:rPr>
              <w:t>882</w:t>
            </w:r>
            <w:r w:rsidRPr="007A66B0">
              <w:rPr>
                <w:rFonts w:ascii="Arial" w:eastAsia="Times New Roman" w:hAnsi="Arial" w:cs="Arial"/>
                <w:b/>
                <w:bCs/>
                <w:color w:val="000000"/>
                <w:sz w:val="17"/>
                <w:szCs w:val="17"/>
                <w:lang w:eastAsia="en-AU"/>
              </w:rPr>
              <w:t>)</w:t>
            </w:r>
          </w:p>
        </w:tc>
      </w:tr>
      <w:tr w:rsidR="007A5D40" w:rsidRPr="007A66B0" w14:paraId="113446BC" w14:textId="77777777" w:rsidTr="46DFB224">
        <w:trPr>
          <w:trHeight w:val="293"/>
        </w:trPr>
        <w:tc>
          <w:tcPr>
            <w:tcW w:w="4536" w:type="dxa"/>
            <w:tcBorders>
              <w:top w:val="nil"/>
              <w:left w:val="nil"/>
              <w:bottom w:val="single" w:sz="8" w:space="0" w:color="000000" w:themeColor="text1"/>
              <w:right w:val="nil"/>
            </w:tcBorders>
            <w:shd w:val="clear" w:color="auto" w:fill="auto"/>
            <w:noWrap/>
            <w:vAlign w:val="center"/>
            <w:hideMark/>
          </w:tcPr>
          <w:p w14:paraId="4FA20D41" w14:textId="54DD6515"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Net cash flows from operating activities</w:t>
            </w:r>
          </w:p>
        </w:tc>
        <w:tc>
          <w:tcPr>
            <w:tcW w:w="1276" w:type="dxa"/>
            <w:tcBorders>
              <w:top w:val="nil"/>
              <w:left w:val="nil"/>
              <w:bottom w:val="single" w:sz="8" w:space="0" w:color="000000" w:themeColor="text1"/>
              <w:right w:val="nil"/>
            </w:tcBorders>
            <w:shd w:val="clear" w:color="auto" w:fill="auto"/>
            <w:vAlign w:val="center"/>
            <w:hideMark/>
          </w:tcPr>
          <w:p w14:paraId="16E35E77" w14:textId="42C5BF64"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16 773</w:t>
            </w:r>
          </w:p>
        </w:tc>
        <w:tc>
          <w:tcPr>
            <w:tcW w:w="1276" w:type="dxa"/>
            <w:tcBorders>
              <w:top w:val="nil"/>
              <w:left w:val="nil"/>
              <w:bottom w:val="single" w:sz="8" w:space="0" w:color="000000" w:themeColor="text1"/>
              <w:right w:val="nil"/>
            </w:tcBorders>
            <w:shd w:val="clear" w:color="auto" w:fill="auto"/>
            <w:vAlign w:val="center"/>
            <w:hideMark/>
          </w:tcPr>
          <w:p w14:paraId="2BABCBA1" w14:textId="0339CCC9"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19 605</w:t>
            </w:r>
          </w:p>
        </w:tc>
        <w:tc>
          <w:tcPr>
            <w:tcW w:w="1276" w:type="dxa"/>
            <w:tcBorders>
              <w:top w:val="nil"/>
              <w:left w:val="nil"/>
              <w:bottom w:val="single" w:sz="8" w:space="0" w:color="000000" w:themeColor="text1"/>
              <w:right w:val="nil"/>
            </w:tcBorders>
            <w:shd w:val="clear" w:color="auto" w:fill="auto"/>
            <w:vAlign w:val="center"/>
            <w:hideMark/>
          </w:tcPr>
          <w:p w14:paraId="78AFB581" w14:textId="778D82E4" w:rsidR="007A66B0" w:rsidRPr="007A66B0" w:rsidRDefault="006F2291" w:rsidP="007A66B0">
            <w:pPr>
              <w:keepLines w:val="0"/>
              <w:spacing w:before="0" w:after="0" w:line="240" w:lineRule="auto"/>
              <w:jc w:val="right"/>
              <w:rPr>
                <w:rFonts w:ascii="Arial" w:eastAsia="Times New Roman" w:hAnsi="Arial" w:cs="Arial"/>
                <w:color w:val="000000"/>
                <w:sz w:val="17"/>
                <w:szCs w:val="17"/>
                <w:lang w:eastAsia="en-AU"/>
              </w:rPr>
            </w:pPr>
            <w:r>
              <w:rPr>
                <w:rFonts w:ascii="Arial" w:eastAsia="Times New Roman" w:hAnsi="Arial" w:cs="Arial"/>
                <w:b/>
                <w:bCs/>
                <w:color w:val="000000"/>
                <w:sz w:val="17"/>
                <w:szCs w:val="17"/>
                <w:lang w:eastAsia="en-AU"/>
              </w:rPr>
              <w:t>(3 400)</w:t>
            </w:r>
          </w:p>
        </w:tc>
        <w:tc>
          <w:tcPr>
            <w:tcW w:w="1134" w:type="dxa"/>
            <w:tcBorders>
              <w:top w:val="nil"/>
              <w:left w:val="nil"/>
              <w:bottom w:val="single" w:sz="8" w:space="0" w:color="000000" w:themeColor="text1"/>
              <w:right w:val="nil"/>
            </w:tcBorders>
            <w:shd w:val="clear" w:color="auto" w:fill="auto"/>
            <w:vAlign w:val="center"/>
            <w:hideMark/>
          </w:tcPr>
          <w:p w14:paraId="07D303C9" w14:textId="4DC4F6F7" w:rsidR="007A66B0" w:rsidRPr="007A66B0" w:rsidRDefault="006F2291" w:rsidP="007A66B0">
            <w:pPr>
              <w:keepLines w:val="0"/>
              <w:spacing w:before="0" w:after="0" w:line="240" w:lineRule="auto"/>
              <w:jc w:val="right"/>
              <w:rPr>
                <w:rFonts w:ascii="Arial" w:eastAsia="Times New Roman" w:hAnsi="Arial" w:cs="Arial"/>
                <w:color w:val="000000"/>
                <w:sz w:val="17"/>
                <w:szCs w:val="17"/>
                <w:lang w:eastAsia="en-AU"/>
              </w:rPr>
            </w:pPr>
            <w:r>
              <w:rPr>
                <w:rFonts w:ascii="Arial" w:eastAsia="Times New Roman" w:hAnsi="Arial" w:cs="Arial"/>
                <w:b/>
                <w:bCs/>
                <w:color w:val="000000"/>
                <w:sz w:val="17"/>
                <w:szCs w:val="17"/>
                <w:lang w:eastAsia="en-AU"/>
              </w:rPr>
              <w:t>20</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005</w:t>
            </w:r>
          </w:p>
        </w:tc>
      </w:tr>
      <w:tr w:rsidR="007A5D40" w:rsidRPr="007A66B0" w14:paraId="599299D2" w14:textId="77777777" w:rsidTr="46DFB224">
        <w:trPr>
          <w:trHeight w:val="293"/>
        </w:trPr>
        <w:tc>
          <w:tcPr>
            <w:tcW w:w="4536" w:type="dxa"/>
            <w:tcBorders>
              <w:top w:val="nil"/>
              <w:left w:val="nil"/>
              <w:bottom w:val="single" w:sz="8" w:space="0" w:color="000000" w:themeColor="text1"/>
              <w:right w:val="nil"/>
            </w:tcBorders>
            <w:shd w:val="clear" w:color="auto" w:fill="auto"/>
            <w:noWrap/>
            <w:vAlign w:val="center"/>
            <w:hideMark/>
          </w:tcPr>
          <w:p w14:paraId="02705FC6" w14:textId="7DAAF3E9"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46DFB224">
              <w:rPr>
                <w:rFonts w:ascii="Arial" w:eastAsia="Times New Roman" w:hAnsi="Arial" w:cs="Arial"/>
                <w:b/>
                <w:color w:val="000000" w:themeColor="text1"/>
                <w:sz w:val="17"/>
                <w:szCs w:val="17"/>
                <w:lang w:eastAsia="en-AU"/>
              </w:rPr>
              <w:t>Net cash flows from/(used in) investing activities</w:t>
            </w:r>
          </w:p>
        </w:tc>
        <w:tc>
          <w:tcPr>
            <w:tcW w:w="1276" w:type="dxa"/>
            <w:tcBorders>
              <w:top w:val="nil"/>
              <w:left w:val="nil"/>
              <w:bottom w:val="single" w:sz="8" w:space="0" w:color="000000" w:themeColor="text1"/>
              <w:right w:val="nil"/>
            </w:tcBorders>
            <w:shd w:val="clear" w:color="auto" w:fill="auto"/>
            <w:vAlign w:val="center"/>
            <w:hideMark/>
          </w:tcPr>
          <w:p w14:paraId="2C16EA59" w14:textId="18433A00"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(25 40</w:t>
            </w:r>
            <w:r w:rsidR="006F2291">
              <w:rPr>
                <w:rFonts w:ascii="Arial" w:eastAsia="Times New Roman" w:hAnsi="Arial" w:cs="Arial"/>
                <w:b/>
                <w:bCs/>
                <w:color w:val="000000"/>
                <w:sz w:val="17"/>
                <w:szCs w:val="17"/>
                <w:lang w:eastAsia="en-AU"/>
              </w:rPr>
              <w:t>3</w:t>
            </w:r>
            <w:r w:rsidRPr="007A66B0">
              <w:rPr>
                <w:rFonts w:ascii="Arial" w:eastAsia="Times New Roman" w:hAnsi="Arial" w:cs="Arial"/>
                <w:b/>
                <w:bCs/>
                <w:color w:val="000000"/>
                <w:sz w:val="17"/>
                <w:szCs w:val="17"/>
                <w:lang w:eastAsia="en-AU"/>
              </w:rPr>
              <w:t>)</w:t>
            </w:r>
          </w:p>
        </w:tc>
        <w:tc>
          <w:tcPr>
            <w:tcW w:w="1276" w:type="dxa"/>
            <w:tcBorders>
              <w:top w:val="nil"/>
              <w:left w:val="nil"/>
              <w:bottom w:val="single" w:sz="8" w:space="0" w:color="000000" w:themeColor="text1"/>
              <w:right w:val="nil"/>
            </w:tcBorders>
            <w:shd w:val="clear" w:color="auto" w:fill="auto"/>
            <w:vAlign w:val="center"/>
            <w:hideMark/>
          </w:tcPr>
          <w:p w14:paraId="062933C0" w14:textId="6AA2958D"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(23 124)</w:t>
            </w:r>
          </w:p>
        </w:tc>
        <w:tc>
          <w:tcPr>
            <w:tcW w:w="1276" w:type="dxa"/>
            <w:tcBorders>
              <w:top w:val="nil"/>
              <w:left w:val="nil"/>
              <w:bottom w:val="single" w:sz="8" w:space="0" w:color="000000" w:themeColor="text1"/>
              <w:right w:val="nil"/>
            </w:tcBorders>
            <w:shd w:val="clear" w:color="auto" w:fill="auto"/>
            <w:vAlign w:val="center"/>
            <w:hideMark/>
          </w:tcPr>
          <w:p w14:paraId="75B307F1" w14:textId="6F7F35E7"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w:t>
            </w:r>
          </w:p>
        </w:tc>
        <w:tc>
          <w:tcPr>
            <w:tcW w:w="1134" w:type="dxa"/>
            <w:tcBorders>
              <w:top w:val="nil"/>
              <w:left w:val="nil"/>
              <w:bottom w:val="single" w:sz="8" w:space="0" w:color="000000" w:themeColor="text1"/>
              <w:right w:val="nil"/>
            </w:tcBorders>
            <w:shd w:val="clear" w:color="auto" w:fill="auto"/>
            <w:vAlign w:val="center"/>
            <w:hideMark/>
          </w:tcPr>
          <w:p w14:paraId="7044956B" w14:textId="0B2A0D27"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(23 124)</w:t>
            </w:r>
          </w:p>
        </w:tc>
      </w:tr>
      <w:tr w:rsidR="007A5D40" w:rsidRPr="007A66B0" w14:paraId="4C98B373" w14:textId="77777777" w:rsidTr="46DFB224">
        <w:trPr>
          <w:trHeight w:val="293"/>
        </w:trPr>
        <w:tc>
          <w:tcPr>
            <w:tcW w:w="4536" w:type="dxa"/>
            <w:tcBorders>
              <w:top w:val="nil"/>
              <w:left w:val="nil"/>
              <w:bottom w:val="single" w:sz="8" w:space="0" w:color="000000" w:themeColor="text1"/>
              <w:right w:val="nil"/>
            </w:tcBorders>
            <w:shd w:val="clear" w:color="auto" w:fill="auto"/>
            <w:noWrap/>
            <w:vAlign w:val="center"/>
            <w:hideMark/>
          </w:tcPr>
          <w:p w14:paraId="365EB190" w14:textId="1AA50639"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46DFB224">
              <w:rPr>
                <w:rFonts w:ascii="Arial" w:eastAsia="Times New Roman" w:hAnsi="Arial" w:cs="Arial"/>
                <w:b/>
                <w:color w:val="000000" w:themeColor="text1"/>
                <w:sz w:val="17"/>
                <w:szCs w:val="17"/>
                <w:lang w:eastAsia="en-AU"/>
              </w:rPr>
              <w:t>Net cash flows from/(used in) financing activities</w:t>
            </w:r>
          </w:p>
        </w:tc>
        <w:tc>
          <w:tcPr>
            <w:tcW w:w="1276" w:type="dxa"/>
            <w:tcBorders>
              <w:top w:val="nil"/>
              <w:left w:val="nil"/>
              <w:bottom w:val="single" w:sz="8" w:space="0" w:color="000000" w:themeColor="text1"/>
              <w:right w:val="nil"/>
            </w:tcBorders>
            <w:shd w:val="clear" w:color="auto" w:fill="auto"/>
            <w:vAlign w:val="center"/>
            <w:hideMark/>
          </w:tcPr>
          <w:p w14:paraId="69CEC4D1" w14:textId="45C06CCD"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30</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607</w:t>
            </w:r>
          </w:p>
        </w:tc>
        <w:tc>
          <w:tcPr>
            <w:tcW w:w="1276" w:type="dxa"/>
            <w:tcBorders>
              <w:top w:val="nil"/>
              <w:left w:val="nil"/>
              <w:bottom w:val="single" w:sz="8" w:space="0" w:color="000000" w:themeColor="text1"/>
              <w:right w:val="nil"/>
            </w:tcBorders>
            <w:shd w:val="clear" w:color="auto" w:fill="auto"/>
            <w:vAlign w:val="center"/>
            <w:hideMark/>
          </w:tcPr>
          <w:p w14:paraId="3C616828" w14:textId="0C471665"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13 711</w:t>
            </w:r>
          </w:p>
        </w:tc>
        <w:tc>
          <w:tcPr>
            <w:tcW w:w="1276" w:type="dxa"/>
            <w:tcBorders>
              <w:top w:val="nil"/>
              <w:left w:val="nil"/>
              <w:bottom w:val="single" w:sz="8" w:space="0" w:color="000000" w:themeColor="text1"/>
              <w:right w:val="nil"/>
            </w:tcBorders>
            <w:shd w:val="clear" w:color="auto" w:fill="auto"/>
            <w:vAlign w:val="center"/>
            <w:hideMark/>
          </w:tcPr>
          <w:p w14:paraId="7FE5A563" w14:textId="1EB1CAEB"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w:t>
            </w:r>
          </w:p>
        </w:tc>
        <w:tc>
          <w:tcPr>
            <w:tcW w:w="1134" w:type="dxa"/>
            <w:tcBorders>
              <w:top w:val="nil"/>
              <w:left w:val="nil"/>
              <w:bottom w:val="single" w:sz="8" w:space="0" w:color="000000" w:themeColor="text1"/>
              <w:right w:val="nil"/>
            </w:tcBorders>
            <w:shd w:val="clear" w:color="auto" w:fill="auto"/>
            <w:vAlign w:val="center"/>
            <w:hideMark/>
          </w:tcPr>
          <w:p w14:paraId="2806C585" w14:textId="2A0532C4"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13 711</w:t>
            </w:r>
          </w:p>
        </w:tc>
      </w:tr>
      <w:tr w:rsidR="007A5D40" w:rsidRPr="007A66B0" w14:paraId="6BAE2169" w14:textId="77777777" w:rsidTr="46DFB224">
        <w:trPr>
          <w:trHeight w:val="293"/>
        </w:trPr>
        <w:tc>
          <w:tcPr>
            <w:tcW w:w="4536" w:type="dxa"/>
            <w:tcBorders>
              <w:top w:val="nil"/>
              <w:left w:val="nil"/>
              <w:bottom w:val="single" w:sz="8" w:space="0" w:color="000000" w:themeColor="text1"/>
              <w:right w:val="nil"/>
            </w:tcBorders>
            <w:shd w:val="clear" w:color="auto" w:fill="auto"/>
            <w:noWrap/>
            <w:vAlign w:val="center"/>
            <w:hideMark/>
          </w:tcPr>
          <w:p w14:paraId="3A3C72EA" w14:textId="5B44A36E"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007A66B0">
              <w:rPr>
                <w:rFonts w:ascii="Arial" w:eastAsia="Times New Roman" w:hAnsi="Arial" w:cs="Arial"/>
                <w:b/>
                <w:bCs/>
                <w:color w:val="000000"/>
                <w:sz w:val="17"/>
                <w:szCs w:val="17"/>
                <w:lang w:eastAsia="en-AU"/>
              </w:rPr>
              <w:t>Net increase/(decrease) in cash and cash equivalents</w:t>
            </w:r>
          </w:p>
        </w:tc>
        <w:tc>
          <w:tcPr>
            <w:tcW w:w="1276" w:type="dxa"/>
            <w:tcBorders>
              <w:top w:val="nil"/>
              <w:left w:val="nil"/>
              <w:bottom w:val="single" w:sz="8" w:space="0" w:color="000000" w:themeColor="text1"/>
              <w:right w:val="nil"/>
            </w:tcBorders>
            <w:shd w:val="clear" w:color="auto" w:fill="auto"/>
            <w:vAlign w:val="center"/>
            <w:hideMark/>
          </w:tcPr>
          <w:p w14:paraId="3C113CDF" w14:textId="5C3E0425"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20</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411</w:t>
            </w:r>
          </w:p>
        </w:tc>
        <w:tc>
          <w:tcPr>
            <w:tcW w:w="1276" w:type="dxa"/>
            <w:tcBorders>
              <w:top w:val="nil"/>
              <w:left w:val="nil"/>
              <w:bottom w:val="single" w:sz="8" w:space="0" w:color="000000" w:themeColor="text1"/>
              <w:right w:val="nil"/>
            </w:tcBorders>
            <w:shd w:val="clear" w:color="auto" w:fill="auto"/>
            <w:vAlign w:val="center"/>
            <w:hideMark/>
          </w:tcPr>
          <w:p w14:paraId="7C5903E3" w14:textId="5CF0CD43"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9</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241</w:t>
            </w:r>
          </w:p>
        </w:tc>
        <w:tc>
          <w:tcPr>
            <w:tcW w:w="1276" w:type="dxa"/>
            <w:tcBorders>
              <w:top w:val="nil"/>
              <w:left w:val="nil"/>
              <w:bottom w:val="single" w:sz="8" w:space="0" w:color="000000" w:themeColor="text1"/>
              <w:right w:val="nil"/>
            </w:tcBorders>
            <w:shd w:val="clear" w:color="auto" w:fill="auto"/>
            <w:vAlign w:val="center"/>
            <w:hideMark/>
          </w:tcPr>
          <w:p w14:paraId="7DF7033D" w14:textId="1CFF674C"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(3 400)</w:t>
            </w:r>
          </w:p>
        </w:tc>
        <w:tc>
          <w:tcPr>
            <w:tcW w:w="1134" w:type="dxa"/>
            <w:tcBorders>
              <w:top w:val="nil"/>
              <w:left w:val="nil"/>
              <w:bottom w:val="single" w:sz="8" w:space="0" w:color="000000" w:themeColor="text1"/>
              <w:right w:val="nil"/>
            </w:tcBorders>
            <w:shd w:val="clear" w:color="auto" w:fill="auto"/>
            <w:vAlign w:val="center"/>
            <w:hideMark/>
          </w:tcPr>
          <w:p w14:paraId="08442B08" w14:textId="3493833B" w:rsidR="007A66B0" w:rsidRPr="007A66B0" w:rsidRDefault="006F2291" w:rsidP="007A66B0">
            <w:pPr>
              <w:keepLines w:val="0"/>
              <w:spacing w:before="0" w:after="0" w:line="240" w:lineRule="auto"/>
              <w:jc w:val="right"/>
              <w:rPr>
                <w:rFonts w:ascii="Arial" w:eastAsia="Times New Roman" w:hAnsi="Arial" w:cs="Arial"/>
                <w:b/>
                <w:bCs/>
                <w:color w:val="000000"/>
                <w:sz w:val="17"/>
                <w:szCs w:val="17"/>
                <w:lang w:eastAsia="en-AU"/>
              </w:rPr>
            </w:pPr>
            <w:r>
              <w:rPr>
                <w:rFonts w:ascii="Arial" w:eastAsia="Times New Roman" w:hAnsi="Arial" w:cs="Arial"/>
                <w:b/>
                <w:bCs/>
                <w:color w:val="000000"/>
                <w:sz w:val="17"/>
                <w:szCs w:val="17"/>
                <w:lang w:eastAsia="en-AU"/>
              </w:rPr>
              <w:t>12</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641</w:t>
            </w:r>
          </w:p>
        </w:tc>
      </w:tr>
      <w:tr w:rsidR="007A5D40" w:rsidRPr="007A66B0" w14:paraId="5CB26D56" w14:textId="77777777" w:rsidTr="007A66B0">
        <w:trPr>
          <w:trHeight w:val="293"/>
        </w:trPr>
        <w:tc>
          <w:tcPr>
            <w:tcW w:w="4536" w:type="dxa"/>
            <w:tcBorders>
              <w:top w:val="nil"/>
              <w:left w:val="nil"/>
              <w:bottom w:val="nil"/>
              <w:right w:val="nil"/>
            </w:tcBorders>
            <w:shd w:val="clear" w:color="auto" w:fill="auto"/>
            <w:noWrap/>
            <w:vAlign w:val="center"/>
            <w:hideMark/>
          </w:tcPr>
          <w:p w14:paraId="66AA8599" w14:textId="7B190402"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46DFB224">
              <w:rPr>
                <w:rFonts w:ascii="Arial" w:eastAsia="Times New Roman" w:hAnsi="Arial" w:cs="Arial"/>
                <w:color w:val="000000" w:themeColor="text1"/>
                <w:sz w:val="17"/>
                <w:szCs w:val="17"/>
                <w:lang w:eastAsia="en-AU"/>
              </w:rPr>
              <w:t>Cash and cash equivalents at beginning of financial year</w:t>
            </w:r>
          </w:p>
        </w:tc>
        <w:tc>
          <w:tcPr>
            <w:tcW w:w="1276" w:type="dxa"/>
            <w:tcBorders>
              <w:top w:val="nil"/>
              <w:left w:val="nil"/>
              <w:bottom w:val="nil"/>
              <w:right w:val="nil"/>
            </w:tcBorders>
            <w:shd w:val="clear" w:color="auto" w:fill="auto"/>
            <w:vAlign w:val="center"/>
            <w:hideMark/>
          </w:tcPr>
          <w:p w14:paraId="36D42A1B" w14:textId="6398B507"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45 446</w:t>
            </w:r>
          </w:p>
        </w:tc>
        <w:tc>
          <w:tcPr>
            <w:tcW w:w="1276" w:type="dxa"/>
            <w:tcBorders>
              <w:top w:val="nil"/>
              <w:left w:val="nil"/>
              <w:bottom w:val="nil"/>
              <w:right w:val="nil"/>
            </w:tcBorders>
            <w:shd w:val="clear" w:color="auto" w:fill="auto"/>
            <w:vAlign w:val="center"/>
            <w:hideMark/>
          </w:tcPr>
          <w:p w14:paraId="04601A64" w14:textId="7B4BE6D7"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35 094</w:t>
            </w:r>
          </w:p>
        </w:tc>
        <w:tc>
          <w:tcPr>
            <w:tcW w:w="1276" w:type="dxa"/>
            <w:tcBorders>
              <w:top w:val="nil"/>
              <w:left w:val="nil"/>
              <w:bottom w:val="nil"/>
              <w:right w:val="nil"/>
            </w:tcBorders>
            <w:shd w:val="clear" w:color="auto" w:fill="auto"/>
            <w:vAlign w:val="center"/>
            <w:hideMark/>
          </w:tcPr>
          <w:p w14:paraId="75E113DD" w14:textId="1F39391C"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13 000</w:t>
            </w:r>
          </w:p>
        </w:tc>
        <w:tc>
          <w:tcPr>
            <w:tcW w:w="1134" w:type="dxa"/>
            <w:tcBorders>
              <w:top w:val="nil"/>
              <w:left w:val="nil"/>
              <w:bottom w:val="nil"/>
              <w:right w:val="nil"/>
            </w:tcBorders>
            <w:shd w:val="clear" w:color="auto" w:fill="auto"/>
            <w:vAlign w:val="center"/>
            <w:hideMark/>
          </w:tcPr>
          <w:p w14:paraId="56C40590" w14:textId="3C0D46B1"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22 094</w:t>
            </w:r>
          </w:p>
        </w:tc>
      </w:tr>
      <w:tr w:rsidR="007A5D40" w:rsidRPr="007A66B0" w14:paraId="4F419806" w14:textId="77777777" w:rsidTr="007A66B0">
        <w:trPr>
          <w:trHeight w:val="293"/>
        </w:trPr>
        <w:tc>
          <w:tcPr>
            <w:tcW w:w="4536" w:type="dxa"/>
            <w:tcBorders>
              <w:top w:val="nil"/>
              <w:left w:val="nil"/>
              <w:bottom w:val="nil"/>
              <w:right w:val="nil"/>
            </w:tcBorders>
            <w:shd w:val="clear" w:color="auto" w:fill="auto"/>
            <w:noWrap/>
            <w:vAlign w:val="center"/>
            <w:hideMark/>
          </w:tcPr>
          <w:p w14:paraId="25538EE9" w14:textId="7F243C74" w:rsidR="007A66B0" w:rsidRPr="007A66B0" w:rsidRDefault="007A66B0" w:rsidP="007A66B0">
            <w:pPr>
              <w:keepLines w:val="0"/>
              <w:spacing w:before="0" w:after="0" w:line="240" w:lineRule="auto"/>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Effect of exchange rate on cash held in foreign currency</w:t>
            </w:r>
          </w:p>
        </w:tc>
        <w:tc>
          <w:tcPr>
            <w:tcW w:w="1276" w:type="dxa"/>
            <w:tcBorders>
              <w:top w:val="nil"/>
              <w:left w:val="nil"/>
              <w:bottom w:val="nil"/>
              <w:right w:val="nil"/>
            </w:tcBorders>
            <w:shd w:val="clear" w:color="auto" w:fill="auto"/>
            <w:vAlign w:val="center"/>
            <w:hideMark/>
          </w:tcPr>
          <w:p w14:paraId="119E4F3F" w14:textId="10C63C6F"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46DFB224">
              <w:rPr>
                <w:rFonts w:ascii="Arial" w:eastAsia="Times New Roman" w:hAnsi="Arial" w:cs="Arial"/>
                <w:color w:val="000000" w:themeColor="text1"/>
                <w:sz w:val="17"/>
                <w:szCs w:val="17"/>
                <w:lang w:eastAsia="en-AU"/>
              </w:rPr>
              <w:t>( 471)</w:t>
            </w:r>
          </w:p>
        </w:tc>
        <w:tc>
          <w:tcPr>
            <w:tcW w:w="1276" w:type="dxa"/>
            <w:tcBorders>
              <w:top w:val="nil"/>
              <w:left w:val="nil"/>
              <w:bottom w:val="nil"/>
              <w:right w:val="nil"/>
            </w:tcBorders>
            <w:shd w:val="clear" w:color="auto" w:fill="auto"/>
            <w:vAlign w:val="center"/>
            <w:hideMark/>
          </w:tcPr>
          <w:p w14:paraId="0152EC1F" w14:textId="7CA9946E"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 xml:space="preserve"> 160</w:t>
            </w:r>
          </w:p>
        </w:tc>
        <w:tc>
          <w:tcPr>
            <w:tcW w:w="1276" w:type="dxa"/>
            <w:tcBorders>
              <w:top w:val="nil"/>
              <w:left w:val="nil"/>
              <w:bottom w:val="nil"/>
              <w:right w:val="nil"/>
            </w:tcBorders>
            <w:shd w:val="clear" w:color="auto" w:fill="auto"/>
            <w:vAlign w:val="center"/>
            <w:hideMark/>
          </w:tcPr>
          <w:p w14:paraId="653918A2" w14:textId="5697260A"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(8 800)</w:t>
            </w:r>
          </w:p>
        </w:tc>
        <w:tc>
          <w:tcPr>
            <w:tcW w:w="1134" w:type="dxa"/>
            <w:tcBorders>
              <w:top w:val="nil"/>
              <w:left w:val="nil"/>
              <w:bottom w:val="nil"/>
              <w:right w:val="nil"/>
            </w:tcBorders>
            <w:shd w:val="clear" w:color="auto" w:fill="auto"/>
            <w:vAlign w:val="center"/>
            <w:hideMark/>
          </w:tcPr>
          <w:p w14:paraId="5A72E19B" w14:textId="7E20C04F" w:rsidR="007A66B0" w:rsidRPr="007A66B0" w:rsidRDefault="007A66B0" w:rsidP="007A66B0">
            <w:pPr>
              <w:keepLines w:val="0"/>
              <w:spacing w:before="0" w:after="0" w:line="240" w:lineRule="auto"/>
              <w:jc w:val="right"/>
              <w:rPr>
                <w:rFonts w:ascii="Arial" w:eastAsia="Times New Roman" w:hAnsi="Arial" w:cs="Arial"/>
                <w:b/>
                <w:bCs/>
                <w:color w:val="000000"/>
                <w:sz w:val="17"/>
                <w:szCs w:val="17"/>
                <w:lang w:eastAsia="en-AU"/>
              </w:rPr>
            </w:pPr>
            <w:r w:rsidRPr="007A66B0">
              <w:rPr>
                <w:rFonts w:ascii="Arial" w:eastAsia="Times New Roman" w:hAnsi="Arial" w:cs="Arial"/>
                <w:color w:val="000000"/>
                <w:sz w:val="17"/>
                <w:szCs w:val="17"/>
                <w:lang w:eastAsia="en-AU"/>
              </w:rPr>
              <w:t>8 960</w:t>
            </w:r>
          </w:p>
        </w:tc>
      </w:tr>
      <w:tr w:rsidR="007A5D40" w:rsidRPr="007A66B0" w14:paraId="7623CA26" w14:textId="77777777" w:rsidTr="46DFB224">
        <w:trPr>
          <w:trHeight w:val="285"/>
        </w:trPr>
        <w:tc>
          <w:tcPr>
            <w:tcW w:w="4536" w:type="dxa"/>
            <w:tcBorders>
              <w:top w:val="single" w:sz="8" w:space="0" w:color="000000" w:themeColor="text1"/>
              <w:left w:val="nil"/>
              <w:bottom w:val="single" w:sz="12" w:space="0" w:color="000000" w:themeColor="text1"/>
              <w:right w:val="nil"/>
            </w:tcBorders>
            <w:shd w:val="clear" w:color="auto" w:fill="auto"/>
            <w:noWrap/>
            <w:vAlign w:val="center"/>
            <w:hideMark/>
          </w:tcPr>
          <w:p w14:paraId="097D620D" w14:textId="3B1F5C51" w:rsidR="007A66B0" w:rsidRPr="007A66B0" w:rsidRDefault="007A66B0" w:rsidP="007A66B0">
            <w:pPr>
              <w:keepLines w:val="0"/>
              <w:spacing w:before="0" w:after="0" w:line="240" w:lineRule="auto"/>
              <w:rPr>
                <w:rFonts w:ascii="Arial" w:eastAsia="Times New Roman" w:hAnsi="Arial" w:cs="Arial"/>
                <w:color w:val="000000"/>
                <w:sz w:val="17"/>
                <w:szCs w:val="17"/>
                <w:lang w:eastAsia="en-AU"/>
              </w:rPr>
            </w:pPr>
            <w:r w:rsidRPr="46DFB224">
              <w:rPr>
                <w:rFonts w:ascii="Arial" w:eastAsia="Times New Roman" w:hAnsi="Arial" w:cs="Arial"/>
                <w:b/>
                <w:color w:val="000000" w:themeColor="text1"/>
                <w:sz w:val="17"/>
                <w:szCs w:val="17"/>
                <w:lang w:eastAsia="en-AU"/>
              </w:rPr>
              <w:t>Cash and cash equivalents at end of financial year</w:t>
            </w:r>
          </w:p>
        </w:tc>
        <w:tc>
          <w:tcPr>
            <w:tcW w:w="1276" w:type="dxa"/>
            <w:tcBorders>
              <w:top w:val="single" w:sz="8" w:space="0" w:color="000000" w:themeColor="text1"/>
              <w:left w:val="nil"/>
              <w:bottom w:val="single" w:sz="12" w:space="0" w:color="000000" w:themeColor="text1"/>
              <w:right w:val="nil"/>
            </w:tcBorders>
            <w:shd w:val="clear" w:color="auto" w:fill="auto"/>
            <w:vAlign w:val="center"/>
            <w:hideMark/>
          </w:tcPr>
          <w:p w14:paraId="2A275076" w14:textId="1A1E48E0"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 xml:space="preserve">64 </w:t>
            </w:r>
            <w:r w:rsidR="006F2291">
              <w:rPr>
                <w:rFonts w:ascii="Arial" w:eastAsia="Times New Roman" w:hAnsi="Arial" w:cs="Arial"/>
                <w:b/>
                <w:bCs/>
                <w:color w:val="000000"/>
                <w:sz w:val="17"/>
                <w:szCs w:val="17"/>
                <w:lang w:eastAsia="en-AU"/>
              </w:rPr>
              <w:t>43</w:t>
            </w:r>
            <w:r w:rsidRPr="007A66B0">
              <w:rPr>
                <w:rFonts w:ascii="Arial" w:eastAsia="Times New Roman" w:hAnsi="Arial" w:cs="Arial"/>
                <w:b/>
                <w:bCs/>
                <w:color w:val="000000"/>
                <w:sz w:val="17"/>
                <w:szCs w:val="17"/>
                <w:lang w:eastAsia="en-AU"/>
              </w:rPr>
              <w:t>4</w:t>
            </w:r>
          </w:p>
        </w:tc>
        <w:tc>
          <w:tcPr>
            <w:tcW w:w="1276" w:type="dxa"/>
            <w:tcBorders>
              <w:top w:val="single" w:sz="8" w:space="0" w:color="000000" w:themeColor="text1"/>
              <w:left w:val="nil"/>
              <w:bottom w:val="single" w:sz="12" w:space="0" w:color="000000" w:themeColor="text1"/>
              <w:right w:val="nil"/>
            </w:tcBorders>
            <w:shd w:val="clear" w:color="auto" w:fill="auto"/>
            <w:vAlign w:val="center"/>
            <w:hideMark/>
          </w:tcPr>
          <w:p w14:paraId="41467A23" w14:textId="6F6448F5"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4</w:t>
            </w:r>
            <w:r w:rsidR="006F2291">
              <w:rPr>
                <w:rFonts w:ascii="Arial" w:eastAsia="Times New Roman" w:hAnsi="Arial" w:cs="Arial"/>
                <w:b/>
                <w:bCs/>
                <w:color w:val="000000"/>
                <w:sz w:val="17"/>
                <w:szCs w:val="17"/>
                <w:lang w:eastAsia="en-AU"/>
              </w:rPr>
              <w:t>4</w:t>
            </w:r>
            <w:r w:rsidRPr="007A66B0">
              <w:rPr>
                <w:rFonts w:ascii="Arial" w:eastAsia="Times New Roman" w:hAnsi="Arial" w:cs="Arial"/>
                <w:b/>
                <w:bCs/>
                <w:color w:val="000000"/>
                <w:sz w:val="17"/>
                <w:szCs w:val="17"/>
                <w:lang w:eastAsia="en-AU"/>
              </w:rPr>
              <w:t xml:space="preserve"> 4</w:t>
            </w:r>
            <w:r w:rsidR="006F2291">
              <w:rPr>
                <w:rFonts w:ascii="Arial" w:eastAsia="Times New Roman" w:hAnsi="Arial" w:cs="Arial"/>
                <w:b/>
                <w:bCs/>
                <w:color w:val="000000"/>
                <w:sz w:val="17"/>
                <w:szCs w:val="17"/>
                <w:lang w:eastAsia="en-AU"/>
              </w:rPr>
              <w:t>94</w:t>
            </w:r>
          </w:p>
        </w:tc>
        <w:tc>
          <w:tcPr>
            <w:tcW w:w="1276" w:type="dxa"/>
            <w:tcBorders>
              <w:top w:val="single" w:sz="8" w:space="0" w:color="000000" w:themeColor="text1"/>
              <w:left w:val="nil"/>
              <w:bottom w:val="single" w:sz="12" w:space="0" w:color="000000" w:themeColor="text1"/>
              <w:right w:val="nil"/>
            </w:tcBorders>
            <w:shd w:val="clear" w:color="auto" w:fill="auto"/>
            <w:vAlign w:val="center"/>
            <w:hideMark/>
          </w:tcPr>
          <w:p w14:paraId="47C85E31" w14:textId="754FD696" w:rsidR="007A66B0" w:rsidRPr="007A66B0" w:rsidRDefault="007A66B0" w:rsidP="007A66B0">
            <w:pPr>
              <w:keepLines w:val="0"/>
              <w:spacing w:before="0" w:after="0" w:line="240" w:lineRule="auto"/>
              <w:jc w:val="right"/>
              <w:rPr>
                <w:rFonts w:ascii="Arial" w:eastAsia="Times New Roman" w:hAnsi="Arial" w:cs="Arial"/>
                <w:color w:val="000000"/>
                <w:sz w:val="17"/>
                <w:szCs w:val="17"/>
                <w:lang w:eastAsia="en-AU"/>
              </w:rPr>
            </w:pPr>
            <w:r w:rsidRPr="007A66B0">
              <w:rPr>
                <w:rFonts w:ascii="Arial" w:eastAsia="Times New Roman" w:hAnsi="Arial" w:cs="Arial"/>
                <w:b/>
                <w:bCs/>
                <w:color w:val="000000"/>
                <w:sz w:val="17"/>
                <w:szCs w:val="17"/>
                <w:lang w:eastAsia="en-AU"/>
              </w:rPr>
              <w:t xml:space="preserve"> 800</w:t>
            </w:r>
          </w:p>
        </w:tc>
        <w:tc>
          <w:tcPr>
            <w:tcW w:w="1134" w:type="dxa"/>
            <w:tcBorders>
              <w:top w:val="single" w:sz="8" w:space="0" w:color="000000" w:themeColor="text1"/>
              <w:left w:val="nil"/>
              <w:bottom w:val="single" w:sz="12" w:space="0" w:color="000000" w:themeColor="text1"/>
              <w:right w:val="nil"/>
            </w:tcBorders>
            <w:shd w:val="clear" w:color="auto" w:fill="auto"/>
            <w:vAlign w:val="center"/>
            <w:hideMark/>
          </w:tcPr>
          <w:p w14:paraId="6CD25098" w14:textId="713E5D22" w:rsidR="007A66B0" w:rsidRPr="007A66B0" w:rsidRDefault="006F2291" w:rsidP="007A66B0">
            <w:pPr>
              <w:keepLines w:val="0"/>
              <w:spacing w:before="0" w:after="0" w:line="240" w:lineRule="auto"/>
              <w:jc w:val="right"/>
              <w:rPr>
                <w:rFonts w:ascii="Arial" w:eastAsia="Times New Roman" w:hAnsi="Arial" w:cs="Arial"/>
                <w:color w:val="000000"/>
                <w:sz w:val="17"/>
                <w:szCs w:val="17"/>
                <w:lang w:eastAsia="en-AU"/>
              </w:rPr>
            </w:pPr>
            <w:r>
              <w:rPr>
                <w:rFonts w:ascii="Arial" w:eastAsia="Times New Roman" w:hAnsi="Arial" w:cs="Arial"/>
                <w:b/>
                <w:bCs/>
                <w:color w:val="000000"/>
                <w:sz w:val="17"/>
                <w:szCs w:val="17"/>
                <w:lang w:eastAsia="en-AU"/>
              </w:rPr>
              <w:t>43</w:t>
            </w:r>
            <w:r w:rsidR="007A66B0" w:rsidRPr="007A66B0">
              <w:rPr>
                <w:rFonts w:ascii="Arial" w:eastAsia="Times New Roman" w:hAnsi="Arial" w:cs="Arial"/>
                <w:b/>
                <w:bCs/>
                <w:color w:val="000000"/>
                <w:sz w:val="17"/>
                <w:szCs w:val="17"/>
                <w:lang w:eastAsia="en-AU"/>
              </w:rPr>
              <w:t xml:space="preserve"> </w:t>
            </w:r>
            <w:r>
              <w:rPr>
                <w:rFonts w:ascii="Arial" w:eastAsia="Times New Roman" w:hAnsi="Arial" w:cs="Arial"/>
                <w:b/>
                <w:bCs/>
                <w:color w:val="000000"/>
                <w:sz w:val="17"/>
                <w:szCs w:val="17"/>
                <w:lang w:eastAsia="en-AU"/>
              </w:rPr>
              <w:t>694</w:t>
            </w:r>
          </w:p>
        </w:tc>
      </w:tr>
    </w:tbl>
    <w:p w14:paraId="3ED242B2" w14:textId="77777777" w:rsidR="007A66B0" w:rsidRPr="007A66B0" w:rsidRDefault="007A66B0" w:rsidP="007A66B0"/>
    <w:p w14:paraId="034820A3" w14:textId="77777777" w:rsidR="003719CD" w:rsidRPr="000E017E" w:rsidRDefault="003719CD" w:rsidP="007D536F">
      <w:pPr>
        <w:pStyle w:val="GuidanceBlockHeading"/>
      </w:pPr>
      <w:r w:rsidRPr="000E017E">
        <w:t>Guidance – Correction of prior period errors and changes in accounting policy and accounting estimates</w:t>
      </w:r>
    </w:p>
    <w:p w14:paraId="0118C9D6" w14:textId="77777777" w:rsidR="003719CD" w:rsidRPr="000E017E" w:rsidRDefault="003719CD" w:rsidP="007D536F">
      <w:pPr>
        <w:pStyle w:val="GuidanceHeading"/>
        <w:rPr>
          <w:rStyle w:val="Guidance"/>
        </w:rPr>
      </w:pPr>
      <w:r w:rsidRPr="000E017E">
        <w:rPr>
          <w:rStyle w:val="Guidance"/>
        </w:rPr>
        <w:t>Prior period errors</w:t>
      </w:r>
    </w:p>
    <w:p w14:paraId="2F03C833" w14:textId="77777777" w:rsidR="003719CD" w:rsidRPr="000E017E" w:rsidRDefault="003719CD" w:rsidP="007D536F">
      <w:pPr>
        <w:rPr>
          <w:rStyle w:val="Guidance"/>
        </w:rPr>
      </w:pPr>
      <w:r w:rsidRPr="000E017E">
        <w:rPr>
          <w:rStyle w:val="Guidance"/>
        </w:rPr>
        <w:t>Material prior period errors shall be retrospectively corrected in the first complete set of financial statements authorised for issue after their discovery by:</w:t>
      </w:r>
    </w:p>
    <w:p w14:paraId="3F241281" w14:textId="189A156B" w:rsidR="003719CD" w:rsidRPr="000E017E" w:rsidRDefault="003719CD" w:rsidP="00310F12">
      <w:pPr>
        <w:pStyle w:val="ListBullet"/>
        <w:rPr>
          <w:rStyle w:val="Guidance"/>
        </w:rPr>
      </w:pPr>
      <w:r w:rsidRPr="000E017E">
        <w:rPr>
          <w:rStyle w:val="Guidance"/>
        </w:rPr>
        <w:t>restating the comparative amounts for the prior period(s) presented in which the error occurred</w:t>
      </w:r>
    </w:p>
    <w:p w14:paraId="65E6BE95" w14:textId="77777777" w:rsidR="003719CD" w:rsidRPr="000E017E" w:rsidRDefault="003719CD" w:rsidP="00310F12">
      <w:pPr>
        <w:pStyle w:val="ListBullet"/>
        <w:rPr>
          <w:rStyle w:val="Guidance"/>
        </w:rPr>
      </w:pPr>
      <w:r w:rsidRPr="000E017E">
        <w:rPr>
          <w:rStyle w:val="Guidance"/>
        </w:rPr>
        <w:t xml:space="preserve">if the error occurred before the earliest prior period presented, restating the opening balances of assets, liabilities and equity for the earliest prior period presented. </w:t>
      </w:r>
      <w:r w:rsidRPr="000E017E">
        <w:rPr>
          <w:rStyle w:val="Reference"/>
        </w:rPr>
        <w:t>[AASB 108.42]</w:t>
      </w:r>
    </w:p>
    <w:p w14:paraId="602A48DF" w14:textId="77777777" w:rsidR="003719CD" w:rsidRPr="000E017E" w:rsidRDefault="003719CD" w:rsidP="007D536F">
      <w:pPr>
        <w:rPr>
          <w:rStyle w:val="Guidance"/>
        </w:rPr>
      </w:pPr>
      <w:r w:rsidRPr="000E017E">
        <w:rPr>
          <w:rStyle w:val="Guidance"/>
        </w:rPr>
        <w:t>Exceptions to this will be made to the extent that it is impracticable to determine the:</w:t>
      </w:r>
    </w:p>
    <w:p w14:paraId="513A7EAF" w14:textId="13523168" w:rsidR="003719CD" w:rsidRPr="000E017E" w:rsidRDefault="003719CD" w:rsidP="00310F12">
      <w:pPr>
        <w:pStyle w:val="ListBullet"/>
        <w:rPr>
          <w:rStyle w:val="Guidance"/>
        </w:rPr>
      </w:pPr>
      <w:r w:rsidRPr="000E017E">
        <w:rPr>
          <w:rStyle w:val="Guidance"/>
        </w:rPr>
        <w:t>period specific effects of an error on comparative information for one or more prior periods presented. The entity shall then restate the opening balances of assets, liabilities and equity for the earliest period for which retrospective restatement is practicable (which may be the current period</w:t>
      </w:r>
      <w:r w:rsidR="00932653">
        <w:rPr>
          <w:rStyle w:val="Guidance"/>
        </w:rPr>
        <w:t>).</w:t>
      </w:r>
      <w:r w:rsidRPr="000E017E">
        <w:rPr>
          <w:rStyle w:val="Guidance"/>
        </w:rPr>
        <w:t xml:space="preserve"> </w:t>
      </w:r>
      <w:r w:rsidRPr="000E017E">
        <w:rPr>
          <w:rStyle w:val="Reference"/>
        </w:rPr>
        <w:t>[AASB 108.44]</w:t>
      </w:r>
    </w:p>
    <w:p w14:paraId="4C1ADA16" w14:textId="77777777" w:rsidR="003719CD" w:rsidRPr="000E017E" w:rsidRDefault="003719CD" w:rsidP="00310F12">
      <w:pPr>
        <w:pStyle w:val="ListBullet"/>
        <w:rPr>
          <w:rStyle w:val="Guidance"/>
        </w:rPr>
      </w:pPr>
      <w:r w:rsidRPr="000E017E">
        <w:rPr>
          <w:rStyle w:val="Guidance"/>
        </w:rPr>
        <w:t xml:space="preserve">cumulative effect, at the beginning of the current period, of an error on all prior periods. The entity shall then restate the comparative information to correct the error prospectively from the earliest date practicable. </w:t>
      </w:r>
      <w:r w:rsidRPr="000E017E">
        <w:rPr>
          <w:rStyle w:val="Reference"/>
        </w:rPr>
        <w:t>[AASB 108.45]</w:t>
      </w:r>
    </w:p>
    <w:p w14:paraId="3D2D6804" w14:textId="77777777" w:rsidR="003719CD" w:rsidRPr="000E017E" w:rsidRDefault="003719CD" w:rsidP="007D536F">
      <w:pPr>
        <w:rPr>
          <w:rStyle w:val="Guidance"/>
        </w:rPr>
      </w:pPr>
      <w:r w:rsidRPr="000E017E">
        <w:rPr>
          <w:rStyle w:val="Guidance"/>
        </w:rPr>
        <w:t xml:space="preserve">The correction of a prior period error is excluded from the net result for the period in which the error is discovered. Any information presented about prior periods, including any historical summaries of financial data, is restated as far back as is practicable. </w:t>
      </w:r>
      <w:r w:rsidRPr="000E017E">
        <w:rPr>
          <w:rStyle w:val="Reference"/>
        </w:rPr>
        <w:t>[AASB 108.46]</w:t>
      </w:r>
    </w:p>
    <w:p w14:paraId="11FC3C1F" w14:textId="77777777" w:rsidR="003719CD" w:rsidRPr="000E017E" w:rsidRDefault="003719CD" w:rsidP="007D536F">
      <w:pPr>
        <w:pStyle w:val="GuidanceHeading"/>
      </w:pPr>
      <w:r w:rsidRPr="000E017E">
        <w:t>Changes in accounting policy</w:t>
      </w:r>
    </w:p>
    <w:p w14:paraId="149B1C80" w14:textId="77777777" w:rsidR="003719CD" w:rsidRPr="000E017E" w:rsidRDefault="003719CD" w:rsidP="007D536F">
      <w:pPr>
        <w:rPr>
          <w:rStyle w:val="Guidance"/>
        </w:rPr>
      </w:pPr>
      <w:r w:rsidRPr="000E017E">
        <w:rPr>
          <w:rStyle w:val="Guidance"/>
        </w:rPr>
        <w:t xml:space="preserve">A change in accounting policy resulting from the initial application of an AAS shall be applied in accordance with the transitional provisions of that AAS. Where specific transitional provisions are not included, the change shall be applied retrospectively. </w:t>
      </w:r>
      <w:r w:rsidRPr="000E017E">
        <w:rPr>
          <w:rStyle w:val="Reference"/>
        </w:rPr>
        <w:t>[AASB 108.19]</w:t>
      </w:r>
    </w:p>
    <w:p w14:paraId="1DA1068F" w14:textId="77777777" w:rsidR="003719CD" w:rsidRPr="000E017E" w:rsidRDefault="003719CD" w:rsidP="007D536F">
      <w:pPr>
        <w:rPr>
          <w:rStyle w:val="Guidance"/>
        </w:rPr>
      </w:pPr>
      <w:r w:rsidRPr="000E017E">
        <w:rPr>
          <w:rStyle w:val="Guidance"/>
        </w:rPr>
        <w:lastRenderedPageBreak/>
        <w:t xml:space="preserve">Where a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 </w:t>
      </w:r>
      <w:r w:rsidRPr="000E017E">
        <w:rPr>
          <w:rStyle w:val="Reference"/>
        </w:rPr>
        <w:t>[AASB 108.22]</w:t>
      </w:r>
    </w:p>
    <w:p w14:paraId="45856E4C" w14:textId="77777777" w:rsidR="003719CD" w:rsidRPr="000E017E" w:rsidRDefault="003719CD" w:rsidP="007D536F">
      <w:pPr>
        <w:rPr>
          <w:rStyle w:val="Guidance"/>
        </w:rPr>
      </w:pPr>
      <w:r w:rsidRPr="000E017E">
        <w:rPr>
          <w:rStyle w:val="Guidance"/>
        </w:rPr>
        <w:t xml:space="preserve">When there is a change in accounting policy that requires the changes to be applied retrospectively, entities must disclose the amount of the adjustment relating to the previous periods to the extent practicable. </w:t>
      </w:r>
      <w:r w:rsidRPr="000E017E">
        <w:rPr>
          <w:rStyle w:val="Reference"/>
        </w:rPr>
        <w:t>[AASB 108.28 (g)]</w:t>
      </w:r>
    </w:p>
    <w:p w14:paraId="2AE524FD" w14:textId="77777777" w:rsidR="003719CD" w:rsidRPr="000E017E" w:rsidRDefault="003719CD" w:rsidP="007D536F">
      <w:pPr>
        <w:rPr>
          <w:rStyle w:val="Guidance"/>
        </w:rPr>
      </w:pPr>
      <w:r w:rsidRPr="00CD06B1">
        <w:rPr>
          <w:rStyle w:val="Guidance"/>
          <w:b/>
        </w:rPr>
        <w:t>Third balance sheet:</w:t>
      </w:r>
      <w:r w:rsidRPr="000E017E">
        <w:rPr>
          <w:rStyle w:val="Guidance"/>
        </w:rPr>
        <w:t xml:space="preserve"> When an accounting policy is applied retrospectively, the correction of an error is made retrospectively and/or a reclassification of items is made in the financial statements, the public sector entity will be required to present, as a minimum, three balance sheets.</w:t>
      </w:r>
    </w:p>
    <w:p w14:paraId="33C8CD69" w14:textId="77777777" w:rsidR="003719CD" w:rsidRPr="000E017E" w:rsidRDefault="003719CD" w:rsidP="007D536F">
      <w:pPr>
        <w:rPr>
          <w:rStyle w:val="Guidance"/>
        </w:rPr>
      </w:pPr>
      <w:r w:rsidRPr="000E017E">
        <w:rPr>
          <w:rStyle w:val="Guidance"/>
        </w:rPr>
        <w:t xml:space="preserve">The balance sheets to be presented are: </w:t>
      </w:r>
    </w:p>
    <w:p w14:paraId="397D0445" w14:textId="7885F320" w:rsidR="003719CD" w:rsidRPr="000E017E" w:rsidRDefault="003719CD" w:rsidP="00310F12">
      <w:pPr>
        <w:pStyle w:val="ListBullet"/>
        <w:rPr>
          <w:rStyle w:val="Guidance"/>
        </w:rPr>
      </w:pPr>
      <w:r w:rsidRPr="000E017E">
        <w:rPr>
          <w:rStyle w:val="Guidance"/>
        </w:rPr>
        <w:t>at the end of the current period</w:t>
      </w:r>
    </w:p>
    <w:p w14:paraId="0C199DB7" w14:textId="45CD197F" w:rsidR="003719CD" w:rsidRPr="000E017E" w:rsidRDefault="003719CD" w:rsidP="00310F12">
      <w:pPr>
        <w:pStyle w:val="ListBullet"/>
        <w:rPr>
          <w:rStyle w:val="Guidance"/>
        </w:rPr>
      </w:pPr>
      <w:r w:rsidRPr="000E017E">
        <w:rPr>
          <w:rStyle w:val="Guidance"/>
        </w:rPr>
        <w:t>at the end of the previous period</w:t>
      </w:r>
    </w:p>
    <w:p w14:paraId="4DC4365E" w14:textId="77777777" w:rsidR="003719CD" w:rsidRPr="000E017E" w:rsidRDefault="003719CD" w:rsidP="00310F12">
      <w:pPr>
        <w:pStyle w:val="ListBullet"/>
        <w:rPr>
          <w:rStyle w:val="Guidance"/>
        </w:rPr>
      </w:pPr>
      <w:r w:rsidRPr="000E017E">
        <w:rPr>
          <w:rStyle w:val="Guidance"/>
        </w:rPr>
        <w:t xml:space="preserve">at the beginning of the earliest comparative period. </w:t>
      </w:r>
    </w:p>
    <w:p w14:paraId="7B669986" w14:textId="77777777" w:rsidR="003719CD" w:rsidRPr="000E017E" w:rsidRDefault="003719CD" w:rsidP="007D536F">
      <w:pPr>
        <w:rPr>
          <w:rStyle w:val="Guidance"/>
        </w:rPr>
      </w:pPr>
      <w:r w:rsidRPr="000E017E">
        <w:rPr>
          <w:rStyle w:val="Guidance"/>
        </w:rPr>
        <w:t xml:space="preserve">However, a third balance sheet is not required when the adjustment is immaterial to the financial position at the beginning of the preceding period. </w:t>
      </w:r>
      <w:r w:rsidRPr="000E017E">
        <w:rPr>
          <w:rStyle w:val="Reference"/>
        </w:rPr>
        <w:t>[AASB 101.40A]</w:t>
      </w:r>
    </w:p>
    <w:p w14:paraId="2A1CA0AB" w14:textId="77777777" w:rsidR="003719CD" w:rsidRPr="000E017E" w:rsidRDefault="003719CD" w:rsidP="007D536F">
      <w:pPr>
        <w:pStyle w:val="GuidanceHeading"/>
        <w:rPr>
          <w:rStyle w:val="Guidance"/>
        </w:rPr>
      </w:pPr>
      <w:r w:rsidRPr="000E017E">
        <w:rPr>
          <w:rStyle w:val="Guidance"/>
        </w:rPr>
        <w:t xml:space="preserve">Inappropriate accounting policies not rectified by disclosure </w:t>
      </w:r>
      <w:r w:rsidRPr="000E017E">
        <w:rPr>
          <w:rStyle w:val="Reference"/>
        </w:rPr>
        <w:t>[AASB 101.18]</w:t>
      </w:r>
    </w:p>
    <w:p w14:paraId="274C84AF" w14:textId="77777777" w:rsidR="003719CD" w:rsidRPr="000E017E" w:rsidRDefault="003719CD" w:rsidP="007D536F">
      <w:pPr>
        <w:rPr>
          <w:rStyle w:val="Guidance"/>
        </w:rPr>
      </w:pPr>
      <w:r w:rsidRPr="000E017E">
        <w:rPr>
          <w:rStyle w:val="Guidance"/>
        </w:rPr>
        <w:t>Inappropriate accounting policies are not rectified either by disclosure of the accounting policies used or by notes or explanatory material.</w:t>
      </w:r>
    </w:p>
    <w:p w14:paraId="3D8AE8C5" w14:textId="77777777" w:rsidR="003719CD" w:rsidRPr="000E017E" w:rsidRDefault="003719CD" w:rsidP="007D536F">
      <w:pPr>
        <w:pStyle w:val="GuidanceHeading"/>
        <w:rPr>
          <w:rStyle w:val="Guidance"/>
        </w:rPr>
      </w:pPr>
      <w:r w:rsidRPr="000E017E">
        <w:rPr>
          <w:rStyle w:val="Guidance"/>
        </w:rPr>
        <w:t xml:space="preserve">Voluntary changes in accounting policies </w:t>
      </w:r>
      <w:r w:rsidRPr="000E017E">
        <w:rPr>
          <w:rStyle w:val="Reference"/>
        </w:rPr>
        <w:t>[AASB 108.14]</w:t>
      </w:r>
    </w:p>
    <w:p w14:paraId="15109414" w14:textId="77777777" w:rsidR="003719CD" w:rsidRPr="000E017E" w:rsidRDefault="003719CD" w:rsidP="007D536F">
      <w:pPr>
        <w:rPr>
          <w:rStyle w:val="Guidance"/>
        </w:rPr>
      </w:pPr>
      <w:r w:rsidRPr="000E017E">
        <w:rPr>
          <w:rStyle w:val="Guidance"/>
        </w:rPr>
        <w:t>An entity shall change an accounting policy only if the change:</w:t>
      </w:r>
    </w:p>
    <w:p w14:paraId="380D73D2" w14:textId="6857F52D" w:rsidR="003719CD" w:rsidRPr="000E017E" w:rsidRDefault="003719CD" w:rsidP="00310F12">
      <w:pPr>
        <w:pStyle w:val="ListBullet"/>
        <w:rPr>
          <w:rStyle w:val="Guidance"/>
        </w:rPr>
      </w:pPr>
      <w:r w:rsidRPr="000E017E">
        <w:rPr>
          <w:rStyle w:val="Guidance"/>
        </w:rPr>
        <w:t>is required by an AAS</w:t>
      </w:r>
    </w:p>
    <w:p w14:paraId="77210DBC" w14:textId="77777777" w:rsidR="003719CD" w:rsidRPr="000E017E" w:rsidRDefault="003719CD" w:rsidP="00310F12">
      <w:pPr>
        <w:pStyle w:val="ListBullet"/>
        <w:rPr>
          <w:rStyle w:val="Guidance"/>
        </w:rPr>
      </w:pPr>
      <w:r w:rsidRPr="000E017E">
        <w:rPr>
          <w:rStyle w:val="Guidance"/>
        </w:rPr>
        <w:t>results in the financial statements providing reliable and more relevant information about the effects of transactions, other events or conditions on the entity’s financial position, financial performance or cash flows.</w:t>
      </w:r>
    </w:p>
    <w:p w14:paraId="4A18EC51" w14:textId="77777777" w:rsidR="003719CD" w:rsidRPr="000E017E" w:rsidRDefault="003719CD" w:rsidP="007D536F">
      <w:pPr>
        <w:rPr>
          <w:rStyle w:val="Guidance"/>
        </w:rPr>
      </w:pPr>
      <w:r w:rsidRPr="000E017E">
        <w:rPr>
          <w:rStyle w:val="Guidance"/>
        </w:rPr>
        <w:t xml:space="preserve">When a voluntary change in accounting policy has an effect on the current period or any prior period, or would have an effect on that period except that it is impracticable to determine the amount of the adjustment, or might have an effect on future periods, an entity shall disclose: </w:t>
      </w:r>
      <w:r w:rsidRPr="000E017E">
        <w:rPr>
          <w:rStyle w:val="Reference"/>
        </w:rPr>
        <w:t>[AASB 108.29]</w:t>
      </w:r>
    </w:p>
    <w:p w14:paraId="392EC58E" w14:textId="1165A999" w:rsidR="003719CD" w:rsidRPr="000E017E" w:rsidRDefault="003719CD" w:rsidP="00310F12">
      <w:pPr>
        <w:pStyle w:val="ListBullet"/>
        <w:rPr>
          <w:rStyle w:val="Guidance"/>
        </w:rPr>
      </w:pPr>
      <w:r w:rsidRPr="000E017E">
        <w:rPr>
          <w:rStyle w:val="Guidance"/>
        </w:rPr>
        <w:t>the nature of the change in accounting policy</w:t>
      </w:r>
    </w:p>
    <w:p w14:paraId="525DA22A" w14:textId="04281BCA" w:rsidR="003719CD" w:rsidRPr="000E017E" w:rsidRDefault="003719CD" w:rsidP="00310F12">
      <w:pPr>
        <w:pStyle w:val="ListBullet"/>
        <w:rPr>
          <w:rStyle w:val="Guidance"/>
        </w:rPr>
      </w:pPr>
      <w:r w:rsidRPr="000E017E">
        <w:rPr>
          <w:rStyle w:val="Guidance"/>
        </w:rPr>
        <w:t>the reasons why applying the new accounting policy provides reliable and more relevant information</w:t>
      </w:r>
    </w:p>
    <w:p w14:paraId="6D230D55" w14:textId="77777777" w:rsidR="003719CD" w:rsidRPr="000E017E" w:rsidRDefault="003719CD" w:rsidP="00310F12">
      <w:pPr>
        <w:pStyle w:val="ListBullet"/>
        <w:rPr>
          <w:rStyle w:val="Guidance"/>
        </w:rPr>
      </w:pPr>
      <w:r w:rsidRPr="000E017E">
        <w:rPr>
          <w:rStyle w:val="Guidance"/>
        </w:rPr>
        <w:t>for the current period and each prior period presented, to the extent practicable, the amount of the adjustment:</w:t>
      </w:r>
    </w:p>
    <w:p w14:paraId="74C35B2E" w14:textId="61AF55F1" w:rsidR="003719CD" w:rsidRPr="000E017E" w:rsidRDefault="003719CD" w:rsidP="00B94A26">
      <w:pPr>
        <w:pStyle w:val="ListBullet2"/>
        <w:rPr>
          <w:rStyle w:val="Guidance"/>
        </w:rPr>
      </w:pPr>
      <w:r w:rsidRPr="000E017E">
        <w:rPr>
          <w:rStyle w:val="Guidance"/>
        </w:rPr>
        <w:t>for each financial statement’s line item affected</w:t>
      </w:r>
    </w:p>
    <w:p w14:paraId="058DE3BC" w14:textId="77777777" w:rsidR="003719CD" w:rsidRPr="000E017E" w:rsidRDefault="003719CD" w:rsidP="00B94A26">
      <w:pPr>
        <w:pStyle w:val="ListBullet2"/>
        <w:rPr>
          <w:rStyle w:val="Guidance"/>
        </w:rPr>
      </w:pPr>
      <w:r w:rsidRPr="000E017E">
        <w:rPr>
          <w:rStyle w:val="Guidance"/>
        </w:rPr>
        <w:t>if AASB 133 applies, for basic and diluted earnings per share.</w:t>
      </w:r>
    </w:p>
    <w:p w14:paraId="2F6645B1" w14:textId="1E80ECB3" w:rsidR="003719CD" w:rsidRPr="000E017E" w:rsidRDefault="003719CD" w:rsidP="00310F12">
      <w:pPr>
        <w:pStyle w:val="ListBullet"/>
        <w:rPr>
          <w:rStyle w:val="Guidance"/>
        </w:rPr>
      </w:pPr>
      <w:r w:rsidRPr="000E017E">
        <w:rPr>
          <w:rStyle w:val="Guidance"/>
        </w:rPr>
        <w:t>the amount of the adjustment relating to periods before those presented, to the extent practicable</w:t>
      </w:r>
    </w:p>
    <w:p w14:paraId="018C5918" w14:textId="77777777" w:rsidR="003719CD" w:rsidRPr="000E017E" w:rsidRDefault="003719CD" w:rsidP="00310F12">
      <w:pPr>
        <w:pStyle w:val="ListBullet"/>
        <w:rPr>
          <w:rStyle w:val="Guidance"/>
        </w:rPr>
      </w:pPr>
      <w:r w:rsidRPr="000E017E">
        <w:rPr>
          <w:rStyle w:val="Guidance"/>
        </w:rPr>
        <w:t>if retrospective application of the accounting policy is impracticable for a particular prior period, or for periods before those presented, the circumstances that led to the existence of that condition and a description of how and from when the change in accounting policy has been applied.</w:t>
      </w:r>
    </w:p>
    <w:p w14:paraId="00428D45" w14:textId="77777777" w:rsidR="003719CD" w:rsidRPr="000E017E" w:rsidRDefault="003719CD" w:rsidP="007D536F">
      <w:pPr>
        <w:pStyle w:val="GuidanceHeading"/>
        <w:rPr>
          <w:rStyle w:val="Guidance"/>
        </w:rPr>
      </w:pPr>
      <w:r w:rsidRPr="000E017E">
        <w:rPr>
          <w:rStyle w:val="Guidance"/>
        </w:rPr>
        <w:t xml:space="preserve">Effect of changes in accounting policy of equity </w:t>
      </w:r>
      <w:r w:rsidRPr="000E017E">
        <w:rPr>
          <w:rStyle w:val="Reference"/>
        </w:rPr>
        <w:t>[AASB 101.106(b)]</w:t>
      </w:r>
    </w:p>
    <w:p w14:paraId="14322F3E" w14:textId="77777777" w:rsidR="003719CD" w:rsidRPr="000E017E" w:rsidRDefault="003719CD" w:rsidP="007D536F">
      <w:pPr>
        <w:rPr>
          <w:rStyle w:val="Guidance"/>
        </w:rPr>
      </w:pPr>
      <w:r w:rsidRPr="000E017E">
        <w:rPr>
          <w:rStyle w:val="Guidance"/>
        </w:rPr>
        <w:t>For each component of equity affected by the change in accounting policy, AASB 101 requires that the entity discloses the effects of retrospective application or retrospective restatement recognised in accordance with AASB 108.</w:t>
      </w:r>
    </w:p>
    <w:p w14:paraId="644B0BB6" w14:textId="77777777" w:rsidR="003719CD" w:rsidRPr="000E017E" w:rsidRDefault="003719CD" w:rsidP="007D536F">
      <w:pPr>
        <w:pStyle w:val="GuidanceHeading"/>
        <w:rPr>
          <w:rStyle w:val="Guidance"/>
        </w:rPr>
      </w:pPr>
      <w:r w:rsidRPr="000E017E">
        <w:rPr>
          <w:rStyle w:val="Guidance"/>
        </w:rPr>
        <w:t xml:space="preserve">Change in accounting estimates </w:t>
      </w:r>
      <w:r w:rsidRPr="000E017E">
        <w:rPr>
          <w:rStyle w:val="Reference"/>
        </w:rPr>
        <w:t>[AASB 116.76]</w:t>
      </w:r>
    </w:p>
    <w:p w14:paraId="2E0D43AC" w14:textId="77777777" w:rsidR="003719CD" w:rsidRPr="000E017E" w:rsidRDefault="003719CD" w:rsidP="007D536F">
      <w:pPr>
        <w:rPr>
          <w:rStyle w:val="Guidance"/>
        </w:rPr>
      </w:pPr>
      <w:r w:rsidRPr="000E017E">
        <w:rPr>
          <w:rStyle w:val="Guidance"/>
        </w:rPr>
        <w:t xml:space="preserve">An entity shall disclose the nature and effect of a change in an accounting estimate that has an effect in the current period or is expected to have an effect in subsequent periods. For property, plant and equipment, such disclosure may arise from changes in estimates with respect to: </w:t>
      </w:r>
    </w:p>
    <w:p w14:paraId="4DE9EF4E" w14:textId="530542F4" w:rsidR="003719CD" w:rsidRPr="000E017E" w:rsidRDefault="003719CD" w:rsidP="00310F12">
      <w:pPr>
        <w:pStyle w:val="ListBullet"/>
        <w:rPr>
          <w:rStyle w:val="Guidance"/>
        </w:rPr>
      </w:pPr>
      <w:r w:rsidRPr="000E017E">
        <w:rPr>
          <w:rStyle w:val="Guidance"/>
        </w:rPr>
        <w:t>residual values</w:t>
      </w:r>
    </w:p>
    <w:p w14:paraId="228E6AAA" w14:textId="0BE65FC3" w:rsidR="003719CD" w:rsidRPr="000E017E" w:rsidRDefault="003719CD" w:rsidP="00310F12">
      <w:pPr>
        <w:pStyle w:val="ListBullet"/>
        <w:rPr>
          <w:rStyle w:val="Guidance"/>
        </w:rPr>
      </w:pPr>
      <w:r w:rsidRPr="000E017E">
        <w:rPr>
          <w:rStyle w:val="Guidance"/>
        </w:rPr>
        <w:t>the estimated costs of dismantling, removing or restoring items of property, plant and equipment</w:t>
      </w:r>
    </w:p>
    <w:p w14:paraId="4C9EC1BE" w14:textId="58AD9E32" w:rsidR="003719CD" w:rsidRPr="000E017E" w:rsidRDefault="003719CD" w:rsidP="00310F12">
      <w:pPr>
        <w:pStyle w:val="ListBullet"/>
        <w:rPr>
          <w:rStyle w:val="Guidance"/>
        </w:rPr>
      </w:pPr>
      <w:r w:rsidRPr="000E017E">
        <w:rPr>
          <w:rStyle w:val="Guidance"/>
        </w:rPr>
        <w:t>useful lives</w:t>
      </w:r>
    </w:p>
    <w:p w14:paraId="098EF99F" w14:textId="3D24D3DF" w:rsidR="00BD3823" w:rsidRDefault="003719CD" w:rsidP="00310F12">
      <w:pPr>
        <w:pStyle w:val="ListBullet"/>
        <w:rPr>
          <w:rStyle w:val="Guidance"/>
          <w:b/>
          <w:sz w:val="20"/>
          <w:szCs w:val="20"/>
        </w:rPr>
      </w:pPr>
      <w:r w:rsidRPr="000E017E">
        <w:rPr>
          <w:rStyle w:val="Guidance"/>
        </w:rPr>
        <w:t>depreciation methods.</w:t>
      </w:r>
      <w:r w:rsidR="00BD3823">
        <w:rPr>
          <w:rStyle w:val="Guidance"/>
        </w:rPr>
        <w:br w:type="page"/>
      </w:r>
    </w:p>
    <w:p w14:paraId="757F99F9" w14:textId="7444AC32" w:rsidR="003719CD" w:rsidRPr="000E017E" w:rsidRDefault="003719CD" w:rsidP="007D536F">
      <w:pPr>
        <w:pStyle w:val="GuidanceHeading"/>
        <w:rPr>
          <w:rStyle w:val="Guidance"/>
        </w:rPr>
      </w:pPr>
      <w:r w:rsidRPr="000E017E">
        <w:rPr>
          <w:rStyle w:val="Guidance"/>
        </w:rPr>
        <w:lastRenderedPageBreak/>
        <w:t xml:space="preserve">Recognition </w:t>
      </w:r>
      <w:r w:rsidRPr="000E017E">
        <w:rPr>
          <w:rStyle w:val="Reference"/>
        </w:rPr>
        <w:t>[AASB 108.36-37]</w:t>
      </w:r>
    </w:p>
    <w:p w14:paraId="3B42E9DB" w14:textId="59288F87" w:rsidR="003719CD" w:rsidRPr="000E017E" w:rsidRDefault="003719CD" w:rsidP="007D536F">
      <w:pPr>
        <w:rPr>
          <w:rStyle w:val="Guidance"/>
        </w:rPr>
      </w:pPr>
      <w:r w:rsidRPr="000E017E">
        <w:rPr>
          <w:rStyle w:val="Guidance"/>
        </w:rPr>
        <w:t>The effect of a change in an accounting estimate, shall be recognised prospectively by including it in the net result in</w:t>
      </w:r>
      <w:r w:rsidR="0064359F">
        <w:rPr>
          <w:rStyle w:val="Guidance"/>
        </w:rPr>
        <w:t xml:space="preserve"> either</w:t>
      </w:r>
      <w:r w:rsidRPr="000E017E">
        <w:rPr>
          <w:rStyle w:val="Guidance"/>
        </w:rPr>
        <w:t>:</w:t>
      </w:r>
    </w:p>
    <w:p w14:paraId="11125A71" w14:textId="767A4ABD" w:rsidR="003719CD" w:rsidRPr="000E017E" w:rsidRDefault="003719CD" w:rsidP="00310F12">
      <w:pPr>
        <w:pStyle w:val="ListBullet"/>
        <w:rPr>
          <w:rStyle w:val="Guidance"/>
        </w:rPr>
      </w:pPr>
      <w:r w:rsidRPr="000E017E">
        <w:rPr>
          <w:rStyle w:val="Guidance"/>
        </w:rPr>
        <w:t>the period of the change if the change affects that period only</w:t>
      </w:r>
    </w:p>
    <w:p w14:paraId="08245967" w14:textId="4C921B9C" w:rsidR="003719CD" w:rsidRPr="000E017E" w:rsidRDefault="003719CD" w:rsidP="00310F12">
      <w:pPr>
        <w:pStyle w:val="ListBullet"/>
        <w:rPr>
          <w:rStyle w:val="Guidance"/>
        </w:rPr>
      </w:pPr>
      <w:r w:rsidRPr="000E017E">
        <w:rPr>
          <w:rStyle w:val="Guidance"/>
        </w:rPr>
        <w:t>the period of the change and future periods if the change affects both.</w:t>
      </w:r>
    </w:p>
    <w:p w14:paraId="7586684E" w14:textId="77777777" w:rsidR="003719CD" w:rsidRPr="000E017E" w:rsidRDefault="003719CD" w:rsidP="007D536F">
      <w:pPr>
        <w:rPr>
          <w:rStyle w:val="Guidance"/>
        </w:rPr>
      </w:pPr>
      <w:r w:rsidRPr="000E017E">
        <w:rPr>
          <w:rStyle w:val="Guidance"/>
        </w:rPr>
        <w:t xml:space="preserve">Except to the extent that a change in an accounting estimate gives rise to changes in assets and liabilities, or relates to an item of equity, it shall be recognised by adjusting the carrying amount of the related asset, liability or equity item in the period of the change. </w:t>
      </w:r>
    </w:p>
    <w:p w14:paraId="405C78C3" w14:textId="77777777" w:rsidR="003719CD" w:rsidRPr="000E017E" w:rsidRDefault="003719CD" w:rsidP="007D536F">
      <w:pPr>
        <w:pStyle w:val="GuidanceHeading"/>
        <w:rPr>
          <w:rStyle w:val="Guidance"/>
        </w:rPr>
      </w:pPr>
      <w:r w:rsidRPr="000E017E">
        <w:rPr>
          <w:rStyle w:val="Guidance"/>
        </w:rPr>
        <w:t xml:space="preserve">Disclosure requirements </w:t>
      </w:r>
      <w:r w:rsidRPr="000E017E">
        <w:rPr>
          <w:rStyle w:val="Reference"/>
        </w:rPr>
        <w:t>[AASB 108.39-40, AASB 116.76]</w:t>
      </w:r>
    </w:p>
    <w:p w14:paraId="3691B791" w14:textId="77777777" w:rsidR="003719CD" w:rsidRPr="000E017E" w:rsidRDefault="003719CD" w:rsidP="007D536F">
      <w:pPr>
        <w:rPr>
          <w:rStyle w:val="Guidance"/>
        </w:rPr>
      </w:pPr>
      <w:r w:rsidRPr="000E017E">
        <w:rPr>
          <w:rStyle w:val="Guidance"/>
        </w:rPr>
        <w:t xml:space="preserve">An entity shall disclose the nature and amount of a change in an accounting estimate that has an effect in the current period or is expected to have an effect in future periods, except for the disclosure of the effect on future periods when it is impracticable to estimate that effect. </w:t>
      </w:r>
    </w:p>
    <w:p w14:paraId="0F3C10A4" w14:textId="77777777" w:rsidR="003719CD" w:rsidRPr="000E017E" w:rsidRDefault="003719CD" w:rsidP="007D536F">
      <w:pPr>
        <w:rPr>
          <w:rStyle w:val="Guidance"/>
        </w:rPr>
      </w:pPr>
      <w:r w:rsidRPr="000E017E">
        <w:rPr>
          <w:rStyle w:val="Guidance"/>
        </w:rPr>
        <w:t xml:space="preserve">If the amount of the effect in future periods is not disclosed because estimating it is impracticable, this fact shall be disclosed. </w:t>
      </w:r>
    </w:p>
    <w:p w14:paraId="0E572AB0" w14:textId="77777777" w:rsidR="003719CD" w:rsidRPr="000E017E" w:rsidRDefault="003719CD" w:rsidP="007D536F">
      <w:pPr>
        <w:rPr>
          <w:rStyle w:val="Guidance"/>
        </w:rPr>
      </w:pPr>
      <w:r w:rsidRPr="000E017E">
        <w:rPr>
          <w:rStyle w:val="Guidance"/>
        </w:rPr>
        <w:t xml:space="preserve">Where a change in an accounting estimate affects the current reporting period only, the effect of the change shall be recognised in the net result in the reporting period in which the accounting estimate is revised. </w:t>
      </w:r>
      <w:r w:rsidRPr="000E017E">
        <w:rPr>
          <w:rStyle w:val="Reference"/>
        </w:rPr>
        <w:t>[AASB 108.36(a)]</w:t>
      </w:r>
    </w:p>
    <w:p w14:paraId="410D63E0" w14:textId="77777777" w:rsidR="003719CD" w:rsidRPr="000E017E" w:rsidRDefault="003719CD" w:rsidP="007D536F">
      <w:pPr>
        <w:rPr>
          <w:rStyle w:val="Guidance"/>
        </w:rPr>
      </w:pPr>
      <w:r w:rsidRPr="000E017E">
        <w:rPr>
          <w:rStyle w:val="Guidance"/>
        </w:rPr>
        <w:t xml:space="preserve">Where the change in an accounting estimate affects both the current and future reporting periods, the effect of the change shall be recognised in the net result in the reporting period of the revision and in future reporting periods. </w:t>
      </w:r>
      <w:r w:rsidRPr="000E017E">
        <w:rPr>
          <w:rStyle w:val="Reference"/>
        </w:rPr>
        <w:t>[AASB 108.36(b)]</w:t>
      </w:r>
    </w:p>
    <w:p w14:paraId="39BD5C38" w14:textId="77777777" w:rsidR="003719CD" w:rsidRPr="000E017E" w:rsidRDefault="003719CD" w:rsidP="007D536F">
      <w:pPr>
        <w:rPr>
          <w:rStyle w:val="Guidance"/>
        </w:rPr>
      </w:pPr>
      <w:r w:rsidRPr="000E017E">
        <w:rPr>
          <w:rStyle w:val="Guidance"/>
        </w:rPr>
        <w:t>For property, plant and equipment, disclosure of a change in an accounting estimate may arise from changes in estimates with respect to:</w:t>
      </w:r>
    </w:p>
    <w:p w14:paraId="3087B400" w14:textId="1C3A1FB1" w:rsidR="003719CD" w:rsidRPr="000E017E" w:rsidRDefault="003719CD" w:rsidP="00310F12">
      <w:pPr>
        <w:pStyle w:val="ListBullet"/>
        <w:rPr>
          <w:rStyle w:val="Guidance"/>
        </w:rPr>
      </w:pPr>
      <w:r w:rsidRPr="000E017E">
        <w:rPr>
          <w:rStyle w:val="Guidance"/>
        </w:rPr>
        <w:t>residual values</w:t>
      </w:r>
    </w:p>
    <w:p w14:paraId="61112DCD" w14:textId="7CDE91FA" w:rsidR="003719CD" w:rsidRPr="000E017E" w:rsidRDefault="003719CD" w:rsidP="00310F12">
      <w:pPr>
        <w:pStyle w:val="ListBullet"/>
        <w:rPr>
          <w:rStyle w:val="Guidance"/>
        </w:rPr>
      </w:pPr>
      <w:r w:rsidRPr="000E017E">
        <w:rPr>
          <w:rStyle w:val="Guidance"/>
        </w:rPr>
        <w:t>the estimated costs of dismantling, removing or restoring items of property, plant and equipment</w:t>
      </w:r>
    </w:p>
    <w:p w14:paraId="6B170E73" w14:textId="01932B5F" w:rsidR="003719CD" w:rsidRPr="000E017E" w:rsidRDefault="003719CD" w:rsidP="00310F12">
      <w:pPr>
        <w:pStyle w:val="ListBullet"/>
        <w:rPr>
          <w:rStyle w:val="Guidance"/>
        </w:rPr>
      </w:pPr>
      <w:r w:rsidRPr="000E017E">
        <w:rPr>
          <w:rStyle w:val="Guidance"/>
        </w:rPr>
        <w:t>useful lives</w:t>
      </w:r>
    </w:p>
    <w:p w14:paraId="6E925114" w14:textId="77777777" w:rsidR="003719CD" w:rsidRPr="000E017E" w:rsidRDefault="003719CD" w:rsidP="00310F12">
      <w:pPr>
        <w:pStyle w:val="ListBullet"/>
        <w:rPr>
          <w:rStyle w:val="Guidance"/>
        </w:rPr>
      </w:pPr>
      <w:r w:rsidRPr="000E017E">
        <w:rPr>
          <w:rStyle w:val="Guidance"/>
        </w:rPr>
        <w:t>depreciation methods.</w:t>
      </w:r>
    </w:p>
    <w:p w14:paraId="7E3D5D7B" w14:textId="77777777" w:rsidR="003719CD" w:rsidRPr="000E017E" w:rsidRDefault="003719CD" w:rsidP="007D536F">
      <w:pPr>
        <w:rPr>
          <w:rStyle w:val="Guidance"/>
        </w:rPr>
      </w:pPr>
      <w:r w:rsidRPr="000E017E">
        <w:rPr>
          <w:rStyle w:val="Guidance"/>
        </w:rPr>
        <w:t>If an estimate of an amount reported in an interim period is changed significantly during the final interim period of the annual reporting period but a separate set of financial statements is not published for that final interim period, the nature and amount of that change in estimate shall be disclosed in a note in the annual financial statements for that annual reporting period.</w:t>
      </w:r>
    </w:p>
    <w:p w14:paraId="13382335" w14:textId="77777777" w:rsidR="003719CD" w:rsidRPr="000E017E" w:rsidRDefault="003719CD" w:rsidP="007D536F">
      <w:pPr>
        <w:pStyle w:val="GuidanceHeading"/>
        <w:rPr>
          <w:rStyle w:val="Guidance"/>
        </w:rPr>
      </w:pPr>
      <w:r w:rsidRPr="000E017E">
        <w:rPr>
          <w:rStyle w:val="Guidance"/>
        </w:rPr>
        <w:t>Sample disclosure</w:t>
      </w:r>
    </w:p>
    <w:p w14:paraId="6BAB74E7" w14:textId="77777777" w:rsidR="003719CD" w:rsidRPr="000E017E" w:rsidRDefault="003719CD" w:rsidP="007D536F">
      <w:pPr>
        <w:rPr>
          <w:rStyle w:val="Guidance"/>
        </w:rPr>
      </w:pPr>
      <w:r w:rsidRPr="000E017E">
        <w:rPr>
          <w:rStyle w:val="Guidance"/>
        </w:rPr>
        <w:t>This note has been included as an example only and should be used only if there is a change in accounting policy.</w:t>
      </w:r>
    </w:p>
    <w:p w14:paraId="2BB0BB27" w14:textId="77777777" w:rsidR="003719CD" w:rsidRPr="000E017E" w:rsidRDefault="003719CD" w:rsidP="007D536F">
      <w:pPr>
        <w:rPr>
          <w:rStyle w:val="Guidance"/>
          <w:i/>
          <w:iCs/>
        </w:rPr>
      </w:pPr>
      <w:r w:rsidRPr="000E017E">
        <w:rPr>
          <w:rStyle w:val="Guidance"/>
          <w:i/>
          <w:iCs/>
        </w:rPr>
        <w:t>Reassessment of estimated useful lives of assets</w:t>
      </w:r>
    </w:p>
    <w:p w14:paraId="36089D1D" w14:textId="5892018E" w:rsidR="003719CD" w:rsidRPr="000E017E" w:rsidRDefault="003719CD" w:rsidP="007D536F">
      <w:pPr>
        <w:rPr>
          <w:rStyle w:val="Guidance"/>
        </w:rPr>
      </w:pPr>
      <w:r w:rsidRPr="000E017E">
        <w:rPr>
          <w:rStyle w:val="Guidance"/>
        </w:rPr>
        <w:t xml:space="preserve">During the financial year, the </w:t>
      </w:r>
      <w:r w:rsidR="000A55FA">
        <w:rPr>
          <w:rStyle w:val="Guidance"/>
        </w:rPr>
        <w:t>d</w:t>
      </w:r>
      <w:r w:rsidRPr="000E017E">
        <w:rPr>
          <w:rStyle w:val="Guidance"/>
        </w:rPr>
        <w:t xml:space="preserve">epartment reassessed the estimated total useful lives of certain items of plant and equipment used in [specify where]. The net financial effect of this reassessment in the current financial year was an increase in depreciation expense of the </w:t>
      </w:r>
      <w:r w:rsidR="00A2083E">
        <w:rPr>
          <w:rStyle w:val="Guidance"/>
        </w:rPr>
        <w:t>d</w:t>
      </w:r>
      <w:r w:rsidRPr="000E017E">
        <w:rPr>
          <w:rStyle w:val="Guidance"/>
        </w:rPr>
        <w:t>epartment of [$XX].</w:t>
      </w:r>
    </w:p>
    <w:p w14:paraId="03802221" w14:textId="77777777" w:rsidR="003719CD" w:rsidRPr="000E017E" w:rsidRDefault="003719CD" w:rsidP="007D536F">
      <w:pPr>
        <w:rPr>
          <w:rStyle w:val="Guidance"/>
        </w:rPr>
      </w:pPr>
      <w:r w:rsidRPr="000E017E">
        <w:rPr>
          <w:rStyle w:val="Guidance"/>
        </w:rPr>
        <w:t>Assuming the assets are held until the end of their estimated useful lives, depreciation of the departmental assets for the next four years in relation to these assets will be increased by the following amounts:</w:t>
      </w:r>
    </w:p>
    <w:p w14:paraId="65A9EF21" w14:textId="77777777" w:rsidR="003719CD" w:rsidRPr="000E017E" w:rsidRDefault="003719CD" w:rsidP="007D536F">
      <w:pPr>
        <w:tabs>
          <w:tab w:val="right" w:pos="4820"/>
        </w:tabs>
        <w:rPr>
          <w:rStyle w:val="Guidance"/>
          <w:b/>
          <w:bCs/>
        </w:rPr>
      </w:pPr>
      <w:r>
        <w:rPr>
          <w:rStyle w:val="Guidance"/>
          <w:b/>
          <w:bCs/>
        </w:rPr>
        <w:tab/>
      </w:r>
      <w:r w:rsidRPr="000E017E">
        <w:rPr>
          <w:rStyle w:val="Guidance"/>
          <w:b/>
          <w:bCs/>
        </w:rPr>
        <w:t>($ thousand)</w:t>
      </w:r>
    </w:p>
    <w:tbl>
      <w:tblPr>
        <w:tblStyle w:val="DTFTable"/>
        <w:tblW w:w="4820" w:type="dxa"/>
        <w:tblLook w:val="06A0" w:firstRow="1" w:lastRow="0" w:firstColumn="1" w:lastColumn="0" w:noHBand="1" w:noVBand="1"/>
      </w:tblPr>
      <w:tblGrid>
        <w:gridCol w:w="4063"/>
        <w:gridCol w:w="757"/>
      </w:tblGrid>
      <w:tr w:rsidR="003719CD" w:rsidRPr="004F78D7" w14:paraId="762CE4B8" w14:textId="77777777" w:rsidTr="007D5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63" w:type="dxa"/>
            <w:tcBorders>
              <w:bottom w:val="nil"/>
            </w:tcBorders>
            <w:shd w:val="clear" w:color="auto" w:fill="4472C4" w:themeFill="accent1"/>
          </w:tcPr>
          <w:p w14:paraId="4347A618" w14:textId="77777777" w:rsidR="003719CD" w:rsidRPr="004F78D7" w:rsidRDefault="003719CD" w:rsidP="007D536F">
            <w:pPr>
              <w:rPr>
                <w:rStyle w:val="Guidance"/>
                <w:color w:val="FFFFFF" w:themeColor="background1"/>
              </w:rPr>
            </w:pPr>
            <w:r w:rsidRPr="004F78D7">
              <w:rPr>
                <w:rStyle w:val="Guidance"/>
                <w:color w:val="FFFFFF" w:themeColor="background1"/>
              </w:rPr>
              <w:t>Year ending 30 June</w:t>
            </w:r>
          </w:p>
        </w:tc>
        <w:tc>
          <w:tcPr>
            <w:tcW w:w="757" w:type="dxa"/>
            <w:tcBorders>
              <w:bottom w:val="nil"/>
            </w:tcBorders>
            <w:shd w:val="clear" w:color="auto" w:fill="4472C4" w:themeFill="accent1"/>
          </w:tcPr>
          <w:p w14:paraId="2EBBD025" w14:textId="77777777" w:rsidR="003719CD" w:rsidRPr="004F78D7" w:rsidRDefault="003719CD" w:rsidP="007D536F">
            <w:pPr>
              <w:cnfStyle w:val="100000000000" w:firstRow="1" w:lastRow="0" w:firstColumn="0" w:lastColumn="0" w:oddVBand="0" w:evenVBand="0" w:oddHBand="0" w:evenHBand="0" w:firstRowFirstColumn="0" w:firstRowLastColumn="0" w:lastRowFirstColumn="0" w:lastRowLastColumn="0"/>
              <w:rPr>
                <w:rStyle w:val="Guidance"/>
                <w:color w:val="FFFFFF" w:themeColor="background1"/>
              </w:rPr>
            </w:pPr>
            <w:r w:rsidRPr="004F78D7">
              <w:rPr>
                <w:rStyle w:val="Guidance"/>
                <w:color w:val="FFFFFF" w:themeColor="background1"/>
              </w:rPr>
              <w:t>xx</w:t>
            </w:r>
          </w:p>
        </w:tc>
      </w:tr>
      <w:tr w:rsidR="003719CD" w:rsidRPr="00BD3823" w14:paraId="7627E910" w14:textId="77777777" w:rsidTr="007D536F">
        <w:tc>
          <w:tcPr>
            <w:cnfStyle w:val="001000000000" w:firstRow="0" w:lastRow="0" w:firstColumn="1" w:lastColumn="0" w:oddVBand="0" w:evenVBand="0" w:oddHBand="0" w:evenHBand="0" w:firstRowFirstColumn="0" w:firstRowLastColumn="0" w:lastRowFirstColumn="0" w:lastRowLastColumn="0"/>
            <w:tcW w:w="4063" w:type="dxa"/>
            <w:tcBorders>
              <w:top w:val="nil"/>
            </w:tcBorders>
          </w:tcPr>
          <w:p w14:paraId="334F5969" w14:textId="4BDB1B8B" w:rsidR="003719CD" w:rsidRPr="00BD3823" w:rsidRDefault="001F2260" w:rsidP="007D536F">
            <w:pPr>
              <w:rPr>
                <w:rStyle w:val="Guidance"/>
              </w:rPr>
            </w:pPr>
            <w:r w:rsidRPr="00BD3823">
              <w:rPr>
                <w:rStyle w:val="Guidance"/>
              </w:rPr>
              <w:fldChar w:fldCharType="begin"/>
            </w:r>
            <w:r w:rsidRPr="00BD3823">
              <w:rPr>
                <w:rStyle w:val="Guidance"/>
              </w:rPr>
              <w:instrText xml:space="preserve"> DOCPROPERTY  YearPrevious  \* MERGEFORMAT </w:instrText>
            </w:r>
            <w:r w:rsidRPr="00BD3823">
              <w:rPr>
                <w:rStyle w:val="Guidance"/>
              </w:rPr>
              <w:fldChar w:fldCharType="separate"/>
            </w:r>
            <w:r w:rsidR="00A545BA">
              <w:rPr>
                <w:rStyle w:val="Guidance"/>
              </w:rPr>
              <w:t>20X1</w:t>
            </w:r>
            <w:r w:rsidRPr="00BD3823">
              <w:rPr>
                <w:rStyle w:val="Guidance"/>
              </w:rPr>
              <w:fldChar w:fldCharType="end"/>
            </w:r>
          </w:p>
        </w:tc>
        <w:tc>
          <w:tcPr>
            <w:tcW w:w="757" w:type="dxa"/>
            <w:tcBorders>
              <w:top w:val="nil"/>
            </w:tcBorders>
          </w:tcPr>
          <w:p w14:paraId="0625E0A6"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r w:rsidR="003719CD" w:rsidRPr="00BD3823" w14:paraId="51A35175" w14:textId="77777777" w:rsidTr="007D536F">
        <w:tc>
          <w:tcPr>
            <w:cnfStyle w:val="001000000000" w:firstRow="0" w:lastRow="0" w:firstColumn="1" w:lastColumn="0" w:oddVBand="0" w:evenVBand="0" w:oddHBand="0" w:evenHBand="0" w:firstRowFirstColumn="0" w:firstRowLastColumn="0" w:lastRowFirstColumn="0" w:lastRowLastColumn="0"/>
            <w:tcW w:w="4063" w:type="dxa"/>
          </w:tcPr>
          <w:p w14:paraId="742503D2" w14:textId="6D9CB85A" w:rsidR="003719CD" w:rsidRPr="00BD3823" w:rsidRDefault="003719CD" w:rsidP="007D536F">
            <w:pPr>
              <w:rPr>
                <w:rStyle w:val="Guidance"/>
              </w:rPr>
            </w:pPr>
            <w:r w:rsidRPr="00BD3823">
              <w:rPr>
                <w:rStyle w:val="Guidance"/>
              </w:rPr>
              <w:fldChar w:fldCharType="begin"/>
            </w:r>
            <w:r w:rsidRPr="00BD3823">
              <w:rPr>
                <w:rStyle w:val="Guidance"/>
              </w:rPr>
              <w:instrText xml:space="preserve"> DOCPROPERTY  YearCurrent  \* MERGEFORMAT </w:instrText>
            </w:r>
            <w:r w:rsidRPr="00BD3823">
              <w:rPr>
                <w:rStyle w:val="Guidance"/>
              </w:rPr>
              <w:fldChar w:fldCharType="separate"/>
            </w:r>
            <w:r w:rsidR="00A545BA">
              <w:rPr>
                <w:rStyle w:val="Guidance"/>
              </w:rPr>
              <w:t>20X2</w:t>
            </w:r>
            <w:r w:rsidRPr="00BD3823">
              <w:rPr>
                <w:rStyle w:val="Guidance"/>
              </w:rPr>
              <w:fldChar w:fldCharType="end"/>
            </w:r>
          </w:p>
        </w:tc>
        <w:tc>
          <w:tcPr>
            <w:tcW w:w="757" w:type="dxa"/>
          </w:tcPr>
          <w:p w14:paraId="4B10769D"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r w:rsidR="003719CD" w:rsidRPr="00BD3823" w14:paraId="7C0A2842" w14:textId="77777777" w:rsidTr="007D536F">
        <w:tc>
          <w:tcPr>
            <w:cnfStyle w:val="001000000000" w:firstRow="0" w:lastRow="0" w:firstColumn="1" w:lastColumn="0" w:oddVBand="0" w:evenVBand="0" w:oddHBand="0" w:evenHBand="0" w:firstRowFirstColumn="0" w:firstRowLastColumn="0" w:lastRowFirstColumn="0" w:lastRowLastColumn="0"/>
            <w:tcW w:w="4063" w:type="dxa"/>
            <w:tcBorders>
              <w:bottom w:val="nil"/>
            </w:tcBorders>
          </w:tcPr>
          <w:p w14:paraId="0178C8FA" w14:textId="6A7A56FF" w:rsidR="003719CD" w:rsidRPr="00BD3823" w:rsidRDefault="003719CD" w:rsidP="007D536F">
            <w:pPr>
              <w:rPr>
                <w:rStyle w:val="Guidance"/>
              </w:rPr>
            </w:pPr>
            <w:r w:rsidRPr="00BD3823">
              <w:rPr>
                <w:rStyle w:val="Guidance"/>
              </w:rPr>
              <w:fldChar w:fldCharType="begin"/>
            </w:r>
            <w:r w:rsidRPr="00BD3823">
              <w:rPr>
                <w:rStyle w:val="Guidance"/>
              </w:rPr>
              <w:instrText xml:space="preserve"> DOCPROPERTY  YearNext  \* MERGEFORMAT </w:instrText>
            </w:r>
            <w:r w:rsidRPr="00BD3823">
              <w:rPr>
                <w:rStyle w:val="Guidance"/>
              </w:rPr>
              <w:fldChar w:fldCharType="separate"/>
            </w:r>
            <w:r w:rsidR="00A545BA">
              <w:rPr>
                <w:rStyle w:val="Guidance"/>
              </w:rPr>
              <w:t>20X3</w:t>
            </w:r>
            <w:r w:rsidRPr="00BD3823">
              <w:rPr>
                <w:rStyle w:val="Guidance"/>
              </w:rPr>
              <w:fldChar w:fldCharType="end"/>
            </w:r>
          </w:p>
        </w:tc>
        <w:tc>
          <w:tcPr>
            <w:tcW w:w="757" w:type="dxa"/>
            <w:tcBorders>
              <w:bottom w:val="nil"/>
            </w:tcBorders>
          </w:tcPr>
          <w:p w14:paraId="11C2DFA3" w14:textId="77777777" w:rsidR="003719CD" w:rsidRPr="00BD3823" w:rsidRDefault="003719CD" w:rsidP="007D536F">
            <w:pPr>
              <w:cnfStyle w:val="000000000000" w:firstRow="0" w:lastRow="0" w:firstColumn="0" w:lastColumn="0" w:oddVBand="0" w:evenVBand="0" w:oddHBand="0" w:evenHBand="0" w:firstRowFirstColumn="0" w:firstRowLastColumn="0" w:lastRowFirstColumn="0" w:lastRowLastColumn="0"/>
              <w:rPr>
                <w:rStyle w:val="Guidance"/>
              </w:rPr>
            </w:pPr>
            <w:r w:rsidRPr="00BD3823">
              <w:rPr>
                <w:rStyle w:val="Guidance"/>
              </w:rPr>
              <w:t>xx</w:t>
            </w:r>
          </w:p>
        </w:tc>
      </w:tr>
    </w:tbl>
    <w:p w14:paraId="2CB77296" w14:textId="77777777" w:rsidR="003719CD" w:rsidRPr="000E017E" w:rsidRDefault="003719CD" w:rsidP="007D536F">
      <w:pPr>
        <w:rPr>
          <w:rStyle w:val="Guidance"/>
        </w:rPr>
      </w:pPr>
    </w:p>
    <w:p w14:paraId="14B3B771" w14:textId="77777777" w:rsidR="003719CD" w:rsidRPr="000E017E" w:rsidRDefault="003719CD" w:rsidP="007D536F">
      <w:pPr>
        <w:pStyle w:val="GuidanceEnd"/>
        <w:rPr>
          <w:rStyle w:val="Guidance"/>
        </w:rPr>
      </w:pPr>
    </w:p>
    <w:p w14:paraId="766736CD" w14:textId="77777777" w:rsidR="00BD3823" w:rsidRDefault="00BD3823">
      <w:pPr>
        <w:keepLines w:val="0"/>
        <w:rPr>
          <w:rFonts w:asciiTheme="majorHAnsi" w:eastAsiaTheme="majorEastAsia" w:hAnsiTheme="majorHAnsi" w:cstheme="majorBidi"/>
          <w:b/>
          <w:sz w:val="26"/>
          <w:szCs w:val="26"/>
        </w:rPr>
      </w:pPr>
      <w:bookmarkStart w:id="156" w:name="INDEX_ResponsiblePersons"/>
      <w:bookmarkStart w:id="157" w:name="_Toc64983182"/>
      <w:bookmarkEnd w:id="156"/>
      <w:r>
        <w:br w:type="page"/>
      </w:r>
    </w:p>
    <w:p w14:paraId="4D912073" w14:textId="030BCA94" w:rsidR="003719CD" w:rsidRDefault="003719CD" w:rsidP="007762BE">
      <w:pPr>
        <w:pStyle w:val="Heading2numbered"/>
      </w:pPr>
      <w:bookmarkStart w:id="158" w:name="_Toc130226013"/>
      <w:bookmarkStart w:id="159" w:name="_Toc130289136"/>
      <w:bookmarkStart w:id="160" w:name="_Toc96709989"/>
      <w:r>
        <w:lastRenderedPageBreak/>
        <w:t>Responsible persons</w:t>
      </w:r>
      <w:bookmarkEnd w:id="157"/>
      <w:bookmarkEnd w:id="158"/>
      <w:bookmarkEnd w:id="159"/>
      <w:bookmarkEnd w:id="160"/>
    </w:p>
    <w:p w14:paraId="5396B0AC" w14:textId="745288B0" w:rsidR="003719CD" w:rsidRDefault="003719CD" w:rsidP="00DC39DE">
      <w:r>
        <w:t xml:space="preserve">In accordance with the Ministerial Directions issued by the </w:t>
      </w:r>
      <w:r w:rsidR="0046343B">
        <w:t>Minister for Finance</w:t>
      </w:r>
      <w:r>
        <w:t xml:space="preserve"> under the </w:t>
      </w:r>
      <w:r w:rsidRPr="004F78D7">
        <w:rPr>
          <w:i/>
          <w:iCs/>
        </w:rPr>
        <w:t>Financial Management Act 1994</w:t>
      </w:r>
      <w:r>
        <w:t xml:space="preserve"> (FMA), the following disclosures are made regarding responsible persons for the reporting period.</w:t>
      </w:r>
    </w:p>
    <w:p w14:paraId="5704889B" w14:textId="77777777" w:rsidR="003719CD" w:rsidRDefault="003719CD" w:rsidP="007D536F">
      <w:pPr>
        <w:pStyle w:val="Heading3"/>
      </w:pPr>
      <w:r>
        <w:t>Names</w:t>
      </w:r>
    </w:p>
    <w:p w14:paraId="63F97F25" w14:textId="77777777" w:rsidR="003719CD" w:rsidRDefault="003719CD" w:rsidP="00DC39DE">
      <w:r>
        <w:t>The persons who held the positions of Ministers and Accountable Officers in the Department are as follows:</w:t>
      </w:r>
    </w:p>
    <w:p w14:paraId="758F8A4D" w14:textId="7BB8EB05" w:rsidR="003719CD" w:rsidRDefault="003719CD" w:rsidP="007D536F">
      <w:pPr>
        <w:tabs>
          <w:tab w:val="left" w:pos="567"/>
          <w:tab w:val="left" w:pos="3119"/>
          <w:tab w:val="left" w:pos="6237"/>
        </w:tabs>
      </w:pPr>
      <w:r>
        <w:tab/>
        <w:t>Minister for Technology</w:t>
      </w:r>
      <w:r>
        <w:tab/>
        <w:t xml:space="preserve">The Hon. John Bristol MP </w:t>
      </w:r>
      <w:r>
        <w:tab/>
        <w:t xml:space="preserve">1 July </w:t>
      </w:r>
      <w:fldSimple w:instr="DOCPROPERTY  YearPrevious  \* MERGEFORMAT">
        <w:r w:rsidR="00A545BA">
          <w:t>20X1</w:t>
        </w:r>
      </w:fldSimple>
      <w:r>
        <w:t xml:space="preserve"> to 30 June </w:t>
      </w:r>
      <w:fldSimple w:instr="DOCPROPERTY  YearCurrent  \* MERGEFORMAT">
        <w:r w:rsidR="00A545BA">
          <w:t>20X2</w:t>
        </w:r>
      </w:fldSimple>
    </w:p>
    <w:p w14:paraId="1EB9A057" w14:textId="54E1169B" w:rsidR="003719CD" w:rsidRDefault="003719CD" w:rsidP="007D536F">
      <w:pPr>
        <w:tabs>
          <w:tab w:val="left" w:pos="567"/>
          <w:tab w:val="left" w:pos="3119"/>
          <w:tab w:val="left" w:pos="6237"/>
        </w:tabs>
      </w:pPr>
      <w:r>
        <w:tab/>
        <w:t>Minister for Biotechnology</w:t>
      </w:r>
      <w:r>
        <w:tab/>
        <w:t xml:space="preserve">The Hon. Laura Toddington MP </w:t>
      </w:r>
      <w:r>
        <w:tab/>
        <w:t xml:space="preserve">1 July </w:t>
      </w:r>
      <w:fldSimple w:instr="DOCPROPERTY  YearPrevious  \* MERGEFORMAT">
        <w:r w:rsidR="00A545BA">
          <w:t>20X1</w:t>
        </w:r>
      </w:fldSimple>
      <w:r>
        <w:t xml:space="preserve"> to 30 June </w:t>
      </w:r>
      <w:fldSimple w:instr="DOCPROPERTY  YearCurrent  \* MERGEFORMAT">
        <w:r w:rsidR="00A545BA">
          <w:t>20X2</w:t>
        </w:r>
      </w:fldSimple>
    </w:p>
    <w:p w14:paraId="5248E087" w14:textId="59A9EAD2" w:rsidR="003719CD" w:rsidRDefault="003719CD" w:rsidP="007D536F">
      <w:pPr>
        <w:tabs>
          <w:tab w:val="left" w:pos="567"/>
          <w:tab w:val="left" w:pos="3119"/>
          <w:tab w:val="left" w:pos="6237"/>
        </w:tabs>
      </w:pPr>
      <w:r>
        <w:tab/>
        <w:t>Secretary</w:t>
      </w:r>
      <w:r>
        <w:tab/>
        <w:t xml:space="preserve">Ms Jane Smith </w:t>
      </w:r>
      <w:r>
        <w:tab/>
        <w:t xml:space="preserve">1 July </w:t>
      </w:r>
      <w:fldSimple w:instr="DOCPROPERTY  YearPrevious  \* MERGEFORMAT">
        <w:r w:rsidR="00A545BA">
          <w:t>20X1</w:t>
        </w:r>
      </w:fldSimple>
      <w:r>
        <w:t xml:space="preserve"> to 30 June </w:t>
      </w:r>
      <w:fldSimple w:instr="DOCPROPERTY  YearCurrent  \* MERGEFORMAT">
        <w:r w:rsidR="00A545BA">
          <w:t>20X2</w:t>
        </w:r>
      </w:fldSimple>
    </w:p>
    <w:p w14:paraId="50DA7A5A" w14:textId="77777777" w:rsidR="003719CD" w:rsidRDefault="003719CD" w:rsidP="007D536F">
      <w:pPr>
        <w:pStyle w:val="Heading3"/>
      </w:pPr>
      <w:r>
        <w:t>Remuneration</w:t>
      </w:r>
    </w:p>
    <w:p w14:paraId="6894AA55" w14:textId="7E960FBB" w:rsidR="003719CD" w:rsidRDefault="003719CD" w:rsidP="00DC39DE">
      <w:r>
        <w:t>Remuneration received or receivable by the Accountable Officer in connection with the management of the Department during the reporting period was in the range: $460 000–469 000 (</w:t>
      </w:r>
      <w:fldSimple w:instr="DOCPROPERTY  YearPrevious  \* MERGEFORMAT">
        <w:r w:rsidR="00A545BA">
          <w:t>20X1</w:t>
        </w:r>
      </w:fldSimple>
      <w:r>
        <w:t>: $450 000–459 000).</w:t>
      </w:r>
    </w:p>
    <w:p w14:paraId="2A575E57" w14:textId="77777777" w:rsidR="003719CD" w:rsidRDefault="003719CD" w:rsidP="007D536F">
      <w:pPr>
        <w:pStyle w:val="GuidanceBlockHeading"/>
      </w:pPr>
      <w:r>
        <w:t>Guidance – Responsible persons</w:t>
      </w:r>
    </w:p>
    <w:p w14:paraId="74CAF2D0" w14:textId="1D52BB8E" w:rsidR="003719CD" w:rsidRPr="004F78D7" w:rsidRDefault="003719CD" w:rsidP="007D536F">
      <w:pPr>
        <w:rPr>
          <w:rStyle w:val="Guidance"/>
        </w:rPr>
      </w:pPr>
      <w:r w:rsidRPr="004F78D7">
        <w:rPr>
          <w:rStyle w:val="Guidance"/>
        </w:rPr>
        <w:t xml:space="preserve">The disclosure requirements of FRD 21 </w:t>
      </w:r>
      <w:r w:rsidRPr="004F78D7">
        <w:rPr>
          <w:rStyle w:val="Guidance"/>
          <w:i/>
          <w:iCs/>
        </w:rPr>
        <w:t>Disclosures of responsible persons and executive officers in the financial report</w:t>
      </w:r>
      <w:r w:rsidRPr="004F78D7">
        <w:rPr>
          <w:rStyle w:val="Guidance"/>
        </w:rPr>
        <w:t xml:space="preserve"> issued by the </w:t>
      </w:r>
      <w:r w:rsidR="0046343B">
        <w:rPr>
          <w:rStyle w:val="Guidance"/>
        </w:rPr>
        <w:t>Minister for Finance</w:t>
      </w:r>
      <w:r w:rsidRPr="004F78D7">
        <w:rPr>
          <w:rStyle w:val="Guidance"/>
        </w:rPr>
        <w:t xml:space="preserve"> recognise that responsible persons, such as ministers, accountable officers and executive officers have significant responsibility for the management of a department’s operations. To that end, they have an obligation to disclose information relating to those occupying management roles, including disclosure in the financial statements of details regarding their remuneration, transactions and loans with the department, which discharges their accountability.</w:t>
      </w:r>
    </w:p>
    <w:p w14:paraId="28D21325" w14:textId="77777777" w:rsidR="003719CD" w:rsidRPr="004F78D7" w:rsidRDefault="003719CD" w:rsidP="007D536F">
      <w:pPr>
        <w:rPr>
          <w:rStyle w:val="Guidance"/>
        </w:rPr>
      </w:pPr>
      <w:r w:rsidRPr="004F78D7">
        <w:rPr>
          <w:rStyle w:val="Guidance"/>
          <w:b/>
          <w:bCs/>
        </w:rPr>
        <w:t>Remuneration</w:t>
      </w:r>
      <w:r w:rsidRPr="004F78D7">
        <w:rPr>
          <w:rStyle w:val="Guidance"/>
        </w:rPr>
        <w:t xml:space="preserve"> includes all employee benefits (as defined in AASB 119 </w:t>
      </w:r>
      <w:r w:rsidRPr="004F78D7">
        <w:rPr>
          <w:rStyle w:val="Guidance"/>
          <w:i/>
          <w:iCs/>
        </w:rPr>
        <w:t>Employee Benefits</w:t>
      </w:r>
      <w:r w:rsidRPr="004F78D7">
        <w:rPr>
          <w:rStyle w:val="Guidance"/>
        </w:rPr>
        <w:t>), which are all forms of consideration paid, payable or provided by the entity, or on behalf of the entity, in exchange for services rendered. It also includes amounts paid on behalf of a parent of the entity in respect of the entity. Accordingly, remuneration needs to be determined on an accrual basis.</w:t>
      </w:r>
    </w:p>
    <w:p w14:paraId="1E353667" w14:textId="77777777" w:rsidR="003719CD" w:rsidRPr="004F78D7" w:rsidRDefault="003719CD" w:rsidP="007D536F">
      <w:pPr>
        <w:rPr>
          <w:rStyle w:val="Guidance"/>
        </w:rPr>
      </w:pPr>
      <w:r w:rsidRPr="004F78D7">
        <w:rPr>
          <w:rStyle w:val="Guidance"/>
        </w:rPr>
        <w:t>Ministers may have different responsibilities or interests that can cause ethical challenges in their public role. Their first responsibility is to act in the public interest, and not to promote their own private interests. They must also follow a code of conduct and publicly give details of their interests. These interests are often called ‘pecuniary interests’. In respect of related party disclosures, Ministers must declare their pecuniary interests, which are included in a register of members’ interests.</w:t>
      </w:r>
    </w:p>
    <w:p w14:paraId="7A74DD97" w14:textId="6965ACBD" w:rsidR="003719CD" w:rsidRPr="004F78D7" w:rsidRDefault="003719CD" w:rsidP="007D536F">
      <w:pPr>
        <w:rPr>
          <w:rStyle w:val="Guidance"/>
        </w:rPr>
      </w:pPr>
      <w:r w:rsidRPr="004F78D7">
        <w:rPr>
          <w:rStyle w:val="Guidance"/>
        </w:rPr>
        <w:t>For further disclosure guidance in relation to responsible persons, please refer to FRD 21.</w:t>
      </w:r>
    </w:p>
    <w:p w14:paraId="7065D154" w14:textId="77777777" w:rsidR="003719CD" w:rsidRDefault="003719CD" w:rsidP="007D536F">
      <w:pPr>
        <w:pStyle w:val="GuidanceEnd"/>
      </w:pPr>
    </w:p>
    <w:p w14:paraId="0D1C7DE1" w14:textId="77777777" w:rsidR="003719CD" w:rsidRDefault="003719CD" w:rsidP="007762BE">
      <w:pPr>
        <w:pStyle w:val="Heading2numbered"/>
      </w:pPr>
      <w:bookmarkStart w:id="161" w:name="_Toc130226014"/>
      <w:bookmarkStart w:id="162" w:name="_Toc130289137"/>
      <w:bookmarkStart w:id="163" w:name="_Toc64983183"/>
      <w:bookmarkStart w:id="164" w:name="_Toc96709990"/>
      <w:r>
        <w:t>Remuneration of executives</w:t>
      </w:r>
      <w:bookmarkEnd w:id="161"/>
      <w:bookmarkEnd w:id="162"/>
      <w:bookmarkEnd w:id="163"/>
      <w:bookmarkEnd w:id="164"/>
    </w:p>
    <w:p w14:paraId="734D6CBD" w14:textId="3554A2A2" w:rsidR="003719CD" w:rsidRDefault="003719CD" w:rsidP="00DC39DE">
      <w:r>
        <w:t xml:space="preserve">The number of </w:t>
      </w:r>
      <w:r w:rsidR="002333AB">
        <w:t xml:space="preserve">senior </w:t>
      </w:r>
      <w:r>
        <w:t xml:space="preserve">executive </w:t>
      </w:r>
      <w:r w:rsidR="002333AB">
        <w:t>service members</w:t>
      </w:r>
      <w:r>
        <w:t>, other than Ministers and accountable officers, and their total remuneration during the reporting period are shown in the table on the following page. Total annualised employee equivalents provides a measure of full time equivalent executive officers over the reporting period.</w:t>
      </w:r>
    </w:p>
    <w:p w14:paraId="7C518844" w14:textId="77777777" w:rsidR="003719CD" w:rsidRDefault="003719CD" w:rsidP="00DC39DE">
      <w:r>
        <w:t xml:space="preserve">Remuneration comprises employee benefits (as defined in AASB 119 </w:t>
      </w:r>
      <w:r w:rsidRPr="004F78D7">
        <w:rPr>
          <w:i/>
          <w:iCs/>
        </w:rPr>
        <w:t>Employee Benefits</w:t>
      </w:r>
      <w:r>
        <w:t xml:space="preserve">) in all forms of consideration paid, payable or provided by the entity, or on behalf of the entity, in exchange for services rendered. Accordingly, remuneration is determined on an accrual basis, and is disclosed in the following categories. </w:t>
      </w:r>
    </w:p>
    <w:p w14:paraId="5EE59169" w14:textId="77777777" w:rsidR="003719CD" w:rsidRDefault="003719CD" w:rsidP="00DC39DE">
      <w:r w:rsidRPr="004F78D7">
        <w:rPr>
          <w:b/>
          <w:bCs/>
        </w:rPr>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28085AF6" w14:textId="77777777" w:rsidR="003719CD" w:rsidRDefault="003719CD" w:rsidP="00DC39DE">
      <w:r w:rsidRPr="004F78D7">
        <w:rPr>
          <w:b/>
          <w:bCs/>
        </w:rPr>
        <w:t>Post-employment benefits</w:t>
      </w:r>
      <w:r>
        <w:t xml:space="preserve"> include pensions and other retirement benefits paid or payable on a discrete basis when employment has ceased. </w:t>
      </w:r>
    </w:p>
    <w:p w14:paraId="639665D5" w14:textId="77777777" w:rsidR="003719CD" w:rsidRDefault="003719CD" w:rsidP="00DC39DE">
      <w:r w:rsidRPr="004F78D7">
        <w:rPr>
          <w:b/>
          <w:bCs/>
        </w:rPr>
        <w:t>Other long-term benefits</w:t>
      </w:r>
      <w:r>
        <w:t xml:space="preserve"> include long service leave, other long service benefits or deferred compensation. </w:t>
      </w:r>
    </w:p>
    <w:p w14:paraId="1BCD8DBF" w14:textId="77777777" w:rsidR="003719CD" w:rsidRDefault="003719CD" w:rsidP="00DC39DE">
      <w:r w:rsidRPr="004F78D7">
        <w:rPr>
          <w:b/>
          <w:bCs/>
        </w:rPr>
        <w:t>Termination benefits</w:t>
      </w:r>
      <w:r>
        <w:t xml:space="preserve"> include termination of employment payments, such as severance packages. </w:t>
      </w:r>
    </w:p>
    <w:p w14:paraId="37C3AB68" w14:textId="139AE729" w:rsidR="003719CD" w:rsidRDefault="003719CD" w:rsidP="00DC39DE">
      <w:r w:rsidRPr="004F78D7">
        <w:rPr>
          <w:b/>
          <w:bCs/>
        </w:rPr>
        <w:t>Share-based payments</w:t>
      </w:r>
      <w:r>
        <w:t xml:space="preserve"> an agreement between the entity and the employee that entitles them to receive cash or other assets for amounts that are based on the price of shares/share options provided specified vesting conditions, if any, are met</w:t>
      </w:r>
      <w:r w:rsidR="0001343D">
        <w:t>.</w:t>
      </w:r>
      <w:r>
        <w:t xml:space="preserve"> </w:t>
      </w:r>
      <w:r w:rsidRPr="004F78D7">
        <w:rPr>
          <w:rStyle w:val="Guidance"/>
        </w:rPr>
        <w:t>[Delete if not applicable]</w:t>
      </w:r>
      <w:r>
        <w:t>.</w:t>
      </w:r>
    </w:p>
    <w:p w14:paraId="68939882" w14:textId="1F694176" w:rsidR="003719CD" w:rsidRDefault="003719CD" w:rsidP="00DC39DE">
      <w:r>
        <w:lastRenderedPageBreak/>
        <w:t xml:space="preserve">Several factors affected total remuneration payable to executives over the year. A number of employment contracts were completed and renegotiated and a number of </w:t>
      </w:r>
      <w:r w:rsidR="00E227CB">
        <w:t xml:space="preserve">senior </w:t>
      </w:r>
      <w:r>
        <w:t xml:space="preserve">executive </w:t>
      </w:r>
      <w:r w:rsidR="00E227CB">
        <w:t>service members</w:t>
      </w:r>
      <w:r>
        <w:t xml:space="preserve"> retired, resigned or were retrenched in the past year. This has had a significant impact on remuneration figures for the termination benefits category.</w:t>
      </w:r>
      <w:r w:rsidRPr="004F78D7">
        <w:rPr>
          <w:rStyle w:val="Reference"/>
        </w:rPr>
        <w:t xml:space="preserve"> [FRD 21</w:t>
      </w:r>
      <w:r w:rsidR="009542E5">
        <w:rPr>
          <w:rStyle w:val="Reference"/>
        </w:rPr>
        <w:t xml:space="preserve"> Revised</w:t>
      </w:r>
      <w:r w:rsidRPr="004F78D7">
        <w:rPr>
          <w:rStyle w:val="Reference"/>
        </w:rPr>
        <w:t>]</w:t>
      </w:r>
    </w:p>
    <w:p w14:paraId="014EAA5E"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7825"/>
        <w:gridCol w:w="907"/>
        <w:gridCol w:w="907"/>
      </w:tblGrid>
      <w:tr w:rsidR="00182709" w14:paraId="72EB3D9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4AE18E7" w14:textId="77777777" w:rsidR="00182709" w:rsidRDefault="00182709">
            <w:pPr>
              <w:keepNext/>
            </w:pPr>
          </w:p>
        </w:tc>
        <w:tc>
          <w:tcPr>
            <w:tcW w:w="1814" w:type="dxa"/>
            <w:gridSpan w:val="2"/>
          </w:tcPr>
          <w:p w14:paraId="35FE2C03"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Total remuneration</w:t>
            </w:r>
          </w:p>
        </w:tc>
      </w:tr>
      <w:tr w:rsidR="0038140F" w14:paraId="06E9FC2E"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45A797A9" w14:textId="03E37CAD" w:rsidR="0038140F" w:rsidRDefault="0038140F" w:rsidP="0038140F">
            <w:pPr>
              <w:keepNext/>
            </w:pPr>
            <w:r>
              <w:t>Remuneration of the senior executive service</w:t>
            </w:r>
          </w:p>
        </w:tc>
        <w:tc>
          <w:tcPr>
            <w:tcW w:w="907" w:type="dxa"/>
          </w:tcPr>
          <w:p w14:paraId="49721053" w14:textId="0303B360" w:rsidR="0038140F" w:rsidRPr="0038140F" w:rsidRDefault="0038140F" w:rsidP="0038140F">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38140F">
                <w:t>20X2</w:t>
              </w:r>
            </w:fldSimple>
          </w:p>
        </w:tc>
        <w:tc>
          <w:tcPr>
            <w:tcW w:w="907" w:type="dxa"/>
          </w:tcPr>
          <w:p w14:paraId="37E92981" w14:textId="1DEAE6E4" w:rsidR="0038140F" w:rsidRPr="0038140F" w:rsidRDefault="0038140F" w:rsidP="0038140F">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38140F">
                <w:t>20X1</w:t>
              </w:r>
            </w:fldSimple>
          </w:p>
        </w:tc>
      </w:tr>
      <w:tr w:rsidR="00182709" w14:paraId="0293A6CA"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825" w:type="dxa"/>
          </w:tcPr>
          <w:p w14:paraId="597C1AAB" w14:textId="77777777" w:rsidR="00182709" w:rsidRDefault="0044097C">
            <w:pPr>
              <w:keepNext/>
            </w:pPr>
            <w:r>
              <w:t>(including Key Management Personnel disclosed in Note 9.9)</w:t>
            </w:r>
            <w:r>
              <w:rPr>
                <w:vertAlign w:val="superscript"/>
              </w:rPr>
              <w:t xml:space="preserve"> (a)</w:t>
            </w:r>
          </w:p>
        </w:tc>
        <w:tc>
          <w:tcPr>
            <w:tcW w:w="907" w:type="dxa"/>
          </w:tcPr>
          <w:p w14:paraId="0918078A"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79E5DE72" w14:textId="77777777" w:rsidR="00182709" w:rsidRDefault="00182709">
            <w:pPr>
              <w:keepNext/>
              <w:cnfStyle w:val="100000000000" w:firstRow="1" w:lastRow="0" w:firstColumn="0" w:lastColumn="0" w:oddVBand="0" w:evenVBand="0" w:oddHBand="0" w:evenHBand="0" w:firstRowFirstColumn="0" w:firstRowLastColumn="0" w:lastRowFirstColumn="0" w:lastRowLastColumn="0"/>
            </w:pPr>
          </w:p>
        </w:tc>
      </w:tr>
      <w:tr w:rsidR="00182709" w14:paraId="1244D47C" w14:textId="77777777">
        <w:tc>
          <w:tcPr>
            <w:cnfStyle w:val="001000000000" w:firstRow="0" w:lastRow="0" w:firstColumn="1" w:lastColumn="0" w:oddVBand="0" w:evenVBand="0" w:oddHBand="0" w:evenHBand="0" w:firstRowFirstColumn="0" w:firstRowLastColumn="0" w:lastRowFirstColumn="0" w:lastRowLastColumn="0"/>
            <w:tcW w:w="7825" w:type="dxa"/>
          </w:tcPr>
          <w:p w14:paraId="75725218" w14:textId="09C67EB8" w:rsidR="00182709" w:rsidRDefault="0044097C">
            <w:r w:rsidRPr="46DFB224">
              <w:t>Short</w:t>
            </w:r>
            <w:r w:rsidR="00C63CBF">
              <w:t>-</w:t>
            </w:r>
            <w:r w:rsidRPr="46DFB224">
              <w:t>term</w:t>
            </w:r>
            <w:r>
              <w:t xml:space="preserve"> employee benefits</w:t>
            </w:r>
          </w:p>
        </w:tc>
        <w:tc>
          <w:tcPr>
            <w:tcW w:w="907" w:type="dxa"/>
          </w:tcPr>
          <w:p w14:paraId="3DC46433" w14:textId="77777777" w:rsidR="00182709" w:rsidRDefault="0044097C">
            <w:pPr>
              <w:cnfStyle w:val="000000000000" w:firstRow="0" w:lastRow="0" w:firstColumn="0" w:lastColumn="0" w:oddVBand="0" w:evenVBand="0" w:oddHBand="0" w:evenHBand="0" w:firstRowFirstColumn="0" w:firstRowLastColumn="0" w:lastRowFirstColumn="0" w:lastRowLastColumn="0"/>
            </w:pPr>
            <w:r>
              <w:t>5 609</w:t>
            </w:r>
          </w:p>
        </w:tc>
        <w:tc>
          <w:tcPr>
            <w:tcW w:w="907" w:type="dxa"/>
          </w:tcPr>
          <w:p w14:paraId="3244BE49" w14:textId="77777777" w:rsidR="00182709" w:rsidRDefault="0044097C">
            <w:pPr>
              <w:cnfStyle w:val="000000000000" w:firstRow="0" w:lastRow="0" w:firstColumn="0" w:lastColumn="0" w:oddVBand="0" w:evenVBand="0" w:oddHBand="0" w:evenHBand="0" w:firstRowFirstColumn="0" w:firstRowLastColumn="0" w:lastRowFirstColumn="0" w:lastRowLastColumn="0"/>
            </w:pPr>
            <w:r>
              <w:t>5 274</w:t>
            </w:r>
          </w:p>
        </w:tc>
      </w:tr>
      <w:tr w:rsidR="00182709" w14:paraId="0065B32E" w14:textId="77777777">
        <w:tc>
          <w:tcPr>
            <w:cnfStyle w:val="001000000000" w:firstRow="0" w:lastRow="0" w:firstColumn="1" w:lastColumn="0" w:oddVBand="0" w:evenVBand="0" w:oddHBand="0" w:evenHBand="0" w:firstRowFirstColumn="0" w:firstRowLastColumn="0" w:lastRowFirstColumn="0" w:lastRowLastColumn="0"/>
            <w:tcW w:w="7825" w:type="dxa"/>
          </w:tcPr>
          <w:p w14:paraId="759843FA" w14:textId="77777777" w:rsidR="00182709" w:rsidRDefault="0044097C">
            <w:r>
              <w:t>Post</w:t>
            </w:r>
            <w:r>
              <w:noBreakHyphen/>
              <w:t>employment benefits</w:t>
            </w:r>
          </w:p>
        </w:tc>
        <w:tc>
          <w:tcPr>
            <w:tcW w:w="907" w:type="dxa"/>
          </w:tcPr>
          <w:p w14:paraId="6D74D118" w14:textId="77777777" w:rsidR="00182709" w:rsidRDefault="0044097C">
            <w:pPr>
              <w:cnfStyle w:val="000000000000" w:firstRow="0" w:lastRow="0" w:firstColumn="0" w:lastColumn="0" w:oddVBand="0" w:evenVBand="0" w:oddHBand="0" w:evenHBand="0" w:firstRowFirstColumn="0" w:firstRowLastColumn="0" w:lastRowFirstColumn="0" w:lastRowLastColumn="0"/>
            </w:pPr>
            <w:r>
              <w:t>1 260</w:t>
            </w:r>
          </w:p>
        </w:tc>
        <w:tc>
          <w:tcPr>
            <w:tcW w:w="907" w:type="dxa"/>
          </w:tcPr>
          <w:p w14:paraId="3586688D" w14:textId="77777777" w:rsidR="00182709" w:rsidRDefault="0044097C">
            <w:pPr>
              <w:cnfStyle w:val="000000000000" w:firstRow="0" w:lastRow="0" w:firstColumn="0" w:lastColumn="0" w:oddVBand="0" w:evenVBand="0" w:oddHBand="0" w:evenHBand="0" w:firstRowFirstColumn="0" w:firstRowLastColumn="0" w:lastRowFirstColumn="0" w:lastRowLastColumn="0"/>
            </w:pPr>
            <w:r>
              <w:t>1 177</w:t>
            </w:r>
          </w:p>
        </w:tc>
      </w:tr>
      <w:tr w:rsidR="00182709" w14:paraId="53D98BB4" w14:textId="77777777">
        <w:tc>
          <w:tcPr>
            <w:cnfStyle w:val="001000000000" w:firstRow="0" w:lastRow="0" w:firstColumn="1" w:lastColumn="0" w:oddVBand="0" w:evenVBand="0" w:oddHBand="0" w:evenHBand="0" w:firstRowFirstColumn="0" w:firstRowLastColumn="0" w:lastRowFirstColumn="0" w:lastRowLastColumn="0"/>
            <w:tcW w:w="7825" w:type="dxa"/>
          </w:tcPr>
          <w:p w14:paraId="5897A9E6" w14:textId="215FC5C1" w:rsidR="00182709" w:rsidRDefault="0044097C">
            <w:r>
              <w:t xml:space="preserve">Other </w:t>
            </w:r>
            <w:r w:rsidRPr="46DFB224">
              <w:t>long</w:t>
            </w:r>
            <w:r w:rsidR="004D7068">
              <w:t>-</w:t>
            </w:r>
            <w:r w:rsidRPr="46DFB224">
              <w:t>term</w:t>
            </w:r>
            <w:r>
              <w:t xml:space="preserve"> benefits</w:t>
            </w:r>
          </w:p>
        </w:tc>
        <w:tc>
          <w:tcPr>
            <w:tcW w:w="907" w:type="dxa"/>
          </w:tcPr>
          <w:p w14:paraId="4D5DD39E" w14:textId="77777777" w:rsidR="00182709" w:rsidRDefault="0044097C">
            <w:pPr>
              <w:cnfStyle w:val="000000000000" w:firstRow="0" w:lastRow="0" w:firstColumn="0" w:lastColumn="0" w:oddVBand="0" w:evenVBand="0" w:oddHBand="0" w:evenHBand="0" w:firstRowFirstColumn="0" w:firstRowLastColumn="0" w:lastRowFirstColumn="0" w:lastRowLastColumn="0"/>
            </w:pPr>
            <w:r>
              <w:t>1 726</w:t>
            </w:r>
          </w:p>
        </w:tc>
        <w:tc>
          <w:tcPr>
            <w:tcW w:w="907" w:type="dxa"/>
          </w:tcPr>
          <w:p w14:paraId="238C2E50" w14:textId="77777777" w:rsidR="00182709" w:rsidRDefault="0044097C">
            <w:pPr>
              <w:cnfStyle w:val="000000000000" w:firstRow="0" w:lastRow="0" w:firstColumn="0" w:lastColumn="0" w:oddVBand="0" w:evenVBand="0" w:oddHBand="0" w:evenHBand="0" w:firstRowFirstColumn="0" w:firstRowLastColumn="0" w:lastRowFirstColumn="0" w:lastRowLastColumn="0"/>
            </w:pPr>
            <w:r>
              <w:t>1 096</w:t>
            </w:r>
          </w:p>
        </w:tc>
      </w:tr>
      <w:tr w:rsidR="00182709" w14:paraId="6AF3D262" w14:textId="77777777">
        <w:tc>
          <w:tcPr>
            <w:cnfStyle w:val="001000000000" w:firstRow="0" w:lastRow="0" w:firstColumn="1" w:lastColumn="0" w:oddVBand="0" w:evenVBand="0" w:oddHBand="0" w:evenHBand="0" w:firstRowFirstColumn="0" w:firstRowLastColumn="0" w:lastRowFirstColumn="0" w:lastRowLastColumn="0"/>
            <w:tcW w:w="7825" w:type="dxa"/>
          </w:tcPr>
          <w:p w14:paraId="5BD14DA8" w14:textId="77777777" w:rsidR="00182709" w:rsidRDefault="0044097C">
            <w:r>
              <w:t>Termination benefits</w:t>
            </w:r>
          </w:p>
        </w:tc>
        <w:tc>
          <w:tcPr>
            <w:tcW w:w="907" w:type="dxa"/>
          </w:tcPr>
          <w:p w14:paraId="079D1B00" w14:textId="77777777" w:rsidR="00182709" w:rsidRDefault="0044097C">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312170DE" w14:textId="77777777" w:rsidR="00182709" w:rsidRDefault="0044097C">
            <w:pPr>
              <w:cnfStyle w:val="000000000000" w:firstRow="0" w:lastRow="0" w:firstColumn="0" w:lastColumn="0" w:oddVBand="0" w:evenVBand="0" w:oddHBand="0" w:evenHBand="0" w:firstRowFirstColumn="0" w:firstRowLastColumn="0" w:lastRowFirstColumn="0" w:lastRowLastColumn="0"/>
            </w:pPr>
            <w:r>
              <w:t>154</w:t>
            </w:r>
          </w:p>
        </w:tc>
      </w:tr>
      <w:tr w:rsidR="00182709" w14:paraId="04CCC0B9" w14:textId="77777777">
        <w:tc>
          <w:tcPr>
            <w:cnfStyle w:val="001000000000" w:firstRow="0" w:lastRow="0" w:firstColumn="1" w:lastColumn="0" w:oddVBand="0" w:evenVBand="0" w:oddHBand="0" w:evenHBand="0" w:firstRowFirstColumn="0" w:firstRowLastColumn="0" w:lastRowFirstColumn="0" w:lastRowLastColumn="0"/>
            <w:tcW w:w="7825" w:type="dxa"/>
          </w:tcPr>
          <w:p w14:paraId="26DADC5C" w14:textId="6327380E" w:rsidR="00182709" w:rsidRDefault="0044097C">
            <w:r w:rsidRPr="46DFB224">
              <w:t>Share</w:t>
            </w:r>
            <w:r w:rsidR="004D7068">
              <w:t>-</w:t>
            </w:r>
            <w:r w:rsidRPr="46DFB224">
              <w:t>based</w:t>
            </w:r>
            <w:r>
              <w:t xml:space="preserve"> payments</w:t>
            </w:r>
          </w:p>
        </w:tc>
        <w:tc>
          <w:tcPr>
            <w:tcW w:w="907" w:type="dxa"/>
          </w:tcPr>
          <w:p w14:paraId="3544787C"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07" w:type="dxa"/>
          </w:tcPr>
          <w:p w14:paraId="1ECEF654"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r>
      <w:tr w:rsidR="00182709" w14:paraId="3D1646D6" w14:textId="77777777" w:rsidTr="00182709">
        <w:tc>
          <w:tcPr>
            <w:cnfStyle w:val="001000000000" w:firstRow="0" w:lastRow="0" w:firstColumn="1" w:lastColumn="0" w:oddVBand="0" w:evenVBand="0" w:oddHBand="0" w:evenHBand="0" w:firstRowFirstColumn="0" w:firstRowLastColumn="0" w:lastRowFirstColumn="0" w:lastRowLastColumn="0"/>
            <w:tcW w:w="7825" w:type="dxa"/>
            <w:tcBorders>
              <w:bottom w:val="single" w:sz="12" w:space="0" w:color="auto"/>
            </w:tcBorders>
          </w:tcPr>
          <w:p w14:paraId="3E0A2245" w14:textId="77777777" w:rsidR="00182709" w:rsidRDefault="0044097C">
            <w:r>
              <w:rPr>
                <w:b/>
              </w:rPr>
              <w:t xml:space="preserve">Total remuneration </w:t>
            </w:r>
            <w:r>
              <w:rPr>
                <w:b/>
                <w:vertAlign w:val="superscript"/>
              </w:rPr>
              <w:t>(a)</w:t>
            </w:r>
          </w:p>
        </w:tc>
        <w:tc>
          <w:tcPr>
            <w:tcW w:w="907" w:type="dxa"/>
            <w:tcBorders>
              <w:bottom w:val="single" w:sz="12" w:space="0" w:color="auto"/>
            </w:tcBorders>
          </w:tcPr>
          <w:p w14:paraId="25D1793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8 915</w:t>
            </w:r>
          </w:p>
        </w:tc>
        <w:tc>
          <w:tcPr>
            <w:tcW w:w="907" w:type="dxa"/>
            <w:tcBorders>
              <w:bottom w:val="single" w:sz="12" w:space="0" w:color="auto"/>
            </w:tcBorders>
          </w:tcPr>
          <w:p w14:paraId="70245679"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7 701</w:t>
            </w:r>
          </w:p>
        </w:tc>
      </w:tr>
      <w:tr w:rsidR="00671D55" w14:paraId="3651A143"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1AA8425B" w14:textId="77777777" w:rsidR="00182709" w:rsidRDefault="0044097C">
            <w:r>
              <w:rPr>
                <w:b/>
              </w:rPr>
              <w:t>Total number of executives</w:t>
            </w:r>
          </w:p>
        </w:tc>
        <w:tc>
          <w:tcPr>
            <w:tcW w:w="907" w:type="dxa"/>
          </w:tcPr>
          <w:p w14:paraId="440662E4"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79</w:t>
            </w:r>
          </w:p>
        </w:tc>
        <w:tc>
          <w:tcPr>
            <w:tcW w:w="907" w:type="dxa"/>
          </w:tcPr>
          <w:p w14:paraId="440CA9C2"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77</w:t>
            </w:r>
          </w:p>
        </w:tc>
      </w:tr>
      <w:tr w:rsidR="00671D55" w14:paraId="5F4E091C" w14:textId="77777777" w:rsidTr="00182709">
        <w:tc>
          <w:tcPr>
            <w:cnfStyle w:val="001000000000" w:firstRow="0" w:lastRow="0" w:firstColumn="1" w:lastColumn="0" w:oddVBand="0" w:evenVBand="0" w:oddHBand="0" w:evenHBand="0" w:firstRowFirstColumn="0" w:firstRowLastColumn="0" w:lastRowFirstColumn="0" w:lastRowLastColumn="0"/>
            <w:tcW w:w="7825" w:type="dxa"/>
          </w:tcPr>
          <w:p w14:paraId="0E2B97F5" w14:textId="77777777" w:rsidR="00182709" w:rsidRDefault="0044097C">
            <w:r w:rsidRPr="003943E7">
              <w:rPr>
                <w:b/>
              </w:rPr>
              <w:t xml:space="preserve">Total annualised employee equivalents </w:t>
            </w:r>
            <w:r w:rsidRPr="003943E7">
              <w:rPr>
                <w:b/>
                <w:vertAlign w:val="superscript"/>
              </w:rPr>
              <w:t>(b)</w:t>
            </w:r>
          </w:p>
        </w:tc>
        <w:tc>
          <w:tcPr>
            <w:tcW w:w="907" w:type="dxa"/>
          </w:tcPr>
          <w:p w14:paraId="39714AF3"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76.2</w:t>
            </w:r>
          </w:p>
        </w:tc>
        <w:tc>
          <w:tcPr>
            <w:tcW w:w="907" w:type="dxa"/>
          </w:tcPr>
          <w:p w14:paraId="4A5527EA"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75.8</w:t>
            </w:r>
          </w:p>
        </w:tc>
      </w:tr>
    </w:tbl>
    <w:p w14:paraId="08C9BB1F" w14:textId="77777777" w:rsidR="003719CD" w:rsidRDefault="003719CD" w:rsidP="007D536F">
      <w:pPr>
        <w:pStyle w:val="Note"/>
      </w:pPr>
      <w:r>
        <w:t>Notes:</w:t>
      </w:r>
    </w:p>
    <w:p w14:paraId="3E1C4A23" w14:textId="3E05C236" w:rsidR="003719CD" w:rsidRDefault="003719CD" w:rsidP="007D536F">
      <w:pPr>
        <w:pStyle w:val="Note"/>
      </w:pPr>
      <w:r>
        <w:t xml:space="preserve">(a) </w:t>
      </w:r>
      <w:r>
        <w:tab/>
        <w:t xml:space="preserve">The total number of </w:t>
      </w:r>
      <w:r w:rsidR="005801B7">
        <w:t xml:space="preserve">senior </w:t>
      </w:r>
      <w:r>
        <w:t xml:space="preserve">executive </w:t>
      </w:r>
      <w:r w:rsidR="005801B7">
        <w:t>service members</w:t>
      </w:r>
      <w:r>
        <w:t xml:space="preserve"> includes persons who meet the definition of Key Management Personnel (KMP) of the entity under AASB 124 </w:t>
      </w:r>
      <w:r w:rsidRPr="004F78D7">
        <w:rPr>
          <w:i w:val="0"/>
          <w:iCs/>
        </w:rPr>
        <w:t>Related Party Disclosures</w:t>
      </w:r>
      <w:r>
        <w:t xml:space="preserve"> and are also reported within the related parties note disclosure (Note 9.9). </w:t>
      </w:r>
      <w:r w:rsidRPr="004F78D7">
        <w:rPr>
          <w:rStyle w:val="Guidance"/>
        </w:rPr>
        <w:t>This footnote only applies for entities that may have executives who also meet the definition of a KMP under AASB 124.9, to provide clarification to readers so that remuneration is not misinterpreted or double-counted. This circumstance may not be applicable to all entities and should only be included where appropriate.</w:t>
      </w:r>
    </w:p>
    <w:p w14:paraId="5E54EB31" w14:textId="77777777" w:rsidR="003719CD" w:rsidRDefault="003719CD" w:rsidP="007D536F">
      <w:pPr>
        <w:pStyle w:val="Note"/>
      </w:pPr>
      <w:r>
        <w:t>(b)</w:t>
      </w:r>
      <w:r>
        <w:tab/>
        <w:t xml:space="preserve">Annualised employee equivalent is based on the time fraction worked over the reporting period. </w:t>
      </w:r>
    </w:p>
    <w:p w14:paraId="7ACFA5C4" w14:textId="77777777" w:rsidR="003719CD" w:rsidRDefault="003719CD" w:rsidP="00DC39DE"/>
    <w:p w14:paraId="0B1750C9" w14:textId="09F1F48E" w:rsidR="003719CD" w:rsidRPr="004F78D7" w:rsidRDefault="003719CD" w:rsidP="007D536F">
      <w:pPr>
        <w:pStyle w:val="GuidanceBlockHeading"/>
      </w:pPr>
      <w:r w:rsidRPr="004F78D7">
        <w:t>Guidance – Remuneration of executives</w:t>
      </w:r>
      <w:r w:rsidR="00222931">
        <w:t xml:space="preserve"> </w:t>
      </w:r>
      <w:r w:rsidRPr="002F5875">
        <w:rPr>
          <w:rStyle w:val="Reference"/>
          <w:color w:val="FFFFFF" w:themeColor="background1"/>
        </w:rPr>
        <w:t>[FRD 21</w:t>
      </w:r>
      <w:r w:rsidR="00A81190">
        <w:rPr>
          <w:rStyle w:val="Reference"/>
          <w:color w:val="FFFFFF" w:themeColor="background1"/>
        </w:rPr>
        <w:t xml:space="preserve"> Revised</w:t>
      </w:r>
      <w:r w:rsidRPr="002F5875">
        <w:rPr>
          <w:rStyle w:val="Reference"/>
          <w:color w:val="FFFFFF" w:themeColor="background1"/>
        </w:rPr>
        <w:t>]</w:t>
      </w:r>
      <w:r w:rsidR="00E102DF" w:rsidRPr="00E102DF">
        <w:rPr>
          <w:color w:val="7030A0"/>
        </w:rPr>
        <w:t xml:space="preserve"> </w:t>
      </w:r>
      <w:r w:rsidR="00E102DF" w:rsidRPr="0038140F">
        <w:rPr>
          <w:shd w:val="clear" w:color="auto" w:fill="7030A0"/>
        </w:rPr>
        <w:t>[REVISED]</w:t>
      </w:r>
    </w:p>
    <w:p w14:paraId="1882D6CF" w14:textId="77777777" w:rsidR="003719CD" w:rsidRPr="004F78D7" w:rsidRDefault="003719CD" w:rsidP="007D536F">
      <w:pPr>
        <w:rPr>
          <w:rStyle w:val="Guidance"/>
        </w:rPr>
      </w:pPr>
      <w:r w:rsidRPr="004F78D7">
        <w:rPr>
          <w:rStyle w:val="Guidance"/>
        </w:rPr>
        <w:t xml:space="preserve">Remuneration includes all employee benefits (as defined in AASB 119 </w:t>
      </w:r>
      <w:r w:rsidRPr="004F78D7">
        <w:rPr>
          <w:rStyle w:val="Guidance"/>
          <w:i/>
          <w:iCs/>
        </w:rPr>
        <w:t>Employee Benefits</w:t>
      </w:r>
      <w:r w:rsidRPr="004F78D7">
        <w:rPr>
          <w:rStyle w:val="Guidance"/>
        </w:rPr>
        <w:t xml:space="preserve">), which are all forms of consideration paid, payable or provided by the entity, or on behalf of the entity, in exchange for services rendered. It also includes amounts paid on behalf of a parent of the entity in respect of the entity. </w:t>
      </w:r>
    </w:p>
    <w:p w14:paraId="6E7787FB" w14:textId="77777777" w:rsidR="003719CD" w:rsidRPr="004F78D7" w:rsidRDefault="003719CD" w:rsidP="007D536F">
      <w:pPr>
        <w:rPr>
          <w:rStyle w:val="Guidance"/>
        </w:rPr>
      </w:pPr>
      <w:r w:rsidRPr="004F78D7">
        <w:rPr>
          <w:rStyle w:val="Guidance"/>
        </w:rPr>
        <w:t>The objective of the remuneration disclosure is to capture the total remuneration attributable to the entity’s executives for the reporting period. As a result, amounts reported should reflect the expenses recognised in the entity’s Statement of Comprehensive Income (in line with the relevant accounting standards) for the reporting period.</w:t>
      </w:r>
    </w:p>
    <w:p w14:paraId="7AA89EA4" w14:textId="5855BBFE" w:rsidR="003719CD" w:rsidRPr="004F78D7" w:rsidRDefault="003719CD" w:rsidP="007D536F">
      <w:pPr>
        <w:rPr>
          <w:rStyle w:val="Guidance"/>
        </w:rPr>
      </w:pPr>
      <w:r w:rsidRPr="004F78D7">
        <w:rPr>
          <w:rStyle w:val="Guidance"/>
        </w:rPr>
        <w:t xml:space="preserve">For guidance on how to disclose an executive’s total remuneration package and other specific employee benefits, refer to the ‘Guidelines for reporting remuneration in accordance with AASB 124’ document </w:t>
      </w:r>
      <w:hyperlink r:id="rId117" w:history="1">
        <w:r w:rsidRPr="005E1556">
          <w:rPr>
            <w:rStyle w:val="Hyperlink"/>
          </w:rPr>
          <w:t xml:space="preserve">available </w:t>
        </w:r>
        <w:bookmarkStart w:id="165" w:name="_Hlt96089059"/>
        <w:bookmarkStart w:id="166" w:name="_Hlt96089060"/>
        <w:r w:rsidRPr="005E1556">
          <w:rPr>
            <w:rStyle w:val="Hyperlink"/>
          </w:rPr>
          <w:t>o</w:t>
        </w:r>
        <w:bookmarkStart w:id="167" w:name="_Hlt194488710"/>
        <w:bookmarkStart w:id="168" w:name="_Hlt194488711"/>
        <w:bookmarkEnd w:id="165"/>
        <w:bookmarkEnd w:id="166"/>
        <w:r w:rsidRPr="005E1556">
          <w:rPr>
            <w:rStyle w:val="Hyperlink"/>
          </w:rPr>
          <w:t>n</w:t>
        </w:r>
        <w:bookmarkEnd w:id="167"/>
        <w:bookmarkEnd w:id="168"/>
        <w:r w:rsidRPr="005E1556">
          <w:rPr>
            <w:rStyle w:val="Hyperlink"/>
          </w:rPr>
          <w:t xml:space="preserve"> the DTF website</w:t>
        </w:r>
        <w:r w:rsidR="00777C72" w:rsidRPr="005E1556">
          <w:rPr>
            <w:rStyle w:val="Hyperlink"/>
          </w:rPr>
          <w:t>.</w:t>
        </w:r>
      </w:hyperlink>
    </w:p>
    <w:p w14:paraId="31DB0086" w14:textId="77777777" w:rsidR="003719CD" w:rsidRPr="004F78D7" w:rsidRDefault="003719CD" w:rsidP="007D536F">
      <w:pPr>
        <w:rPr>
          <w:rStyle w:val="Guidance"/>
        </w:rPr>
      </w:pPr>
      <w:r w:rsidRPr="004F78D7">
        <w:rPr>
          <w:rStyle w:val="Guidance"/>
        </w:rPr>
        <w:t xml:space="preserve">Remuneration is disclosed in the financial statements based on the nature of the payment in accordance with AASB 124. The disclosure categories include: </w:t>
      </w:r>
    </w:p>
    <w:p w14:paraId="39AFF3C4" w14:textId="6543DD42" w:rsidR="003719CD" w:rsidRPr="004F78D7" w:rsidRDefault="003719CD" w:rsidP="00310F12">
      <w:pPr>
        <w:pStyle w:val="ListBullet"/>
        <w:rPr>
          <w:rStyle w:val="Guidance"/>
        </w:rPr>
      </w:pPr>
      <w:r w:rsidRPr="004F78D7">
        <w:rPr>
          <w:rStyle w:val="Guidance"/>
          <w:b/>
          <w:bCs/>
        </w:rPr>
        <w:t>short-term employee benefits</w:t>
      </w:r>
      <w:r w:rsidRPr="004F78D7">
        <w:rPr>
          <w:rStyle w:val="Guidance"/>
        </w:rPr>
        <w:t>: wages, salaries, paid annual and sick leave, profit</w:t>
      </w:r>
      <w:r w:rsidR="00AB3BCF">
        <w:rPr>
          <w:rStyle w:val="Guidance"/>
        </w:rPr>
        <w:t xml:space="preserve"> </w:t>
      </w:r>
      <w:r w:rsidRPr="004F78D7">
        <w:rPr>
          <w:rStyle w:val="Guidance"/>
        </w:rPr>
        <w:t>sharing and bonuses (if payable within 12 months of the end of the period), and non-monetary benefits such as car (parking, e-tags and chauffer allowances), medical care, accommodation (housing) or relocation benefits, and free/subsidised goods or services</w:t>
      </w:r>
    </w:p>
    <w:p w14:paraId="2E276CF0" w14:textId="778C1E91" w:rsidR="003719CD" w:rsidRPr="004F78D7" w:rsidRDefault="003719CD" w:rsidP="00310F12">
      <w:pPr>
        <w:pStyle w:val="ListBullet"/>
        <w:rPr>
          <w:rStyle w:val="Guidance"/>
        </w:rPr>
      </w:pPr>
      <w:r w:rsidRPr="004F78D7">
        <w:rPr>
          <w:rStyle w:val="Guidance"/>
          <w:b/>
          <w:bCs/>
        </w:rPr>
        <w:t>post-employment benefits</w:t>
      </w:r>
      <w:r w:rsidRPr="004F78D7">
        <w:rPr>
          <w:rStyle w:val="Guidance"/>
        </w:rPr>
        <w:t>: pensions, post-employment life insurance or health care, superannuation entitlements and other retirement benefits</w:t>
      </w:r>
    </w:p>
    <w:p w14:paraId="398AF8A6" w14:textId="557D889A" w:rsidR="003719CD" w:rsidRPr="004F78D7" w:rsidRDefault="003719CD" w:rsidP="00310F12">
      <w:pPr>
        <w:pStyle w:val="ListBullet"/>
        <w:rPr>
          <w:rStyle w:val="Guidance"/>
        </w:rPr>
      </w:pPr>
      <w:r w:rsidRPr="004F78D7">
        <w:rPr>
          <w:rStyle w:val="Guidance"/>
          <w:b/>
          <w:bCs/>
        </w:rPr>
        <w:t>other long-term employee benefits</w:t>
      </w:r>
      <w:r w:rsidRPr="004F78D7">
        <w:rPr>
          <w:rStyle w:val="Guidance"/>
        </w:rPr>
        <w:t>: long service leave, sabbatical leave, jubilee or other long service benefits, long-term disability benefits, deferred compensation and profit</w:t>
      </w:r>
      <w:r w:rsidR="00AB3BCF">
        <w:rPr>
          <w:rStyle w:val="Guidance"/>
        </w:rPr>
        <w:t xml:space="preserve"> </w:t>
      </w:r>
      <w:r w:rsidRPr="004F78D7">
        <w:rPr>
          <w:rStyle w:val="Guidance"/>
        </w:rPr>
        <w:t>sharing and bonuses (not payable wholly within 12</w:t>
      </w:r>
      <w:r w:rsidR="00740828">
        <w:rPr>
          <w:rStyle w:val="Guidance"/>
        </w:rPr>
        <w:t> </w:t>
      </w:r>
      <w:r w:rsidRPr="004F78D7">
        <w:rPr>
          <w:rStyle w:val="Guidance"/>
        </w:rPr>
        <w:t>months)</w:t>
      </w:r>
    </w:p>
    <w:p w14:paraId="2371BA65" w14:textId="77777777" w:rsidR="003719CD" w:rsidRPr="004F78D7" w:rsidRDefault="003719CD" w:rsidP="00310F12">
      <w:pPr>
        <w:pStyle w:val="ListBullet"/>
        <w:rPr>
          <w:rStyle w:val="Guidance"/>
        </w:rPr>
      </w:pPr>
      <w:r w:rsidRPr="004F78D7">
        <w:rPr>
          <w:rStyle w:val="Guidance"/>
          <w:b/>
          <w:bCs/>
        </w:rPr>
        <w:t>termination benefits</w:t>
      </w:r>
      <w:r w:rsidRPr="004F78D7">
        <w:rPr>
          <w:rStyle w:val="Guidance"/>
        </w:rPr>
        <w:t xml:space="preserve">: employee benefits provided on termination of employment as a result of either an entity’s decision to terminate an employee before the normal retirement date, or an employee’s decision to accept an offer of benefits in exchange for termination of employment. </w:t>
      </w:r>
    </w:p>
    <w:p w14:paraId="5D08701C" w14:textId="77777777" w:rsidR="003719CD" w:rsidRPr="004F78D7" w:rsidRDefault="003719CD" w:rsidP="00506831">
      <w:pPr>
        <w:rPr>
          <w:rStyle w:val="Guidance"/>
        </w:rPr>
      </w:pPr>
      <w:r w:rsidRPr="004F78D7">
        <w:rPr>
          <w:rStyle w:val="Guidance"/>
          <w:b/>
          <w:bCs/>
        </w:rPr>
        <w:t>Share-based payments</w:t>
      </w:r>
      <w:r w:rsidRPr="004F78D7">
        <w:rPr>
          <w:rStyle w:val="Guidance"/>
        </w:rPr>
        <w:t xml:space="preserve">: benefits paid according to an agreement between the entity and the employee that entitles them to receive cash or other assets for amounts that are based on the price of shares or share options provided specified vesting conditions, if any, are met. This category is unlikely to be applicable to public sector not-for-profit entities. </w:t>
      </w:r>
    </w:p>
    <w:p w14:paraId="1F2BC363" w14:textId="46BF99EB" w:rsidR="00C70938" w:rsidRDefault="00C70938">
      <w:pPr>
        <w:keepLines w:val="0"/>
        <w:rPr>
          <w:rStyle w:val="Guidance"/>
          <w:b/>
          <w:bCs/>
        </w:rPr>
      </w:pPr>
      <w:r>
        <w:rPr>
          <w:rStyle w:val="Guidance"/>
          <w:b/>
          <w:bCs/>
        </w:rPr>
        <w:br w:type="page"/>
      </w:r>
    </w:p>
    <w:p w14:paraId="4E92EE0C" w14:textId="5C4BD960" w:rsidR="003719CD" w:rsidRPr="003943E7" w:rsidRDefault="003719CD" w:rsidP="007D536F">
      <w:pPr>
        <w:rPr>
          <w:rStyle w:val="Guidance"/>
        </w:rPr>
      </w:pPr>
      <w:r w:rsidRPr="003943E7">
        <w:rPr>
          <w:rStyle w:val="Guidance"/>
          <w:b/>
        </w:rPr>
        <w:lastRenderedPageBreak/>
        <w:t>Annualised employee equivalent</w:t>
      </w:r>
      <w:r w:rsidRPr="003943E7">
        <w:rPr>
          <w:rStyle w:val="Guidance"/>
        </w:rPr>
        <w:t xml:space="preserve"> (AEE) is required to be disclosed in addition to the headcount disclosure of </w:t>
      </w:r>
      <w:r w:rsidR="00B82D42" w:rsidRPr="003943E7">
        <w:rPr>
          <w:rStyle w:val="Guidance"/>
        </w:rPr>
        <w:t xml:space="preserve">the senior </w:t>
      </w:r>
      <w:r w:rsidRPr="003943E7">
        <w:rPr>
          <w:rStyle w:val="Guidance"/>
        </w:rPr>
        <w:t xml:space="preserve">executive </w:t>
      </w:r>
      <w:r w:rsidR="00B82D42" w:rsidRPr="003943E7">
        <w:rPr>
          <w:rStyle w:val="Guidance"/>
        </w:rPr>
        <w:t>service</w:t>
      </w:r>
      <w:r w:rsidRPr="003943E7">
        <w:rPr>
          <w:rStyle w:val="Guidance"/>
        </w:rPr>
        <w:t xml:space="preserve">. AEE is defined and explained in FRD 21 in the financial statements. It is calculated by dividing the total number of </w:t>
      </w:r>
      <w:r w:rsidR="00507210">
        <w:rPr>
          <w:rStyle w:val="Guidance"/>
        </w:rPr>
        <w:t>ordinary working hours</w:t>
      </w:r>
      <w:r w:rsidR="00507210" w:rsidRPr="003943E7">
        <w:rPr>
          <w:rStyle w:val="Guidance"/>
        </w:rPr>
        <w:t xml:space="preserve"> </w:t>
      </w:r>
      <w:r w:rsidRPr="003943E7">
        <w:rPr>
          <w:rStyle w:val="Guidance"/>
        </w:rPr>
        <w:t xml:space="preserve">that an employee </w:t>
      </w:r>
      <w:r w:rsidR="00507210">
        <w:rPr>
          <w:rStyle w:val="Guidance"/>
        </w:rPr>
        <w:t xml:space="preserve">worked and was paid over the reporting period </w:t>
      </w:r>
      <w:r w:rsidRPr="00432865">
        <w:rPr>
          <w:rStyle w:val="Guidance"/>
        </w:rPr>
        <w:t xml:space="preserve">by the </w:t>
      </w:r>
      <w:r w:rsidR="00507210">
        <w:rPr>
          <w:rStyle w:val="Guidance"/>
        </w:rPr>
        <w:t xml:space="preserve">standard total </w:t>
      </w:r>
      <w:r>
        <w:rPr>
          <w:rStyle w:val="Guidance"/>
        </w:rPr>
        <w:t xml:space="preserve">number </w:t>
      </w:r>
      <w:r w:rsidR="00507210">
        <w:rPr>
          <w:rStyle w:val="Guidance"/>
        </w:rPr>
        <w:t>o</w:t>
      </w:r>
      <w:r w:rsidRPr="003943E7">
        <w:rPr>
          <w:rStyle w:val="Guidance"/>
        </w:rPr>
        <w:t xml:space="preserve">f full-time working </w:t>
      </w:r>
      <w:r w:rsidR="00507210">
        <w:rPr>
          <w:rStyle w:val="Guidance"/>
        </w:rPr>
        <w:t>hours</w:t>
      </w:r>
      <w:r w:rsidR="00507210" w:rsidRPr="003943E7">
        <w:rPr>
          <w:rStyle w:val="Guidance"/>
        </w:rPr>
        <w:t xml:space="preserve"> </w:t>
      </w:r>
      <w:r w:rsidRPr="003943E7">
        <w:rPr>
          <w:rStyle w:val="Guidance"/>
        </w:rPr>
        <w:t xml:space="preserve">per </w:t>
      </w:r>
      <w:r w:rsidR="00507210">
        <w:rPr>
          <w:rStyle w:val="Guidance"/>
        </w:rPr>
        <w:t>annum</w:t>
      </w:r>
      <w:r w:rsidRPr="003943E7">
        <w:rPr>
          <w:rStyle w:val="Guidance"/>
        </w:rPr>
        <w:t>.</w:t>
      </w:r>
    </w:p>
    <w:p w14:paraId="75C311EE" w14:textId="77777777" w:rsidR="003719CD" w:rsidRPr="003943E7" w:rsidRDefault="003719CD" w:rsidP="007D536F">
      <w:pPr>
        <w:rPr>
          <w:rStyle w:val="Guidance"/>
          <w:i/>
        </w:rPr>
      </w:pPr>
      <w:r w:rsidRPr="003943E7">
        <w:rPr>
          <w:rStyle w:val="Guidance"/>
          <w:i/>
        </w:rPr>
        <w:t>Example 1</w:t>
      </w:r>
    </w:p>
    <w:p w14:paraId="5793D3EA" w14:textId="6B4E8282" w:rsidR="003719CD" w:rsidRPr="00432865" w:rsidRDefault="003719CD" w:rsidP="007D536F">
      <w:pPr>
        <w:rPr>
          <w:rStyle w:val="Guidance"/>
        </w:rPr>
      </w:pPr>
      <w:r w:rsidRPr="003943E7">
        <w:rPr>
          <w:rStyle w:val="Guidance"/>
        </w:rPr>
        <w:t xml:space="preserve">A </w:t>
      </w:r>
      <w:r w:rsidR="00507210">
        <w:rPr>
          <w:rStyle w:val="Guidance"/>
        </w:rPr>
        <w:t>full</w:t>
      </w:r>
      <w:r w:rsidRPr="003943E7">
        <w:rPr>
          <w:rStyle w:val="Guidance"/>
        </w:rPr>
        <w:t>-time Employee A work</w:t>
      </w:r>
      <w:r w:rsidR="00FE26D2" w:rsidRPr="003943E7">
        <w:rPr>
          <w:rStyle w:val="Guidance"/>
        </w:rPr>
        <w:t xml:space="preserve">ed 38 hours (5 days) </w:t>
      </w:r>
      <w:r w:rsidRPr="003943E7">
        <w:rPr>
          <w:rStyle w:val="Guidance"/>
        </w:rPr>
        <w:t>per week</w:t>
      </w:r>
      <w:r w:rsidR="00FE26D2" w:rsidRPr="003943E7">
        <w:rPr>
          <w:rStyle w:val="Guidance"/>
        </w:rPr>
        <w:t xml:space="preserve"> since 1 July for the whole reporting period (defined as</w:t>
      </w:r>
      <w:r w:rsidR="00507210">
        <w:rPr>
          <w:rStyle w:val="Guidance"/>
        </w:rPr>
        <w:t xml:space="preserve"> the relevant financial year)</w:t>
      </w:r>
    </w:p>
    <w:p w14:paraId="5D35ACF8" w14:textId="04C86F9D" w:rsidR="003719CD" w:rsidRPr="003943E7" w:rsidRDefault="003719CD" w:rsidP="007D536F">
      <w:pPr>
        <w:pStyle w:val="ListContinue"/>
        <w:rPr>
          <w:rStyle w:val="Guidance"/>
        </w:rPr>
      </w:pPr>
      <w:r w:rsidRPr="00432865">
        <w:rPr>
          <w:rStyle w:val="Guidance"/>
        </w:rPr>
        <w:t xml:space="preserve">AEE = </w:t>
      </w:r>
      <w:r w:rsidR="00507210">
        <w:rPr>
          <w:rStyle w:val="Guidance"/>
        </w:rPr>
        <w:t>(</w:t>
      </w:r>
      <w:r w:rsidRPr="003943E7">
        <w:rPr>
          <w:rStyle w:val="Guidance"/>
        </w:rPr>
        <w:t>3</w:t>
      </w:r>
      <w:r w:rsidR="00507210">
        <w:rPr>
          <w:rStyle w:val="Guidance"/>
        </w:rPr>
        <w:t xml:space="preserve">8 hours </w:t>
      </w:r>
      <w:r w:rsidR="0038140F">
        <w:rPr>
          <w:rStyle w:val="Guidance"/>
          <w:rFonts w:cstheme="minorHAnsi"/>
        </w:rPr>
        <w:t>×</w:t>
      </w:r>
      <w:r w:rsidR="00507210">
        <w:rPr>
          <w:rStyle w:val="Guidance"/>
        </w:rPr>
        <w:t xml:space="preserve"> 52 weeks) </w:t>
      </w:r>
      <w:r w:rsidRPr="003943E7">
        <w:rPr>
          <w:rStyle w:val="Guidance"/>
        </w:rPr>
        <w:t>/</w:t>
      </w:r>
      <w:r w:rsidR="00507210">
        <w:rPr>
          <w:rStyle w:val="Guidance"/>
        </w:rPr>
        <w:t xml:space="preserve"> 1,976 hours</w:t>
      </w:r>
      <w:r w:rsidRPr="003943E7">
        <w:rPr>
          <w:rStyle w:val="Guidance"/>
        </w:rPr>
        <w:t xml:space="preserve"> = </w:t>
      </w:r>
      <w:r w:rsidR="00507210">
        <w:rPr>
          <w:rStyle w:val="Guidance"/>
        </w:rPr>
        <w:t>1</w:t>
      </w:r>
      <w:r w:rsidRPr="00432865">
        <w:rPr>
          <w:rStyle w:val="Guidance"/>
        </w:rPr>
        <w:t>.</w:t>
      </w:r>
      <w:r w:rsidR="00507210">
        <w:rPr>
          <w:rStyle w:val="Guidance"/>
        </w:rPr>
        <w:t>0</w:t>
      </w:r>
    </w:p>
    <w:p w14:paraId="6F3994AF" w14:textId="77777777" w:rsidR="003719CD" w:rsidRPr="003943E7" w:rsidRDefault="003719CD" w:rsidP="007D536F">
      <w:pPr>
        <w:rPr>
          <w:rStyle w:val="Guidance"/>
          <w:i/>
        </w:rPr>
      </w:pPr>
      <w:r w:rsidRPr="003943E7">
        <w:rPr>
          <w:rStyle w:val="Guidance"/>
          <w:i/>
        </w:rPr>
        <w:t>Example 2</w:t>
      </w:r>
    </w:p>
    <w:p w14:paraId="0F0A01AD" w14:textId="6054A2C5" w:rsidR="003719CD" w:rsidRPr="003943E7" w:rsidRDefault="003719CD" w:rsidP="007D536F">
      <w:pPr>
        <w:rPr>
          <w:rStyle w:val="Guidance"/>
        </w:rPr>
      </w:pPr>
      <w:r w:rsidRPr="003943E7">
        <w:rPr>
          <w:rStyle w:val="Guidance"/>
        </w:rPr>
        <w:t xml:space="preserve">A </w:t>
      </w:r>
      <w:r w:rsidR="001214FC">
        <w:rPr>
          <w:rStyle w:val="Guidance"/>
        </w:rPr>
        <w:t>part</w:t>
      </w:r>
      <w:r w:rsidRPr="003943E7">
        <w:rPr>
          <w:rStyle w:val="Guidance"/>
        </w:rPr>
        <w:t>-time Employee B work</w:t>
      </w:r>
      <w:r w:rsidR="001214FC">
        <w:rPr>
          <w:rStyle w:val="Guidance"/>
        </w:rPr>
        <w:t>ed</w:t>
      </w:r>
      <w:r w:rsidRPr="003943E7">
        <w:rPr>
          <w:rStyle w:val="Guidance"/>
        </w:rPr>
        <w:t xml:space="preserve"> </w:t>
      </w:r>
      <w:r w:rsidR="001214FC">
        <w:rPr>
          <w:rStyle w:val="Guidance"/>
        </w:rPr>
        <w:t>30 hours (4 days) per week since 1 July for the whole reporting period.</w:t>
      </w:r>
    </w:p>
    <w:p w14:paraId="0DEF0651" w14:textId="4F143ACB" w:rsidR="003719CD" w:rsidRDefault="003719CD" w:rsidP="007D536F">
      <w:pPr>
        <w:pStyle w:val="ListContinue"/>
        <w:rPr>
          <w:rStyle w:val="Guidance"/>
        </w:rPr>
      </w:pPr>
      <w:r w:rsidRPr="003943E7">
        <w:rPr>
          <w:rStyle w:val="Guidance"/>
        </w:rPr>
        <w:t xml:space="preserve">AEE = </w:t>
      </w:r>
      <w:r w:rsidR="001214FC">
        <w:rPr>
          <w:rStyle w:val="Guidance"/>
        </w:rPr>
        <w:t xml:space="preserve">(30 hours </w:t>
      </w:r>
      <w:r w:rsidR="0038140F">
        <w:rPr>
          <w:rStyle w:val="Guidance"/>
          <w:rFonts w:cstheme="minorHAnsi"/>
        </w:rPr>
        <w:t>×</w:t>
      </w:r>
      <w:r w:rsidR="001214FC">
        <w:rPr>
          <w:rStyle w:val="Guidance"/>
        </w:rPr>
        <w:t xml:space="preserve"> 52 weeks) </w:t>
      </w:r>
      <w:r w:rsidRPr="003943E7">
        <w:rPr>
          <w:rStyle w:val="Guidance"/>
        </w:rPr>
        <w:t>/</w:t>
      </w:r>
      <w:r w:rsidR="001214FC">
        <w:rPr>
          <w:rStyle w:val="Guidance"/>
        </w:rPr>
        <w:t xml:space="preserve"> 1,976 hours</w:t>
      </w:r>
      <w:r w:rsidRPr="003943E7">
        <w:rPr>
          <w:rStyle w:val="Guidance"/>
        </w:rPr>
        <w:t xml:space="preserve"> = </w:t>
      </w:r>
      <w:r w:rsidR="001214FC">
        <w:rPr>
          <w:rStyle w:val="Guidance"/>
        </w:rPr>
        <w:t>0</w:t>
      </w:r>
      <w:r w:rsidRPr="003943E7">
        <w:rPr>
          <w:rStyle w:val="Guidance"/>
        </w:rPr>
        <w:t>.</w:t>
      </w:r>
      <w:r w:rsidR="001214FC">
        <w:rPr>
          <w:rStyle w:val="Guidance"/>
        </w:rPr>
        <w:t>8</w:t>
      </w:r>
    </w:p>
    <w:p w14:paraId="429AE5C2" w14:textId="77777777" w:rsidR="00507210" w:rsidRPr="006601D7" w:rsidRDefault="00507210" w:rsidP="00507210">
      <w:pPr>
        <w:rPr>
          <w:rStyle w:val="Guidance"/>
          <w:i/>
          <w:iCs/>
        </w:rPr>
      </w:pPr>
      <w:r w:rsidRPr="006601D7">
        <w:rPr>
          <w:rStyle w:val="Guidance"/>
          <w:i/>
          <w:iCs/>
        </w:rPr>
        <w:t xml:space="preserve">Example </w:t>
      </w:r>
      <w:r>
        <w:rPr>
          <w:rStyle w:val="Guidance"/>
          <w:i/>
          <w:iCs/>
        </w:rPr>
        <w:t>3</w:t>
      </w:r>
    </w:p>
    <w:p w14:paraId="4B6D0B68" w14:textId="77777777" w:rsidR="00507210" w:rsidRPr="006601D7" w:rsidRDefault="00507210" w:rsidP="00507210">
      <w:pPr>
        <w:rPr>
          <w:rStyle w:val="Guidance"/>
        </w:rPr>
      </w:pPr>
      <w:r w:rsidRPr="006601D7">
        <w:rPr>
          <w:rStyle w:val="Guidance"/>
        </w:rPr>
        <w:t xml:space="preserve">A </w:t>
      </w:r>
      <w:r>
        <w:rPr>
          <w:rStyle w:val="Guidance"/>
        </w:rPr>
        <w:t>full</w:t>
      </w:r>
      <w:r w:rsidRPr="006601D7">
        <w:rPr>
          <w:rStyle w:val="Guidance"/>
        </w:rPr>
        <w:t xml:space="preserve">-time Employee </w:t>
      </w:r>
      <w:r>
        <w:rPr>
          <w:rStyle w:val="Guidance"/>
        </w:rPr>
        <w:t>C</w:t>
      </w:r>
      <w:r w:rsidRPr="006601D7">
        <w:rPr>
          <w:rStyle w:val="Guidance"/>
        </w:rPr>
        <w:t xml:space="preserve"> work</w:t>
      </w:r>
      <w:r>
        <w:rPr>
          <w:rStyle w:val="Guidance"/>
        </w:rPr>
        <w:t>ed</w:t>
      </w:r>
      <w:r w:rsidRPr="006601D7">
        <w:rPr>
          <w:rStyle w:val="Guidance"/>
        </w:rPr>
        <w:t xml:space="preserve"> </w:t>
      </w:r>
      <w:r>
        <w:rPr>
          <w:rStyle w:val="Guidance"/>
        </w:rPr>
        <w:t>38 hours (5</w:t>
      </w:r>
      <w:r w:rsidRPr="006601D7">
        <w:rPr>
          <w:rStyle w:val="Guidance"/>
        </w:rPr>
        <w:t xml:space="preserve"> days</w:t>
      </w:r>
      <w:r>
        <w:rPr>
          <w:rStyle w:val="Guidance"/>
        </w:rPr>
        <w:t>) per week</w:t>
      </w:r>
      <w:r w:rsidRPr="006601D7">
        <w:rPr>
          <w:rStyle w:val="Guidance"/>
        </w:rPr>
        <w:t xml:space="preserve"> </w:t>
      </w:r>
      <w:r>
        <w:rPr>
          <w:rStyle w:val="Guidance"/>
        </w:rPr>
        <w:t>since 1 January (only part of the reporting period)</w:t>
      </w:r>
      <w:r w:rsidRPr="006601D7">
        <w:rPr>
          <w:rStyle w:val="Guidance"/>
        </w:rPr>
        <w:t>.</w:t>
      </w:r>
    </w:p>
    <w:p w14:paraId="315B7D02" w14:textId="0F93D2B5" w:rsidR="00507210" w:rsidRPr="006601D7" w:rsidRDefault="00507210" w:rsidP="00507210">
      <w:pPr>
        <w:pStyle w:val="ListContinue"/>
        <w:rPr>
          <w:rStyle w:val="Guidance"/>
        </w:rPr>
      </w:pPr>
      <w:r w:rsidRPr="006601D7">
        <w:rPr>
          <w:rStyle w:val="Guidance"/>
        </w:rPr>
        <w:t xml:space="preserve">AEE = </w:t>
      </w:r>
      <w:r>
        <w:rPr>
          <w:rStyle w:val="Guidance"/>
        </w:rPr>
        <w:t xml:space="preserve">(38 hours </w:t>
      </w:r>
      <w:r w:rsidR="0038140F">
        <w:rPr>
          <w:rStyle w:val="Guidance"/>
          <w:rFonts w:cstheme="minorHAnsi"/>
        </w:rPr>
        <w:t>×</w:t>
      </w:r>
      <w:r>
        <w:rPr>
          <w:rStyle w:val="Guidance"/>
        </w:rPr>
        <w:t xml:space="preserve"> 26 weeks) </w:t>
      </w:r>
      <w:r w:rsidRPr="006601D7">
        <w:rPr>
          <w:rStyle w:val="Guidance"/>
        </w:rPr>
        <w:t>/</w:t>
      </w:r>
      <w:r>
        <w:rPr>
          <w:rStyle w:val="Guidance"/>
        </w:rPr>
        <w:t xml:space="preserve"> 1,976 hours</w:t>
      </w:r>
      <w:r w:rsidRPr="006601D7">
        <w:rPr>
          <w:rStyle w:val="Guidance"/>
        </w:rPr>
        <w:t xml:space="preserve"> = </w:t>
      </w:r>
      <w:r>
        <w:rPr>
          <w:rStyle w:val="Guidance"/>
        </w:rPr>
        <w:t xml:space="preserve">0.5 </w:t>
      </w:r>
    </w:p>
    <w:p w14:paraId="25D21B4F" w14:textId="77777777" w:rsidR="003719CD" w:rsidRPr="003943E7" w:rsidRDefault="003719CD" w:rsidP="007D536F">
      <w:pPr>
        <w:rPr>
          <w:rStyle w:val="Guidance"/>
        </w:rPr>
      </w:pPr>
      <w:r w:rsidRPr="003943E7">
        <w:rPr>
          <w:rStyle w:val="Guidance"/>
        </w:rPr>
        <w:t xml:space="preserve">If a person becomes an executive during the reporting period, no disclosure is required for remuneration paid to that person prior to their appointment as an executive. </w:t>
      </w:r>
    </w:p>
    <w:p w14:paraId="086E5CED" w14:textId="77777777" w:rsidR="003719CD" w:rsidRPr="003943E7" w:rsidRDefault="003719CD" w:rsidP="007D536F">
      <w:pPr>
        <w:rPr>
          <w:rStyle w:val="Guidance"/>
        </w:rPr>
      </w:pPr>
      <w:r w:rsidRPr="003943E7">
        <w:rPr>
          <w:rStyle w:val="Guidance"/>
        </w:rPr>
        <w:t xml:space="preserve">If a person ceases to be an executive during the reporting period, the disclosure should only include their remuneration for the reporting period up until the end of their term of employment as an executive. </w:t>
      </w:r>
    </w:p>
    <w:p w14:paraId="0CEF9E8F" w14:textId="3B813B61" w:rsidR="003719CD" w:rsidRPr="003943E7" w:rsidRDefault="003719CD" w:rsidP="007D536F">
      <w:pPr>
        <w:rPr>
          <w:rStyle w:val="Guidance"/>
        </w:rPr>
      </w:pPr>
      <w:r w:rsidRPr="003943E7">
        <w:rPr>
          <w:rStyle w:val="Guidance"/>
        </w:rPr>
        <w:t xml:space="preserve">The disclosure of </w:t>
      </w:r>
      <w:r w:rsidR="00B82D42" w:rsidRPr="003943E7">
        <w:rPr>
          <w:rStyle w:val="Guidance"/>
        </w:rPr>
        <w:t xml:space="preserve">senior </w:t>
      </w:r>
      <w:r w:rsidRPr="003943E7">
        <w:rPr>
          <w:rStyle w:val="Guidance"/>
        </w:rPr>
        <w:t xml:space="preserve">executive </w:t>
      </w:r>
      <w:r w:rsidR="00B82D42" w:rsidRPr="003943E7">
        <w:rPr>
          <w:rStyle w:val="Guidance"/>
        </w:rPr>
        <w:t>service</w:t>
      </w:r>
      <w:r w:rsidRPr="003943E7">
        <w:rPr>
          <w:rStyle w:val="Guidance"/>
        </w:rPr>
        <w:t xml:space="preserve"> remuneration does not relate to any VPS 6 or 7 staff acting on a temporary basis in executive roles, while the substantive </w:t>
      </w:r>
      <w:r w:rsidR="001E5833" w:rsidRPr="003943E7">
        <w:rPr>
          <w:rStyle w:val="Guidance"/>
        </w:rPr>
        <w:t xml:space="preserve">senior </w:t>
      </w:r>
      <w:r w:rsidRPr="003943E7">
        <w:rPr>
          <w:rStyle w:val="Guidance"/>
        </w:rPr>
        <w:t xml:space="preserve">executive </w:t>
      </w:r>
      <w:r w:rsidR="001E5833" w:rsidRPr="003943E7">
        <w:rPr>
          <w:rStyle w:val="Guidance"/>
        </w:rPr>
        <w:t xml:space="preserve">service member </w:t>
      </w:r>
      <w:r w:rsidRPr="003943E7">
        <w:rPr>
          <w:rStyle w:val="Guidance"/>
        </w:rPr>
        <w:t>is on paid leave or secondment.</w:t>
      </w:r>
    </w:p>
    <w:p w14:paraId="5FA278BD" w14:textId="42FAB710" w:rsidR="003719CD" w:rsidRPr="003943E7" w:rsidRDefault="003719CD" w:rsidP="007D536F">
      <w:pPr>
        <w:rPr>
          <w:rStyle w:val="Guidance"/>
        </w:rPr>
      </w:pPr>
      <w:r w:rsidRPr="003943E7">
        <w:rPr>
          <w:rStyle w:val="Guidance"/>
        </w:rPr>
        <w:t xml:space="preserve">Where a </w:t>
      </w:r>
      <w:r w:rsidR="00F11FD7" w:rsidRPr="003943E7">
        <w:rPr>
          <w:rStyle w:val="Guidance"/>
        </w:rPr>
        <w:t xml:space="preserve">member of the senior </w:t>
      </w:r>
      <w:r w:rsidRPr="003943E7">
        <w:rPr>
          <w:rStyle w:val="Guidance"/>
        </w:rPr>
        <w:t xml:space="preserve">executive </w:t>
      </w:r>
      <w:r w:rsidR="00F11FD7" w:rsidRPr="003943E7">
        <w:rPr>
          <w:rStyle w:val="Guidance"/>
        </w:rPr>
        <w:t>service</w:t>
      </w:r>
      <w:r w:rsidRPr="003943E7">
        <w:rPr>
          <w:rStyle w:val="Guidance"/>
        </w:rPr>
        <w:t xml:space="preserve"> from the same department backfills for another executive while on paid leave or secondment in that same department, then both </w:t>
      </w:r>
      <w:r w:rsidR="00F11FD7" w:rsidRPr="003943E7">
        <w:rPr>
          <w:rStyle w:val="Guidance"/>
        </w:rPr>
        <w:t xml:space="preserve">senior </w:t>
      </w:r>
      <w:r w:rsidRPr="003943E7">
        <w:rPr>
          <w:rStyle w:val="Guidance"/>
        </w:rPr>
        <w:t xml:space="preserve">executive </w:t>
      </w:r>
      <w:r w:rsidR="00F11FD7" w:rsidRPr="003943E7">
        <w:rPr>
          <w:rStyle w:val="Guidance"/>
        </w:rPr>
        <w:t>service members</w:t>
      </w:r>
      <w:r w:rsidRPr="003943E7">
        <w:rPr>
          <w:rStyle w:val="Guidance"/>
        </w:rPr>
        <w:t xml:space="preserve"> are included in the disclosure. </w:t>
      </w:r>
      <w:r w:rsidRPr="003943E7">
        <w:rPr>
          <w:rStyle w:val="Reference"/>
        </w:rPr>
        <w:t>[FRD 15</w:t>
      </w:r>
      <w:r w:rsidR="009542E5">
        <w:rPr>
          <w:rStyle w:val="Reference"/>
        </w:rPr>
        <w:t xml:space="preserve"> Revised</w:t>
      </w:r>
      <w:r w:rsidRPr="003943E7">
        <w:rPr>
          <w:rStyle w:val="Reference"/>
        </w:rPr>
        <w:t>]</w:t>
      </w:r>
    </w:p>
    <w:p w14:paraId="76FECB9D" w14:textId="27138820" w:rsidR="003719CD" w:rsidRPr="004F78D7" w:rsidRDefault="003719CD" w:rsidP="007D536F">
      <w:pPr>
        <w:rPr>
          <w:rStyle w:val="Guidance"/>
        </w:rPr>
      </w:pPr>
      <w:r w:rsidRPr="003943E7">
        <w:rPr>
          <w:rStyle w:val="Guidance"/>
        </w:rPr>
        <w:t xml:space="preserve">For further disclosure guidance in relation to </w:t>
      </w:r>
      <w:r w:rsidR="009E4912" w:rsidRPr="003943E7">
        <w:rPr>
          <w:rStyle w:val="Guidance"/>
        </w:rPr>
        <w:t xml:space="preserve">senior </w:t>
      </w:r>
      <w:r w:rsidRPr="003943E7">
        <w:rPr>
          <w:rStyle w:val="Guidance"/>
        </w:rPr>
        <w:t xml:space="preserve">executive </w:t>
      </w:r>
      <w:r w:rsidR="009E4912" w:rsidRPr="003943E7">
        <w:rPr>
          <w:rStyle w:val="Guidance"/>
        </w:rPr>
        <w:t>service</w:t>
      </w:r>
      <w:r w:rsidRPr="003943E7">
        <w:rPr>
          <w:rStyle w:val="Guidance"/>
        </w:rPr>
        <w:t>, please refer to FRD 21.</w:t>
      </w:r>
    </w:p>
    <w:p w14:paraId="27D647E3" w14:textId="52750374" w:rsidR="003719CD" w:rsidRPr="004F78D7" w:rsidRDefault="003719CD" w:rsidP="007D536F">
      <w:pPr>
        <w:pStyle w:val="GuidanceHeading"/>
        <w:rPr>
          <w:rStyle w:val="Guidance"/>
        </w:rPr>
      </w:pPr>
      <w:r w:rsidRPr="004F78D7">
        <w:rPr>
          <w:rStyle w:val="Guidance"/>
        </w:rPr>
        <w:t>Reconciliation with ‘executive data’ in the Report of Operations</w:t>
      </w:r>
    </w:p>
    <w:p w14:paraId="6290A10F" w14:textId="70F4342B" w:rsidR="003719CD" w:rsidRPr="004F78D7" w:rsidRDefault="003719CD" w:rsidP="007D536F">
      <w:pPr>
        <w:rPr>
          <w:rStyle w:val="Guidance"/>
        </w:rPr>
      </w:pPr>
      <w:r w:rsidRPr="004F78D7">
        <w:rPr>
          <w:rStyle w:val="Guidance"/>
        </w:rPr>
        <w:t xml:space="preserve">Entities must also ensure that the total number of executives reported in the note to the financial statements corresponds with the total numbers of </w:t>
      </w:r>
      <w:r w:rsidR="001106E1">
        <w:rPr>
          <w:rStyle w:val="Guidance"/>
        </w:rPr>
        <w:t xml:space="preserve">senior </w:t>
      </w:r>
      <w:r w:rsidRPr="004F78D7">
        <w:rPr>
          <w:rStyle w:val="Guidance"/>
        </w:rPr>
        <w:t xml:space="preserve">executive </w:t>
      </w:r>
      <w:r w:rsidR="001106E1">
        <w:rPr>
          <w:rStyle w:val="Guidance"/>
        </w:rPr>
        <w:t>service members</w:t>
      </w:r>
      <w:r w:rsidRPr="004F78D7">
        <w:rPr>
          <w:rStyle w:val="Guidance"/>
        </w:rPr>
        <w:t xml:space="preserve"> reported in the executive data disclosure in the </w:t>
      </w:r>
      <w:r w:rsidR="001106E1" w:rsidRPr="004F78D7">
        <w:rPr>
          <w:rStyle w:val="Guidance"/>
        </w:rPr>
        <w:t>R</w:t>
      </w:r>
      <w:r w:rsidRPr="004F78D7">
        <w:rPr>
          <w:rStyle w:val="Guidance"/>
        </w:rPr>
        <w:t xml:space="preserve">eport of </w:t>
      </w:r>
      <w:r w:rsidR="001106E1" w:rsidRPr="004F78D7">
        <w:rPr>
          <w:rStyle w:val="Guidance"/>
        </w:rPr>
        <w:t>O</w:t>
      </w:r>
      <w:r w:rsidRPr="004F78D7">
        <w:rPr>
          <w:rStyle w:val="Guidance"/>
        </w:rPr>
        <w:t xml:space="preserve">perations (i.e. Table 9: </w:t>
      </w:r>
      <w:r w:rsidRPr="004F78D7">
        <w:rPr>
          <w:rStyle w:val="Guidance"/>
          <w:i/>
          <w:iCs/>
        </w:rPr>
        <w:t>Reconciliation of executive numbers</w:t>
      </w:r>
      <w:r w:rsidRPr="004F78D7">
        <w:rPr>
          <w:rStyle w:val="Guidance"/>
        </w:rPr>
        <w:t xml:space="preserve"> on page </w:t>
      </w:r>
      <w:r w:rsidR="005B1435">
        <w:rPr>
          <w:rStyle w:val="Guidance"/>
        </w:rPr>
        <w:t xml:space="preserve">44 </w:t>
      </w:r>
      <w:r w:rsidRPr="004F78D7">
        <w:rPr>
          <w:rStyle w:val="Guidance"/>
        </w:rPr>
        <w:t>of the Model Report of Operations</w:t>
      </w:r>
      <w:r w:rsidR="005B1435">
        <w:rPr>
          <w:rStyle w:val="Guidance"/>
        </w:rPr>
        <w:t xml:space="preserve"> (</w:t>
      </w:r>
      <w:r w:rsidR="00F66494">
        <w:rPr>
          <w:rStyle w:val="Guidance"/>
        </w:rPr>
        <w:t>Part one</w:t>
      </w:r>
      <w:r w:rsidR="005B1435">
        <w:rPr>
          <w:rStyle w:val="Guidance"/>
        </w:rPr>
        <w:t>)</w:t>
      </w:r>
      <w:r w:rsidRPr="004F78D7">
        <w:rPr>
          <w:rStyle w:val="Guidance"/>
        </w:rPr>
        <w:t>).</w:t>
      </w:r>
    </w:p>
    <w:p w14:paraId="617FB53B" w14:textId="77777777" w:rsidR="003719CD" w:rsidRDefault="003719CD" w:rsidP="007D536F">
      <w:pPr>
        <w:pStyle w:val="GuidanceEnd"/>
      </w:pPr>
    </w:p>
    <w:p w14:paraId="7B589124" w14:textId="77777777" w:rsidR="003719CD" w:rsidRDefault="003719CD" w:rsidP="00DC39DE"/>
    <w:p w14:paraId="6B17C31C" w14:textId="77777777" w:rsidR="001F33FF" w:rsidRDefault="001F33FF">
      <w:pPr>
        <w:keepLines w:val="0"/>
        <w:rPr>
          <w:rFonts w:asciiTheme="majorHAnsi" w:eastAsiaTheme="majorEastAsia" w:hAnsiTheme="majorHAnsi" w:cstheme="majorBidi"/>
          <w:b/>
          <w:sz w:val="26"/>
          <w:szCs w:val="26"/>
        </w:rPr>
      </w:pPr>
      <w:bookmarkStart w:id="169" w:name="_Toc64983184"/>
      <w:r>
        <w:br w:type="page"/>
      </w:r>
    </w:p>
    <w:p w14:paraId="0FC503D3" w14:textId="73DC723F" w:rsidR="003719CD" w:rsidRDefault="003719CD" w:rsidP="007762BE">
      <w:pPr>
        <w:pStyle w:val="Heading2numbered"/>
      </w:pPr>
      <w:bookmarkStart w:id="170" w:name="_Toc130226015"/>
      <w:bookmarkStart w:id="171" w:name="_Toc130289138"/>
      <w:bookmarkStart w:id="172" w:name="_Toc96709991"/>
      <w:r>
        <w:lastRenderedPageBreak/>
        <w:t>Related parties</w:t>
      </w:r>
      <w:bookmarkEnd w:id="169"/>
      <w:bookmarkEnd w:id="170"/>
      <w:bookmarkEnd w:id="171"/>
      <w:bookmarkEnd w:id="172"/>
    </w:p>
    <w:p w14:paraId="14305EF1" w14:textId="77777777" w:rsidR="003719CD" w:rsidRDefault="003719CD" w:rsidP="00DC39DE">
      <w:r>
        <w:t xml:space="preserve">The Department is a wholly owned and controlled entity of the State of Victoria. </w:t>
      </w:r>
    </w:p>
    <w:p w14:paraId="1EB6FA40" w14:textId="63824869" w:rsidR="003719CD" w:rsidRDefault="003719CD" w:rsidP="00DC39DE">
      <w:r>
        <w:t xml:space="preserve">The following agencies have been consolidated into the Department’s financial statements pursuant to the determination made by the </w:t>
      </w:r>
      <w:r w:rsidR="0046343B">
        <w:t>Minister for Finance</w:t>
      </w:r>
      <w:r>
        <w:t xml:space="preserve"> under section 53(1)(b) of the </w:t>
      </w:r>
      <w:r w:rsidRPr="00EB3D32">
        <w:rPr>
          <w:i/>
          <w:iCs/>
        </w:rPr>
        <w:t>Financial Management Act 1994</w:t>
      </w:r>
      <w:r>
        <w:t xml:space="preserve"> (FMA): </w:t>
      </w:r>
    </w:p>
    <w:p w14:paraId="6CAB33A7" w14:textId="16A1B3EF" w:rsidR="003719CD" w:rsidRDefault="003719CD" w:rsidP="00310F12">
      <w:pPr>
        <w:pStyle w:val="ListBullet"/>
      </w:pPr>
      <w:r>
        <w:t>Gene Sciences Victoria</w:t>
      </w:r>
    </w:p>
    <w:p w14:paraId="7EE975AA" w14:textId="5480A06E" w:rsidR="003719CD" w:rsidRDefault="003719CD" w:rsidP="00310F12">
      <w:pPr>
        <w:pStyle w:val="ListBullet"/>
      </w:pPr>
      <w:r>
        <w:t>The Office of the Commissioner of New Technology</w:t>
      </w:r>
    </w:p>
    <w:p w14:paraId="5D53FF74" w14:textId="687431B8" w:rsidR="003719CD" w:rsidRDefault="003719CD" w:rsidP="00310F12">
      <w:pPr>
        <w:pStyle w:val="ListBullet"/>
      </w:pPr>
      <w:r>
        <w:t xml:space="preserve">Innovation Victoria </w:t>
      </w:r>
    </w:p>
    <w:p w14:paraId="7A7BF95A" w14:textId="77777777" w:rsidR="003719CD" w:rsidRDefault="003719CD" w:rsidP="007D536F">
      <w:pPr>
        <w:keepNext/>
      </w:pPr>
      <w:r>
        <w:t>Related parties of the Department, Gene Sciences Victoria, the Office of the Commissioner of New Technology and Innovation Victoria include:</w:t>
      </w:r>
    </w:p>
    <w:p w14:paraId="0119E756" w14:textId="6597762C" w:rsidR="003719CD" w:rsidRDefault="003719CD" w:rsidP="00310F12">
      <w:pPr>
        <w:pStyle w:val="ListBullet"/>
      </w:pPr>
      <w:r>
        <w:t>all key management personnel and their close family members and personal business interests (controlled entities, joint ventures and entities they have significant influence over)</w:t>
      </w:r>
    </w:p>
    <w:p w14:paraId="59CC889C" w14:textId="7E9D6A7F" w:rsidR="003719CD" w:rsidRDefault="003719CD" w:rsidP="00310F12">
      <w:pPr>
        <w:pStyle w:val="ListBullet"/>
      </w:pPr>
      <w:r>
        <w:t>all Cabinet Ministers and their close family members</w:t>
      </w:r>
    </w:p>
    <w:p w14:paraId="16A1B59F" w14:textId="77777777" w:rsidR="003719CD" w:rsidRDefault="003719CD" w:rsidP="00310F12">
      <w:pPr>
        <w:pStyle w:val="ListBullet"/>
      </w:pPr>
      <w:r>
        <w:t>all departments and public sector entities that are controlled and consolidated into the whole of state consolidated financial statements.</w:t>
      </w:r>
    </w:p>
    <w:p w14:paraId="54C157BF" w14:textId="77777777" w:rsidR="003719CD" w:rsidRDefault="003719CD" w:rsidP="00DC39DE">
      <w:r>
        <w:t>All related party transactions have been entered into on an arm’s length basis.</w:t>
      </w:r>
    </w:p>
    <w:p w14:paraId="18502310" w14:textId="77777777" w:rsidR="003719CD" w:rsidRDefault="003719CD" w:rsidP="007D536F">
      <w:pPr>
        <w:pStyle w:val="Heading3"/>
      </w:pPr>
      <w:r>
        <w:t>Significant transactions with government-related entities</w:t>
      </w:r>
    </w:p>
    <w:p w14:paraId="555DED22" w14:textId="621DBBFE" w:rsidR="003719CD" w:rsidRDefault="003719CD" w:rsidP="00DC39DE">
      <w:r>
        <w:t>The Department received funding from and made payments to the Consolidated Fund of $85.5 million (</w:t>
      </w:r>
      <w:fldSimple w:instr="DOCPROPERTY  YearPrevious  \* MERGEFORMAT">
        <w:r w:rsidR="00A545BA">
          <w:t>20X1</w:t>
        </w:r>
      </w:fldSimple>
      <w:r>
        <w:t>: $63.7 million) and $26.6 million (</w:t>
      </w:r>
      <w:fldSimple w:instr="DOCPROPERTY  YearPrevious  \* MERGEFORMAT">
        <w:r w:rsidR="00A545BA">
          <w:t>20X1</w:t>
        </w:r>
      </w:fldSimple>
      <w:r>
        <w:t xml:space="preserve">: $27.5 million) respectively. </w:t>
      </w:r>
    </w:p>
    <w:p w14:paraId="0F5F26C4" w14:textId="77777777" w:rsidR="003719CD" w:rsidRDefault="003719CD" w:rsidP="00DC39DE">
      <w:r>
        <w:t>[During the year, the Department had the following government-related entity transactions:</w:t>
      </w:r>
    </w:p>
    <w:p w14:paraId="505EF8E1" w14:textId="1820C87A" w:rsidR="003719CD" w:rsidRDefault="003719CD" w:rsidP="00310F12">
      <w:pPr>
        <w:pStyle w:val="ListBullet"/>
      </w:pPr>
      <w:r>
        <w:t>the following information in sufficient detail to enable users of the entity’s financial statements to understand the effect of related party transaction on its financial statements:</w:t>
      </w:r>
    </w:p>
    <w:p w14:paraId="667EBB1C" w14:textId="06039B71" w:rsidR="003719CD" w:rsidRDefault="003719CD" w:rsidP="00506831">
      <w:pPr>
        <w:pStyle w:val="ListBullet2"/>
      </w:pPr>
      <w:r>
        <w:t>the nature and amount of each individually significant transaction</w:t>
      </w:r>
    </w:p>
    <w:p w14:paraId="26DD062D" w14:textId="392E8EE2" w:rsidR="003719CD" w:rsidRDefault="003719CD" w:rsidP="00506831">
      <w:pPr>
        <w:pStyle w:val="ListBullet2"/>
      </w:pPr>
      <w:r>
        <w:t>for other transactions that are collectively, but not individually significant, a qualitative or quantitative indication of their extent.]</w:t>
      </w:r>
    </w:p>
    <w:p w14:paraId="0842C07F" w14:textId="77777777" w:rsidR="003719CD" w:rsidRDefault="003719CD" w:rsidP="00DC39DE">
      <w:r w:rsidRPr="003C5ECC">
        <w:rPr>
          <w:b/>
          <w:bCs/>
        </w:rPr>
        <w:t xml:space="preserve">Key management personnel (KMP) </w:t>
      </w:r>
      <w:r>
        <w:t xml:space="preserve">of the Department includes the Portfolio Ministers, the Hon. John Bristol MP and the Hon. Laura Toddingham MP, the Secretary, Jane Smith, and members of the Senior Executive Team, which includes: </w:t>
      </w:r>
    </w:p>
    <w:p w14:paraId="03DF7AF1" w14:textId="780B7548" w:rsidR="003719CD" w:rsidRDefault="003719CD" w:rsidP="00310F12">
      <w:pPr>
        <w:pStyle w:val="ListBullet"/>
      </w:pPr>
      <w:r>
        <w:t>Head of the Strategic Policy Advice division, John Tails</w:t>
      </w:r>
    </w:p>
    <w:p w14:paraId="2F7C28DF" w14:textId="6A9F41C4" w:rsidR="003719CD" w:rsidRDefault="003719CD" w:rsidP="00310F12">
      <w:pPr>
        <w:pStyle w:val="ListBullet"/>
      </w:pPr>
      <w:r>
        <w:t>Head of the Research and Development Biological Technologies division, Paul Germs</w:t>
      </w:r>
    </w:p>
    <w:p w14:paraId="4938CB21" w14:textId="131BE47D" w:rsidR="003719CD" w:rsidRDefault="003719CD" w:rsidP="00310F12">
      <w:pPr>
        <w:pStyle w:val="ListBullet"/>
      </w:pPr>
      <w:r>
        <w:t xml:space="preserve">Head of the Information Technology and Telecommunication Services division, Gail Mods </w:t>
      </w:r>
    </w:p>
    <w:p w14:paraId="22D57BD8" w14:textId="77777777" w:rsidR="003719CD" w:rsidRDefault="003719CD" w:rsidP="00310F12">
      <w:pPr>
        <w:pStyle w:val="ListBullet"/>
      </w:pPr>
      <w:r>
        <w:t xml:space="preserve">Chief Finance and Accounting Officer, Robert McIvor. </w:t>
      </w:r>
    </w:p>
    <w:p w14:paraId="72FCD28D" w14:textId="77777777" w:rsidR="003719CD" w:rsidRDefault="003719CD" w:rsidP="00DC39DE"/>
    <w:p w14:paraId="68265731" w14:textId="77777777" w:rsidR="003719CD" w:rsidRDefault="003719CD" w:rsidP="00DC39DE">
      <w:r w:rsidRPr="003C5ECC">
        <w:rPr>
          <w:b/>
          <w:bCs/>
        </w:rPr>
        <w:t>KMP</w:t>
      </w:r>
      <w:r>
        <w:t xml:space="preserve"> of the agencies consolidated pursuant to section 53(1)(b) of the FMA into the Department’s financial statements include: </w:t>
      </w:r>
    </w:p>
    <w:tbl>
      <w:tblPr>
        <w:tblStyle w:val="DTFTextTable"/>
        <w:tblW w:w="9450" w:type="dxa"/>
        <w:tblLayout w:type="fixed"/>
        <w:tblLook w:val="0620" w:firstRow="1" w:lastRow="0" w:firstColumn="0" w:lastColumn="0" w:noHBand="1" w:noVBand="1"/>
      </w:tblPr>
      <w:tblGrid>
        <w:gridCol w:w="6480"/>
        <w:gridCol w:w="2970"/>
      </w:tblGrid>
      <w:tr w:rsidR="003719CD" w:rsidRPr="00EF348C" w14:paraId="7D7B4FDF" w14:textId="77777777" w:rsidTr="0020428C">
        <w:trPr>
          <w:cnfStyle w:val="100000000000" w:firstRow="1" w:lastRow="0" w:firstColumn="0" w:lastColumn="0" w:oddVBand="0" w:evenVBand="0" w:oddHBand="0" w:evenHBand="0" w:firstRowFirstColumn="0" w:firstRowLastColumn="0" w:lastRowFirstColumn="0" w:lastRowLastColumn="0"/>
        </w:trPr>
        <w:tc>
          <w:tcPr>
            <w:tcW w:w="6480" w:type="dxa"/>
          </w:tcPr>
          <w:p w14:paraId="21EBE944" w14:textId="77777777" w:rsidR="003719CD" w:rsidRPr="00EF348C" w:rsidRDefault="003719CD" w:rsidP="007D536F">
            <w:r w:rsidRPr="00EF348C">
              <w:t>Entity</w:t>
            </w:r>
          </w:p>
        </w:tc>
        <w:tc>
          <w:tcPr>
            <w:tcW w:w="2970" w:type="dxa"/>
          </w:tcPr>
          <w:p w14:paraId="72608FD8" w14:textId="77777777" w:rsidR="003719CD" w:rsidRPr="00EF348C" w:rsidRDefault="003719CD" w:rsidP="007D536F">
            <w:r w:rsidRPr="00EF348C">
              <w:t>Position title</w:t>
            </w:r>
          </w:p>
        </w:tc>
      </w:tr>
      <w:tr w:rsidR="003719CD" w:rsidRPr="00EF348C" w14:paraId="2149F8EE" w14:textId="77777777" w:rsidTr="0020428C">
        <w:tc>
          <w:tcPr>
            <w:tcW w:w="6480" w:type="dxa"/>
          </w:tcPr>
          <w:p w14:paraId="7EB40855" w14:textId="77777777" w:rsidR="003719CD" w:rsidRPr="00EF348C" w:rsidRDefault="003719CD" w:rsidP="007D536F">
            <w:r w:rsidRPr="00EF348C">
              <w:t>Gene Sciences Victoria</w:t>
            </w:r>
          </w:p>
        </w:tc>
        <w:tc>
          <w:tcPr>
            <w:tcW w:w="2970" w:type="dxa"/>
          </w:tcPr>
          <w:p w14:paraId="5BB09B7D" w14:textId="77777777" w:rsidR="003719CD" w:rsidRPr="00EF348C" w:rsidRDefault="003719CD" w:rsidP="007D536F">
            <w:r w:rsidRPr="00EF348C">
              <w:t>Chief Executive Officer</w:t>
            </w:r>
          </w:p>
        </w:tc>
      </w:tr>
      <w:tr w:rsidR="003719CD" w:rsidRPr="00EF348C" w14:paraId="65F728D0" w14:textId="77777777" w:rsidTr="0020428C">
        <w:tc>
          <w:tcPr>
            <w:tcW w:w="6480" w:type="dxa"/>
          </w:tcPr>
          <w:p w14:paraId="2DDF993B" w14:textId="77777777" w:rsidR="003719CD" w:rsidRPr="00EF348C" w:rsidRDefault="003719CD" w:rsidP="007D536F">
            <w:r w:rsidRPr="00EF348C">
              <w:t>Gene Sciences Victoria</w:t>
            </w:r>
          </w:p>
        </w:tc>
        <w:tc>
          <w:tcPr>
            <w:tcW w:w="2970" w:type="dxa"/>
          </w:tcPr>
          <w:p w14:paraId="76062CF2" w14:textId="77777777" w:rsidR="003719CD" w:rsidRPr="00EF348C" w:rsidRDefault="003719CD" w:rsidP="007D536F">
            <w:r w:rsidRPr="00EF348C">
              <w:t>Chief Financial Officer</w:t>
            </w:r>
          </w:p>
        </w:tc>
      </w:tr>
      <w:tr w:rsidR="003719CD" w:rsidRPr="00EF348C" w14:paraId="3D1D7D20" w14:textId="77777777" w:rsidTr="0020428C">
        <w:tc>
          <w:tcPr>
            <w:tcW w:w="6480" w:type="dxa"/>
          </w:tcPr>
          <w:p w14:paraId="55E598CA" w14:textId="77777777" w:rsidR="003719CD" w:rsidRPr="00EF348C" w:rsidRDefault="003719CD" w:rsidP="007D536F">
            <w:r w:rsidRPr="00EF348C">
              <w:t>Office of the Commissioner of New Technology</w:t>
            </w:r>
          </w:p>
        </w:tc>
        <w:tc>
          <w:tcPr>
            <w:tcW w:w="2970" w:type="dxa"/>
          </w:tcPr>
          <w:p w14:paraId="6423666E" w14:textId="77777777" w:rsidR="003719CD" w:rsidRPr="00EF348C" w:rsidRDefault="003719CD" w:rsidP="007D536F">
            <w:r w:rsidRPr="00EF348C">
              <w:t>Commissioner and CEO</w:t>
            </w:r>
          </w:p>
        </w:tc>
      </w:tr>
      <w:tr w:rsidR="003719CD" w:rsidRPr="00EF348C" w14:paraId="36713B24" w14:textId="77777777" w:rsidTr="0020428C">
        <w:tc>
          <w:tcPr>
            <w:tcW w:w="6480" w:type="dxa"/>
          </w:tcPr>
          <w:p w14:paraId="2F56156F" w14:textId="77777777" w:rsidR="003719CD" w:rsidRPr="00EF348C" w:rsidRDefault="003719CD" w:rsidP="007D536F">
            <w:r w:rsidRPr="00EF348C">
              <w:t>Innovation Victoria</w:t>
            </w:r>
          </w:p>
        </w:tc>
        <w:tc>
          <w:tcPr>
            <w:tcW w:w="2970" w:type="dxa"/>
          </w:tcPr>
          <w:p w14:paraId="148110E1" w14:textId="77777777" w:rsidR="003719CD" w:rsidRPr="00EF348C" w:rsidRDefault="003719CD" w:rsidP="007D536F">
            <w:r w:rsidRPr="00EF348C">
              <w:t>Chairperson</w:t>
            </w:r>
          </w:p>
        </w:tc>
      </w:tr>
      <w:tr w:rsidR="003719CD" w:rsidRPr="00EF348C" w14:paraId="3BAF0B79" w14:textId="77777777" w:rsidTr="0020428C">
        <w:tc>
          <w:tcPr>
            <w:tcW w:w="6480" w:type="dxa"/>
          </w:tcPr>
          <w:p w14:paraId="30F69EC8" w14:textId="77777777" w:rsidR="003719CD" w:rsidRPr="00EF348C" w:rsidRDefault="003719CD" w:rsidP="007D536F">
            <w:r w:rsidRPr="00EF348C">
              <w:t>Innovation Victoria</w:t>
            </w:r>
          </w:p>
        </w:tc>
        <w:tc>
          <w:tcPr>
            <w:tcW w:w="2970" w:type="dxa"/>
          </w:tcPr>
          <w:p w14:paraId="00363C2C" w14:textId="77777777" w:rsidR="003719CD" w:rsidRPr="00EF348C" w:rsidRDefault="003719CD" w:rsidP="007D536F">
            <w:r w:rsidRPr="00EF348C">
              <w:t>Governing board member</w:t>
            </w:r>
          </w:p>
        </w:tc>
      </w:tr>
      <w:tr w:rsidR="003719CD" w:rsidRPr="00EF348C" w14:paraId="1BA4A7A2" w14:textId="77777777" w:rsidTr="0020428C">
        <w:tc>
          <w:tcPr>
            <w:tcW w:w="6480" w:type="dxa"/>
          </w:tcPr>
          <w:p w14:paraId="4557F03C" w14:textId="77777777" w:rsidR="003719CD" w:rsidRPr="00EF348C" w:rsidRDefault="003719CD" w:rsidP="007D536F">
            <w:r w:rsidRPr="00EF348C">
              <w:t>Innovation Victoria</w:t>
            </w:r>
          </w:p>
        </w:tc>
        <w:tc>
          <w:tcPr>
            <w:tcW w:w="2970" w:type="dxa"/>
          </w:tcPr>
          <w:p w14:paraId="59A7F667" w14:textId="77777777" w:rsidR="003719CD" w:rsidRPr="00EF348C" w:rsidRDefault="003719CD" w:rsidP="007D536F">
            <w:r w:rsidRPr="00EF348C">
              <w:t>Governing board member</w:t>
            </w:r>
          </w:p>
        </w:tc>
      </w:tr>
      <w:tr w:rsidR="003719CD" w:rsidRPr="00EF348C" w14:paraId="06F3A0E8" w14:textId="77777777" w:rsidTr="0020428C">
        <w:tc>
          <w:tcPr>
            <w:tcW w:w="6480" w:type="dxa"/>
          </w:tcPr>
          <w:p w14:paraId="16BFC001" w14:textId="77777777" w:rsidR="003719CD" w:rsidRPr="00EF348C" w:rsidRDefault="003719CD" w:rsidP="007D536F">
            <w:r w:rsidRPr="00EF348C">
              <w:t>Innovation Victoria</w:t>
            </w:r>
          </w:p>
        </w:tc>
        <w:tc>
          <w:tcPr>
            <w:tcW w:w="2970" w:type="dxa"/>
          </w:tcPr>
          <w:p w14:paraId="5535AB26" w14:textId="77777777" w:rsidR="003719CD" w:rsidRPr="00EF348C" w:rsidRDefault="003719CD" w:rsidP="007D536F">
            <w:r w:rsidRPr="00EF348C">
              <w:t>Chief Executive Officer</w:t>
            </w:r>
          </w:p>
        </w:tc>
      </w:tr>
    </w:tbl>
    <w:p w14:paraId="4B709E6D" w14:textId="77777777" w:rsidR="003719CD" w:rsidRDefault="003719CD" w:rsidP="00DC39DE"/>
    <w:p w14:paraId="3A7A93A4" w14:textId="77777777" w:rsidR="003719CD" w:rsidRDefault="003719CD">
      <w:pPr>
        <w:keepLines w:val="0"/>
        <w:rPr>
          <w:rFonts w:asciiTheme="majorHAnsi" w:eastAsiaTheme="majorEastAsia" w:hAnsiTheme="majorHAnsi" w:cstheme="majorBidi"/>
          <w:b/>
          <w:sz w:val="22"/>
          <w:szCs w:val="24"/>
        </w:rPr>
      </w:pPr>
      <w:r>
        <w:br w:type="page"/>
      </w:r>
    </w:p>
    <w:p w14:paraId="0B7EBE77" w14:textId="77777777" w:rsidR="003719CD" w:rsidRDefault="003719CD" w:rsidP="007D536F">
      <w:pPr>
        <w:pStyle w:val="Heading3"/>
      </w:pPr>
      <w:r>
        <w:lastRenderedPageBreak/>
        <w:t>Remuneration of key management personnel</w:t>
      </w:r>
    </w:p>
    <w:p w14:paraId="185DA470" w14:textId="341E57A5" w:rsidR="003719CD" w:rsidRDefault="003719CD" w:rsidP="00DC39DE">
      <w:r>
        <w:t xml:space="preserve">The compensation detailed below excludes the salaries and benefits the Portfolio Minister receives. The Minister’s remuneration and allowances is set by the </w:t>
      </w:r>
      <w:r w:rsidRPr="003C5ECC">
        <w:rPr>
          <w:i/>
          <w:iCs/>
        </w:rPr>
        <w:t>Parliamentary Salaries and Superannuation Act 1968</w:t>
      </w:r>
      <w:r>
        <w:t xml:space="preserve"> and is reported within the </w:t>
      </w:r>
      <w:r w:rsidR="00554563">
        <w:t>State’s A</w:t>
      </w:r>
      <w:r w:rsidR="00940885">
        <w:t>nnual</w:t>
      </w:r>
      <w:r>
        <w:t xml:space="preserve"> Financial Report.</w:t>
      </w:r>
    </w:p>
    <w:p w14:paraId="5B7A21EB" w14:textId="77777777" w:rsidR="003719CD" w:rsidRDefault="003719CD" w:rsidP="007D536F">
      <w:pPr>
        <w:pStyle w:val="TableUnits"/>
      </w:pPr>
      <w:r>
        <w:t>($ thousand)</w:t>
      </w:r>
    </w:p>
    <w:tbl>
      <w:tblPr>
        <w:tblStyle w:val="DTFTable"/>
        <w:tblW w:w="9639" w:type="dxa"/>
        <w:tblLayout w:type="fixed"/>
        <w:tblLook w:val="06A0" w:firstRow="1" w:lastRow="0" w:firstColumn="1" w:lastColumn="0" w:noHBand="1" w:noVBand="1"/>
      </w:tblPr>
      <w:tblGrid>
        <w:gridCol w:w="5670"/>
        <w:gridCol w:w="992"/>
        <w:gridCol w:w="992"/>
        <w:gridCol w:w="992"/>
        <w:gridCol w:w="993"/>
      </w:tblGrid>
      <w:tr w:rsidR="00182709" w14:paraId="06288C9D"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70" w:type="dxa"/>
          </w:tcPr>
          <w:p w14:paraId="6CCF8DCD" w14:textId="77777777" w:rsidR="00182709" w:rsidRDefault="0044097C">
            <w:pPr>
              <w:keepNext/>
            </w:pPr>
            <w:r>
              <w:t>Compensation of KMPs</w:t>
            </w:r>
          </w:p>
        </w:tc>
        <w:tc>
          <w:tcPr>
            <w:tcW w:w="1984" w:type="dxa"/>
            <w:gridSpan w:val="2"/>
          </w:tcPr>
          <w:p w14:paraId="717FEF0D" w14:textId="77777777"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Department of Technology</w:t>
            </w:r>
          </w:p>
        </w:tc>
        <w:tc>
          <w:tcPr>
            <w:tcW w:w="1985" w:type="dxa"/>
            <w:gridSpan w:val="2"/>
          </w:tcPr>
          <w:p w14:paraId="5402B00C" w14:textId="3CB7AC1D" w:rsidR="00182709" w:rsidRDefault="0044097C">
            <w:pPr>
              <w:keepNext/>
              <w:jc w:val="center"/>
              <w:cnfStyle w:val="100000000000" w:firstRow="1" w:lastRow="0" w:firstColumn="0" w:lastColumn="0" w:oddVBand="0" w:evenVBand="0" w:oddHBand="0" w:evenHBand="0" w:firstRowFirstColumn="0" w:firstRowLastColumn="0" w:lastRowFirstColumn="0" w:lastRowLastColumn="0"/>
            </w:pPr>
            <w:r>
              <w:t>Section 53 / Administrative Offices</w:t>
            </w:r>
            <w:r>
              <w:rPr>
                <w:vertAlign w:val="superscript"/>
              </w:rPr>
              <w:t xml:space="preserve"> (</w:t>
            </w:r>
            <w:r w:rsidR="008442B9">
              <w:rPr>
                <w:vertAlign w:val="superscript"/>
              </w:rPr>
              <w:t>a</w:t>
            </w:r>
            <w:r>
              <w:rPr>
                <w:vertAlign w:val="superscript"/>
              </w:rPr>
              <w:t>)</w:t>
            </w:r>
          </w:p>
        </w:tc>
      </w:tr>
      <w:tr w:rsidR="0038140F" w14:paraId="61F20F74" w14:textId="77777777" w:rsidTr="001827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70" w:type="dxa"/>
          </w:tcPr>
          <w:p w14:paraId="5CA704C0" w14:textId="77777777" w:rsidR="0038140F" w:rsidRDefault="0038140F" w:rsidP="0038140F">
            <w:pPr>
              <w:keepNext/>
            </w:pPr>
          </w:p>
        </w:tc>
        <w:tc>
          <w:tcPr>
            <w:tcW w:w="992" w:type="dxa"/>
          </w:tcPr>
          <w:p w14:paraId="0E6E2FEA" w14:textId="25D899DC" w:rsidR="0038140F" w:rsidRPr="0038140F" w:rsidRDefault="0038140F" w:rsidP="0038140F">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38140F">
                <w:t>20X2</w:t>
              </w:r>
            </w:fldSimple>
          </w:p>
        </w:tc>
        <w:tc>
          <w:tcPr>
            <w:tcW w:w="992" w:type="dxa"/>
          </w:tcPr>
          <w:p w14:paraId="3430E8A5" w14:textId="0A4B0D06" w:rsidR="0038140F" w:rsidRPr="0038140F" w:rsidRDefault="0038140F" w:rsidP="0038140F">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38140F">
                <w:t>20X1</w:t>
              </w:r>
            </w:fldSimple>
          </w:p>
        </w:tc>
        <w:tc>
          <w:tcPr>
            <w:tcW w:w="992" w:type="dxa"/>
          </w:tcPr>
          <w:p w14:paraId="5359C41A" w14:textId="22086E97" w:rsidR="0038140F" w:rsidRPr="0038140F" w:rsidRDefault="0038140F" w:rsidP="0038140F">
            <w:pPr>
              <w:keepNext/>
              <w:cnfStyle w:val="100000000000" w:firstRow="1" w:lastRow="0" w:firstColumn="0" w:lastColumn="0" w:oddVBand="0" w:evenVBand="0" w:oddHBand="0" w:evenHBand="0" w:firstRowFirstColumn="0" w:firstRowLastColumn="0" w:lastRowFirstColumn="0" w:lastRowLastColumn="0"/>
            </w:pPr>
            <w:fldSimple w:instr="DOCPROPERTY  YearCurrent \* MERGEFORMAT">
              <w:r w:rsidRPr="0038140F">
                <w:t>20X2</w:t>
              </w:r>
            </w:fldSimple>
          </w:p>
        </w:tc>
        <w:tc>
          <w:tcPr>
            <w:tcW w:w="993" w:type="dxa"/>
          </w:tcPr>
          <w:p w14:paraId="35C50232" w14:textId="3ADF1DAB" w:rsidR="0038140F" w:rsidRPr="0038140F" w:rsidRDefault="0038140F" w:rsidP="0038140F">
            <w:pPr>
              <w:keepNext/>
              <w:cnfStyle w:val="100000000000" w:firstRow="1" w:lastRow="0" w:firstColumn="0" w:lastColumn="0" w:oddVBand="0" w:evenVBand="0" w:oddHBand="0" w:evenHBand="0" w:firstRowFirstColumn="0" w:firstRowLastColumn="0" w:lastRowFirstColumn="0" w:lastRowLastColumn="0"/>
            </w:pPr>
            <w:fldSimple w:instr="DOCPROPERTY  YearPrevious  \* MERGEFORMAT">
              <w:r w:rsidRPr="0038140F">
                <w:t>20X1</w:t>
              </w:r>
            </w:fldSimple>
          </w:p>
        </w:tc>
      </w:tr>
      <w:tr w:rsidR="00182709" w14:paraId="38DB1518" w14:textId="77777777">
        <w:tc>
          <w:tcPr>
            <w:cnfStyle w:val="001000000000" w:firstRow="0" w:lastRow="0" w:firstColumn="1" w:lastColumn="0" w:oddVBand="0" w:evenVBand="0" w:oddHBand="0" w:evenHBand="0" w:firstRowFirstColumn="0" w:firstRowLastColumn="0" w:lastRowFirstColumn="0" w:lastRowLastColumn="0"/>
            <w:tcW w:w="5670" w:type="dxa"/>
          </w:tcPr>
          <w:p w14:paraId="1E47C66F" w14:textId="6D52AC6C" w:rsidR="00182709" w:rsidRDefault="0044097C">
            <w:r w:rsidRPr="46DFB224">
              <w:t>Short</w:t>
            </w:r>
            <w:r w:rsidR="006302D0">
              <w:t>-</w:t>
            </w:r>
            <w:r w:rsidRPr="46DFB224">
              <w:t>term</w:t>
            </w:r>
            <w:r>
              <w:t xml:space="preserve"> employee benefits</w:t>
            </w:r>
            <w:r>
              <w:rPr>
                <w:vertAlign w:val="superscript"/>
              </w:rPr>
              <w:t xml:space="preserve"> (</w:t>
            </w:r>
            <w:r w:rsidR="008442B9">
              <w:rPr>
                <w:vertAlign w:val="superscript"/>
              </w:rPr>
              <w:t>b</w:t>
            </w:r>
            <w:r>
              <w:rPr>
                <w:vertAlign w:val="superscript"/>
              </w:rPr>
              <w:t>)</w:t>
            </w:r>
          </w:p>
        </w:tc>
        <w:tc>
          <w:tcPr>
            <w:tcW w:w="992" w:type="dxa"/>
          </w:tcPr>
          <w:p w14:paraId="42945C60" w14:textId="77777777" w:rsidR="00182709" w:rsidRDefault="0044097C">
            <w:pPr>
              <w:cnfStyle w:val="000000000000" w:firstRow="0" w:lastRow="0" w:firstColumn="0" w:lastColumn="0" w:oddVBand="0" w:evenVBand="0" w:oddHBand="0" w:evenHBand="0" w:firstRowFirstColumn="0" w:firstRowLastColumn="0" w:lastRowFirstColumn="0" w:lastRowLastColumn="0"/>
            </w:pPr>
            <w:r>
              <w:t>2 798</w:t>
            </w:r>
          </w:p>
        </w:tc>
        <w:tc>
          <w:tcPr>
            <w:tcW w:w="992" w:type="dxa"/>
          </w:tcPr>
          <w:p w14:paraId="50A8B6BA" w14:textId="77777777" w:rsidR="00182709" w:rsidRDefault="0044097C">
            <w:pPr>
              <w:cnfStyle w:val="000000000000" w:firstRow="0" w:lastRow="0" w:firstColumn="0" w:lastColumn="0" w:oddVBand="0" w:evenVBand="0" w:oddHBand="0" w:evenHBand="0" w:firstRowFirstColumn="0" w:firstRowLastColumn="0" w:lastRowFirstColumn="0" w:lastRowLastColumn="0"/>
            </w:pPr>
            <w:r>
              <w:t>2 544</w:t>
            </w:r>
          </w:p>
        </w:tc>
        <w:tc>
          <w:tcPr>
            <w:tcW w:w="992" w:type="dxa"/>
          </w:tcPr>
          <w:p w14:paraId="7376CDF7" w14:textId="77777777" w:rsidR="00182709" w:rsidRDefault="0044097C">
            <w:pPr>
              <w:cnfStyle w:val="000000000000" w:firstRow="0" w:lastRow="0" w:firstColumn="0" w:lastColumn="0" w:oddVBand="0" w:evenVBand="0" w:oddHBand="0" w:evenHBand="0" w:firstRowFirstColumn="0" w:firstRowLastColumn="0" w:lastRowFirstColumn="0" w:lastRowLastColumn="0"/>
            </w:pPr>
            <w:r>
              <w:t>1 367</w:t>
            </w:r>
          </w:p>
        </w:tc>
        <w:tc>
          <w:tcPr>
            <w:tcW w:w="993" w:type="dxa"/>
          </w:tcPr>
          <w:p w14:paraId="2FC8791D" w14:textId="77777777" w:rsidR="00182709" w:rsidRDefault="0044097C">
            <w:pPr>
              <w:cnfStyle w:val="000000000000" w:firstRow="0" w:lastRow="0" w:firstColumn="0" w:lastColumn="0" w:oddVBand="0" w:evenVBand="0" w:oddHBand="0" w:evenHBand="0" w:firstRowFirstColumn="0" w:firstRowLastColumn="0" w:lastRowFirstColumn="0" w:lastRowLastColumn="0"/>
            </w:pPr>
            <w:r>
              <w:t>1 305</w:t>
            </w:r>
          </w:p>
        </w:tc>
      </w:tr>
      <w:tr w:rsidR="00182709" w14:paraId="6E539ACE" w14:textId="77777777">
        <w:tc>
          <w:tcPr>
            <w:cnfStyle w:val="001000000000" w:firstRow="0" w:lastRow="0" w:firstColumn="1" w:lastColumn="0" w:oddVBand="0" w:evenVBand="0" w:oddHBand="0" w:evenHBand="0" w:firstRowFirstColumn="0" w:firstRowLastColumn="0" w:lastRowFirstColumn="0" w:lastRowLastColumn="0"/>
            <w:tcW w:w="5670" w:type="dxa"/>
          </w:tcPr>
          <w:p w14:paraId="47C4FF1A" w14:textId="77777777" w:rsidR="00182709" w:rsidRDefault="0044097C">
            <w:r>
              <w:t>Post</w:t>
            </w:r>
            <w:r>
              <w:noBreakHyphen/>
              <w:t>employment benefits</w:t>
            </w:r>
          </w:p>
        </w:tc>
        <w:tc>
          <w:tcPr>
            <w:tcW w:w="992" w:type="dxa"/>
          </w:tcPr>
          <w:p w14:paraId="6B7B69ED" w14:textId="77777777" w:rsidR="00182709" w:rsidRDefault="0044097C">
            <w:pPr>
              <w:cnfStyle w:val="000000000000" w:firstRow="0" w:lastRow="0" w:firstColumn="0" w:lastColumn="0" w:oddVBand="0" w:evenVBand="0" w:oddHBand="0" w:evenHBand="0" w:firstRowFirstColumn="0" w:firstRowLastColumn="0" w:lastRowFirstColumn="0" w:lastRowLastColumn="0"/>
            </w:pPr>
            <w:r>
              <w:t>500</w:t>
            </w:r>
          </w:p>
        </w:tc>
        <w:tc>
          <w:tcPr>
            <w:tcW w:w="992" w:type="dxa"/>
          </w:tcPr>
          <w:p w14:paraId="789B8EFF" w14:textId="77777777" w:rsidR="00182709" w:rsidRDefault="0044097C">
            <w:pPr>
              <w:cnfStyle w:val="000000000000" w:firstRow="0" w:lastRow="0" w:firstColumn="0" w:lastColumn="0" w:oddVBand="0" w:evenVBand="0" w:oddHBand="0" w:evenHBand="0" w:firstRowFirstColumn="0" w:firstRowLastColumn="0" w:lastRowFirstColumn="0" w:lastRowLastColumn="0"/>
            </w:pPr>
            <w:r>
              <w:t>432</w:t>
            </w:r>
          </w:p>
        </w:tc>
        <w:tc>
          <w:tcPr>
            <w:tcW w:w="992" w:type="dxa"/>
          </w:tcPr>
          <w:p w14:paraId="02C9CE0B" w14:textId="77777777" w:rsidR="00182709" w:rsidRDefault="0044097C">
            <w:pPr>
              <w:cnfStyle w:val="000000000000" w:firstRow="0" w:lastRow="0" w:firstColumn="0" w:lastColumn="0" w:oddVBand="0" w:evenVBand="0" w:oddHBand="0" w:evenHBand="0" w:firstRowFirstColumn="0" w:firstRowLastColumn="0" w:lastRowFirstColumn="0" w:lastRowLastColumn="0"/>
            </w:pPr>
            <w:r>
              <w:t>326</w:t>
            </w:r>
          </w:p>
        </w:tc>
        <w:tc>
          <w:tcPr>
            <w:tcW w:w="993" w:type="dxa"/>
          </w:tcPr>
          <w:p w14:paraId="12F223C9" w14:textId="77777777" w:rsidR="00182709" w:rsidRDefault="0044097C">
            <w:pPr>
              <w:cnfStyle w:val="000000000000" w:firstRow="0" w:lastRow="0" w:firstColumn="0" w:lastColumn="0" w:oddVBand="0" w:evenVBand="0" w:oddHBand="0" w:evenHBand="0" w:firstRowFirstColumn="0" w:firstRowLastColumn="0" w:lastRowFirstColumn="0" w:lastRowLastColumn="0"/>
            </w:pPr>
            <w:r>
              <w:t>112</w:t>
            </w:r>
          </w:p>
        </w:tc>
      </w:tr>
      <w:tr w:rsidR="00182709" w14:paraId="5709459B" w14:textId="77777777">
        <w:tc>
          <w:tcPr>
            <w:cnfStyle w:val="001000000000" w:firstRow="0" w:lastRow="0" w:firstColumn="1" w:lastColumn="0" w:oddVBand="0" w:evenVBand="0" w:oddHBand="0" w:evenHBand="0" w:firstRowFirstColumn="0" w:firstRowLastColumn="0" w:lastRowFirstColumn="0" w:lastRowLastColumn="0"/>
            <w:tcW w:w="5670" w:type="dxa"/>
          </w:tcPr>
          <w:p w14:paraId="1866B7F1" w14:textId="366D9E4C" w:rsidR="00182709" w:rsidRDefault="0044097C">
            <w:r>
              <w:t xml:space="preserve">Other </w:t>
            </w:r>
            <w:r w:rsidRPr="46DFB224">
              <w:t>long</w:t>
            </w:r>
            <w:r w:rsidR="006302D0">
              <w:t>-</w:t>
            </w:r>
            <w:r w:rsidRPr="46DFB224">
              <w:t>term</w:t>
            </w:r>
            <w:r>
              <w:t xml:space="preserve"> benefits</w:t>
            </w:r>
          </w:p>
        </w:tc>
        <w:tc>
          <w:tcPr>
            <w:tcW w:w="992" w:type="dxa"/>
          </w:tcPr>
          <w:p w14:paraId="37AB49A1" w14:textId="77777777" w:rsidR="00182709" w:rsidRDefault="0044097C">
            <w:pPr>
              <w:cnfStyle w:val="000000000000" w:firstRow="0" w:lastRow="0" w:firstColumn="0" w:lastColumn="0" w:oddVBand="0" w:evenVBand="0" w:oddHBand="0" w:evenHBand="0" w:firstRowFirstColumn="0" w:firstRowLastColumn="0" w:lastRowFirstColumn="0" w:lastRowLastColumn="0"/>
            </w:pPr>
            <w:r>
              <w:t>989</w:t>
            </w:r>
          </w:p>
        </w:tc>
        <w:tc>
          <w:tcPr>
            <w:tcW w:w="992" w:type="dxa"/>
          </w:tcPr>
          <w:p w14:paraId="41347E5A" w14:textId="77777777" w:rsidR="00182709" w:rsidRDefault="0044097C">
            <w:pPr>
              <w:cnfStyle w:val="000000000000" w:firstRow="0" w:lastRow="0" w:firstColumn="0" w:lastColumn="0" w:oddVBand="0" w:evenVBand="0" w:oddHBand="0" w:evenHBand="0" w:firstRowFirstColumn="0" w:firstRowLastColumn="0" w:lastRowFirstColumn="0" w:lastRowLastColumn="0"/>
            </w:pPr>
            <w:r>
              <w:t>869</w:t>
            </w:r>
          </w:p>
        </w:tc>
        <w:tc>
          <w:tcPr>
            <w:tcW w:w="992" w:type="dxa"/>
          </w:tcPr>
          <w:p w14:paraId="15E02CDF" w14:textId="77777777" w:rsidR="00182709" w:rsidRDefault="0044097C">
            <w:pPr>
              <w:cnfStyle w:val="000000000000" w:firstRow="0" w:lastRow="0" w:firstColumn="0" w:lastColumn="0" w:oddVBand="0" w:evenVBand="0" w:oddHBand="0" w:evenHBand="0" w:firstRowFirstColumn="0" w:firstRowLastColumn="0" w:lastRowFirstColumn="0" w:lastRowLastColumn="0"/>
            </w:pPr>
            <w:r>
              <w:t>200</w:t>
            </w:r>
          </w:p>
        </w:tc>
        <w:tc>
          <w:tcPr>
            <w:tcW w:w="993" w:type="dxa"/>
          </w:tcPr>
          <w:p w14:paraId="5426293F" w14:textId="77777777" w:rsidR="00182709" w:rsidRDefault="0044097C">
            <w:pPr>
              <w:cnfStyle w:val="000000000000" w:firstRow="0" w:lastRow="0" w:firstColumn="0" w:lastColumn="0" w:oddVBand="0" w:evenVBand="0" w:oddHBand="0" w:evenHBand="0" w:firstRowFirstColumn="0" w:firstRowLastColumn="0" w:lastRowFirstColumn="0" w:lastRowLastColumn="0"/>
            </w:pPr>
            <w:r>
              <w:t>271</w:t>
            </w:r>
          </w:p>
        </w:tc>
      </w:tr>
      <w:tr w:rsidR="00182709" w14:paraId="09CCFE84" w14:textId="77777777">
        <w:tc>
          <w:tcPr>
            <w:cnfStyle w:val="001000000000" w:firstRow="0" w:lastRow="0" w:firstColumn="1" w:lastColumn="0" w:oddVBand="0" w:evenVBand="0" w:oddHBand="0" w:evenHBand="0" w:firstRowFirstColumn="0" w:firstRowLastColumn="0" w:lastRowFirstColumn="0" w:lastRowLastColumn="0"/>
            <w:tcW w:w="5670" w:type="dxa"/>
          </w:tcPr>
          <w:p w14:paraId="19C01E7B" w14:textId="77777777" w:rsidR="00182709" w:rsidRDefault="0044097C">
            <w:r>
              <w:t>Termination benefits</w:t>
            </w:r>
          </w:p>
        </w:tc>
        <w:tc>
          <w:tcPr>
            <w:tcW w:w="992" w:type="dxa"/>
          </w:tcPr>
          <w:p w14:paraId="7A5E1FFC"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2" w:type="dxa"/>
          </w:tcPr>
          <w:p w14:paraId="07FDF572" w14:textId="77777777" w:rsidR="00182709" w:rsidRDefault="0044097C">
            <w:pPr>
              <w:cnfStyle w:val="000000000000" w:firstRow="0" w:lastRow="0" w:firstColumn="0" w:lastColumn="0" w:oddVBand="0" w:evenVBand="0" w:oddHBand="0" w:evenHBand="0" w:firstRowFirstColumn="0" w:firstRowLastColumn="0" w:lastRowFirstColumn="0" w:lastRowLastColumn="0"/>
            </w:pPr>
            <w:r>
              <w:t>72</w:t>
            </w:r>
          </w:p>
        </w:tc>
        <w:tc>
          <w:tcPr>
            <w:tcW w:w="992" w:type="dxa"/>
          </w:tcPr>
          <w:p w14:paraId="34BDC34C"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3" w:type="dxa"/>
          </w:tcPr>
          <w:p w14:paraId="6EFA0CE1"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r>
      <w:tr w:rsidR="00182709" w14:paraId="707A6183" w14:textId="77777777" w:rsidTr="00182709">
        <w:tc>
          <w:tcPr>
            <w:cnfStyle w:val="001000000000" w:firstRow="0" w:lastRow="0" w:firstColumn="1" w:lastColumn="0" w:oddVBand="0" w:evenVBand="0" w:oddHBand="0" w:evenHBand="0" w:firstRowFirstColumn="0" w:firstRowLastColumn="0" w:lastRowFirstColumn="0" w:lastRowLastColumn="0"/>
            <w:tcW w:w="5670" w:type="dxa"/>
            <w:tcBorders>
              <w:bottom w:val="single" w:sz="12" w:space="0" w:color="auto"/>
            </w:tcBorders>
          </w:tcPr>
          <w:p w14:paraId="184CBB4A" w14:textId="77777777" w:rsidR="00182709" w:rsidRDefault="0044097C">
            <w:r>
              <w:t>Share based payments</w:t>
            </w:r>
          </w:p>
        </w:tc>
        <w:tc>
          <w:tcPr>
            <w:tcW w:w="992" w:type="dxa"/>
            <w:tcBorders>
              <w:bottom w:val="single" w:sz="12" w:space="0" w:color="auto"/>
            </w:tcBorders>
          </w:tcPr>
          <w:p w14:paraId="52B9B53D"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2" w:type="dxa"/>
            <w:tcBorders>
              <w:bottom w:val="single" w:sz="12" w:space="0" w:color="auto"/>
            </w:tcBorders>
          </w:tcPr>
          <w:p w14:paraId="396AB735"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2" w:type="dxa"/>
            <w:tcBorders>
              <w:bottom w:val="single" w:sz="12" w:space="0" w:color="auto"/>
            </w:tcBorders>
          </w:tcPr>
          <w:p w14:paraId="4E03421F"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c>
          <w:tcPr>
            <w:tcW w:w="993" w:type="dxa"/>
            <w:tcBorders>
              <w:bottom w:val="single" w:sz="12" w:space="0" w:color="auto"/>
            </w:tcBorders>
          </w:tcPr>
          <w:p w14:paraId="6E0C7F3E" w14:textId="77777777" w:rsidR="00182709" w:rsidRDefault="0044097C">
            <w:pPr>
              <w:cnfStyle w:val="000000000000" w:firstRow="0" w:lastRow="0" w:firstColumn="0" w:lastColumn="0" w:oddVBand="0" w:evenVBand="0" w:oddHBand="0" w:evenHBand="0" w:firstRowFirstColumn="0" w:firstRowLastColumn="0" w:lastRowFirstColumn="0" w:lastRowLastColumn="0"/>
            </w:pPr>
            <w:r>
              <w:t>n.a.</w:t>
            </w:r>
          </w:p>
        </w:tc>
      </w:tr>
      <w:tr w:rsidR="00671D55" w14:paraId="202A2F2D" w14:textId="77777777" w:rsidTr="00182709">
        <w:tc>
          <w:tcPr>
            <w:cnfStyle w:val="001000000000" w:firstRow="0" w:lastRow="0" w:firstColumn="1" w:lastColumn="0" w:oddVBand="0" w:evenVBand="0" w:oddHBand="0" w:evenHBand="0" w:firstRowFirstColumn="0" w:firstRowLastColumn="0" w:lastRowFirstColumn="0" w:lastRowLastColumn="0"/>
            <w:tcW w:w="5670" w:type="dxa"/>
          </w:tcPr>
          <w:p w14:paraId="21FBBF53" w14:textId="17ADADE9" w:rsidR="00182709" w:rsidRDefault="0044097C">
            <w:r>
              <w:rPr>
                <w:b/>
              </w:rPr>
              <w:t>Total</w:t>
            </w:r>
            <w:r>
              <w:rPr>
                <w:b/>
                <w:vertAlign w:val="superscript"/>
              </w:rPr>
              <w:t xml:space="preserve"> (</w:t>
            </w:r>
            <w:r w:rsidR="008442B9">
              <w:rPr>
                <w:b/>
                <w:vertAlign w:val="superscript"/>
              </w:rPr>
              <w:t>c</w:t>
            </w:r>
            <w:r>
              <w:rPr>
                <w:b/>
                <w:vertAlign w:val="superscript"/>
              </w:rPr>
              <w:t>)</w:t>
            </w:r>
          </w:p>
        </w:tc>
        <w:tc>
          <w:tcPr>
            <w:tcW w:w="992" w:type="dxa"/>
          </w:tcPr>
          <w:p w14:paraId="51E799CF"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4 287</w:t>
            </w:r>
          </w:p>
        </w:tc>
        <w:tc>
          <w:tcPr>
            <w:tcW w:w="992" w:type="dxa"/>
          </w:tcPr>
          <w:p w14:paraId="3D047F0E"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3 845</w:t>
            </w:r>
          </w:p>
        </w:tc>
        <w:tc>
          <w:tcPr>
            <w:tcW w:w="992" w:type="dxa"/>
          </w:tcPr>
          <w:p w14:paraId="708B024B"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1 893</w:t>
            </w:r>
          </w:p>
        </w:tc>
        <w:tc>
          <w:tcPr>
            <w:tcW w:w="993" w:type="dxa"/>
          </w:tcPr>
          <w:p w14:paraId="1FE3D8A8" w14:textId="77777777" w:rsidR="00182709" w:rsidRDefault="0044097C">
            <w:pPr>
              <w:cnfStyle w:val="000000000000" w:firstRow="0" w:lastRow="0" w:firstColumn="0" w:lastColumn="0" w:oddVBand="0" w:evenVBand="0" w:oddHBand="0" w:evenHBand="0" w:firstRowFirstColumn="0" w:firstRowLastColumn="0" w:lastRowFirstColumn="0" w:lastRowLastColumn="0"/>
            </w:pPr>
            <w:r>
              <w:rPr>
                <w:b/>
              </w:rPr>
              <w:t>1 688</w:t>
            </w:r>
          </w:p>
        </w:tc>
      </w:tr>
    </w:tbl>
    <w:p w14:paraId="52300642" w14:textId="77777777" w:rsidR="003719CD" w:rsidRDefault="003719CD" w:rsidP="007D536F">
      <w:pPr>
        <w:pStyle w:val="Note"/>
      </w:pPr>
      <w:r>
        <w:t>Notes:</w:t>
      </w:r>
    </w:p>
    <w:p w14:paraId="6F651EEA" w14:textId="55D8D821" w:rsidR="006456EE" w:rsidRDefault="006456EE" w:rsidP="008442B9">
      <w:pPr>
        <w:pStyle w:val="Note"/>
      </w:pPr>
      <w:r>
        <w:t>(</w:t>
      </w:r>
      <w:r w:rsidR="008442B9">
        <w:t>a</w:t>
      </w:r>
      <w:r>
        <w:t>)</w:t>
      </w:r>
      <w:r>
        <w:tab/>
        <w:t>Total remuneration paid to KMPs employed as a contractor during the reporting period through an external service provider has been reported under short-term employee benefits.</w:t>
      </w:r>
    </w:p>
    <w:p w14:paraId="176CF5EF" w14:textId="7AE83F54" w:rsidR="003719CD" w:rsidRDefault="003719CD" w:rsidP="007D536F">
      <w:pPr>
        <w:pStyle w:val="Note"/>
      </w:pPr>
      <w:r>
        <w:t>(</w:t>
      </w:r>
      <w:r w:rsidR="008442B9">
        <w:t>b</w:t>
      </w:r>
      <w:r>
        <w:t>)</w:t>
      </w:r>
      <w:r>
        <w:tab/>
        <w:t xml:space="preserve">Note that KMPs are also reported in the disclosure of remuneration of executive officers (Note 9.9). </w:t>
      </w:r>
    </w:p>
    <w:p w14:paraId="4A239123" w14:textId="3AD27573" w:rsidR="003719CD" w:rsidRDefault="003719CD" w:rsidP="007D536F">
      <w:pPr>
        <w:pStyle w:val="Note"/>
      </w:pPr>
      <w:r>
        <w:t>(</w:t>
      </w:r>
      <w:r w:rsidR="008442B9">
        <w:t>c</w:t>
      </w:r>
      <w:r>
        <w:t>)</w:t>
      </w:r>
      <w:r>
        <w:tab/>
        <w:t>This includes remuneration of KMPs for Gene Sciences Victoria, The Office of the Commissioner of New Technology and Innovation Victoria.</w:t>
      </w:r>
    </w:p>
    <w:p w14:paraId="2B42101D" w14:textId="77777777" w:rsidR="008442B9" w:rsidRDefault="008442B9" w:rsidP="007D536F">
      <w:pPr>
        <w:pStyle w:val="Note"/>
      </w:pPr>
    </w:p>
    <w:p w14:paraId="0C937E25" w14:textId="77777777" w:rsidR="003719CD" w:rsidRDefault="003719CD" w:rsidP="007D536F">
      <w:pPr>
        <w:pStyle w:val="Heading3"/>
      </w:pPr>
      <w:r>
        <w:t>Transactions and balances with key management personnel and other related parties</w:t>
      </w:r>
    </w:p>
    <w:p w14:paraId="115B09DE" w14:textId="77777777" w:rsidR="003719CD" w:rsidRDefault="003719CD" w:rsidP="00433C72">
      <w:pPr>
        <w:spacing w:before="120"/>
      </w:pPr>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3C5ECC">
        <w:rPr>
          <w:i/>
          <w:iCs/>
        </w:rPr>
        <w:t>Public Administration Act 2004</w:t>
      </w:r>
      <w:r>
        <w:t xml:space="preserve"> and Codes of Conduct and Standards issued by the Victorian Public Sector Commission. Procurement processes occur on terms and conditions consistent with the Victorian Government Purchasing Board requirements. </w:t>
      </w:r>
    </w:p>
    <w:p w14:paraId="6C963481" w14:textId="77777777" w:rsidR="003719CD" w:rsidRDefault="003719CD" w:rsidP="00433C72">
      <w:pPr>
        <w:spacing w:before="120"/>
      </w:pPr>
      <w:r>
        <w:t>Outside of normal citizen type transactions with the Department of Technology, there were no related party transactions that involved key management personnel, their close family members and their personal business interests. No provision has been required, nor any expense recognised, for impairment of receivables from related parties.</w:t>
      </w:r>
    </w:p>
    <w:p w14:paraId="5969352B" w14:textId="77777777" w:rsidR="003719CD" w:rsidRDefault="003719CD" w:rsidP="00433C72">
      <w:pPr>
        <w:spacing w:before="120"/>
      </w:pPr>
      <w:r>
        <w:t xml:space="preserve">Outside of normal citizen type transactions, there were no related party transactions that involved key management personnel, their close family members and their personal business interests, for the following agencies consolidated into the Department’s financial statements: </w:t>
      </w:r>
    </w:p>
    <w:p w14:paraId="342999A6" w14:textId="30193985" w:rsidR="003719CD" w:rsidRDefault="003719CD" w:rsidP="00310F12">
      <w:pPr>
        <w:pStyle w:val="ListBullet"/>
      </w:pPr>
      <w:r>
        <w:t>Gene Sciences Victoria</w:t>
      </w:r>
    </w:p>
    <w:p w14:paraId="3AF845C7" w14:textId="52C0804D" w:rsidR="003719CD" w:rsidRDefault="003719CD" w:rsidP="00310F12">
      <w:pPr>
        <w:pStyle w:val="ListBullet"/>
      </w:pPr>
      <w:r>
        <w:t>The Office of the Commissioner of New Technology</w:t>
      </w:r>
    </w:p>
    <w:p w14:paraId="6199C047" w14:textId="1F7D1A4F" w:rsidR="003719CD" w:rsidRDefault="003719CD" w:rsidP="00310F12">
      <w:pPr>
        <w:pStyle w:val="ListBullet"/>
      </w:pPr>
      <w:r>
        <w:t xml:space="preserve">Innovation Victoria </w:t>
      </w:r>
    </w:p>
    <w:p w14:paraId="62724D97" w14:textId="77777777" w:rsidR="003719CD" w:rsidRDefault="003719CD" w:rsidP="00DC39DE">
      <w:r>
        <w:t>No provision has been required, nor any expense recognised, for impairment of receivables from related parties.</w:t>
      </w:r>
    </w:p>
    <w:p w14:paraId="561785FA" w14:textId="77777777" w:rsidR="003719CD" w:rsidRDefault="003719CD" w:rsidP="007D536F">
      <w:pPr>
        <w:pStyle w:val="Heading4"/>
      </w:pPr>
      <w:r>
        <w:t>Example of specific disclosure note</w:t>
      </w:r>
    </w:p>
    <w:p w14:paraId="5F7BA5C7" w14:textId="77777777" w:rsidR="003719CD" w:rsidRDefault="003719CD" w:rsidP="00433C72">
      <w:pPr>
        <w:spacing w:before="120"/>
      </w:pPr>
      <w:r>
        <w:t>During the year, a company of which the spouse of John Bristol MP, the Portfolio Minister for the Department of Technology is a senior partner, was awarded a contract under the selective tender process on terms and conditions equivalent for those that prevail in arm’s length transactions under the State’s procurement process. The transaction involved the provision of IT support services to support the migration of the Department’s general ledger to a new platform with a total value of $100 million over five years.</w:t>
      </w:r>
    </w:p>
    <w:p w14:paraId="2593BAF5" w14:textId="3E06F3C6" w:rsidR="003719CD" w:rsidRDefault="003719CD" w:rsidP="00433C72">
      <w:pPr>
        <w:spacing w:before="120"/>
      </w:pPr>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2F77FF8E" w14:textId="77777777" w:rsidR="003719CD" w:rsidRDefault="003719CD" w:rsidP="007D536F">
      <w:pPr>
        <w:pStyle w:val="Heading4"/>
      </w:pPr>
      <w:r>
        <w:t>Example of aggregated disclosure note</w:t>
      </w:r>
    </w:p>
    <w:p w14:paraId="2993A70E" w14:textId="77777777" w:rsidR="003719CD" w:rsidRDefault="003719CD" w:rsidP="00433C72">
      <w:pPr>
        <w:spacing w:before="120"/>
      </w:pPr>
      <w:r>
        <w:t>During the year, related parties of KMP were awarded contracts on terms and conditions equivalent for those that prevail in arm’s length transactions under the State’s procurement process. The transactions involved the provision of consultancy, legal, IT and general support services with an aggregated value of $10 million.</w:t>
      </w:r>
    </w:p>
    <w:p w14:paraId="207C8DF8" w14:textId="77777777" w:rsidR="003719CD" w:rsidRDefault="003719CD" w:rsidP="00433C72">
      <w:pPr>
        <w:spacing w:before="120"/>
      </w:pPr>
      <w:r>
        <w:t>All other transactions that have occurred with KMP and their related parties have not been considered material for disclosure. In this context, transactions are only disclosed when they are considered necessary to draw attention to the possibility that the Department’s financial position and profit or loss may have been affected by the existence of related parties, and by transactions and outstanding balances, including commitments, with such parties.</w:t>
      </w:r>
    </w:p>
    <w:p w14:paraId="655F1A50" w14:textId="77777777" w:rsidR="003719CD" w:rsidRPr="003C5ECC" w:rsidRDefault="003719CD" w:rsidP="007D536F">
      <w:pPr>
        <w:pStyle w:val="GuidanceBlockHeading"/>
      </w:pPr>
      <w:r w:rsidRPr="003C5ECC">
        <w:lastRenderedPageBreak/>
        <w:t>Guidance – Related parties</w:t>
      </w:r>
    </w:p>
    <w:p w14:paraId="0C816A40" w14:textId="77777777" w:rsidR="003719CD" w:rsidRPr="003C5ECC" w:rsidRDefault="003719CD" w:rsidP="007D536F">
      <w:pPr>
        <w:rPr>
          <w:rStyle w:val="Guidance"/>
        </w:rPr>
      </w:pPr>
      <w:r w:rsidRPr="003C5ECC">
        <w:rPr>
          <w:rStyle w:val="Guidance"/>
        </w:rPr>
        <w:t xml:space="preserve">AASB 124 </w:t>
      </w:r>
      <w:r w:rsidRPr="003C5ECC">
        <w:rPr>
          <w:rStyle w:val="Guidance"/>
          <w:i/>
          <w:iCs/>
        </w:rPr>
        <w:t>Related Party Disclosures</w:t>
      </w:r>
      <w:r w:rsidRPr="003C5ECC">
        <w:rPr>
          <w:rStyle w:val="Guidance"/>
        </w:rPr>
        <w:t xml:space="preserve"> only require the disclosure of material related party transactions and outstanding balances. Materiality is subject to professional judgement and goes beyond the dollar value of the transaction or balance.</w:t>
      </w:r>
    </w:p>
    <w:p w14:paraId="5BD5BE0A" w14:textId="7E98546A" w:rsidR="003719CD" w:rsidRPr="003C5ECC" w:rsidRDefault="003719CD" w:rsidP="007D536F">
      <w:pPr>
        <w:rPr>
          <w:rStyle w:val="Guidance"/>
        </w:rPr>
      </w:pPr>
      <w:r w:rsidRPr="003C5ECC">
        <w:rPr>
          <w:rStyle w:val="Guidance"/>
        </w:rPr>
        <w:t xml:space="preserve">However, it is important to note all KMP need to declare all relevant related party transactions (refer to </w:t>
      </w:r>
      <w:r w:rsidRPr="003C5ECC">
        <w:rPr>
          <w:rStyle w:val="Guidance"/>
          <w:i/>
          <w:iCs/>
        </w:rPr>
        <w:t>Declaration certificate for executives – The certificate for declaration of related party transactions in compliance with AASB 124</w:t>
      </w:r>
      <w:r w:rsidRPr="003C5ECC">
        <w:rPr>
          <w:rStyle w:val="Guidance"/>
        </w:rPr>
        <w:t xml:space="preserve"> on the DTF website for sample declaration checklist for executive KMPs). This provides the required evidence (subject to audit) that all relevant information has been made available for the assessment and also because a transaction that may appear immaterial on its own, may in combination with other like transactions, have a material effect on the State’s, department’s or agency’s financial statements and warrants disclosure (refer to </w:t>
      </w:r>
      <w:r w:rsidRPr="003C5ECC">
        <w:rPr>
          <w:rStyle w:val="Guidance"/>
          <w:i/>
          <w:iCs/>
        </w:rPr>
        <w:t>AASB 124</w:t>
      </w:r>
      <w:r w:rsidRPr="003C5ECC">
        <w:rPr>
          <w:rStyle w:val="Guidance"/>
        </w:rPr>
        <w:t xml:space="preserve"> </w:t>
      </w:r>
      <w:r w:rsidRPr="003C5ECC">
        <w:rPr>
          <w:rStyle w:val="Guidance"/>
          <w:i/>
          <w:iCs/>
        </w:rPr>
        <w:t>Related Party Disclosures – entity management checklist</w:t>
      </w:r>
      <w:r w:rsidRPr="003C5ECC">
        <w:rPr>
          <w:rStyle w:val="Guidance"/>
        </w:rPr>
        <w:t xml:space="preserve"> </w:t>
      </w:r>
      <w:hyperlink r:id="rId118" w:history="1">
        <w:r w:rsidRPr="00CD06B1">
          <w:rPr>
            <w:rStyle w:val="Hyperlink"/>
          </w:rPr>
          <w:t xml:space="preserve">on the </w:t>
        </w:r>
        <w:bookmarkStart w:id="173" w:name="_Hlt96089601"/>
        <w:bookmarkStart w:id="174" w:name="_Hlt96089602"/>
        <w:r w:rsidRPr="00CD06B1">
          <w:rPr>
            <w:rStyle w:val="Hyperlink"/>
          </w:rPr>
          <w:t>D</w:t>
        </w:r>
        <w:bookmarkEnd w:id="173"/>
        <w:bookmarkEnd w:id="174"/>
        <w:r w:rsidRPr="00CD06B1">
          <w:rPr>
            <w:rStyle w:val="Hyperlink"/>
          </w:rPr>
          <w:t>TF website</w:t>
        </w:r>
      </w:hyperlink>
      <w:r w:rsidRPr="003C5ECC">
        <w:rPr>
          <w:rStyle w:val="Guidance"/>
        </w:rPr>
        <w:t xml:space="preserve"> for sample entity management checklist to support management’s assessment of the completeness of the related party disclosure in their annual financial report). </w:t>
      </w:r>
    </w:p>
    <w:p w14:paraId="3BB48A58" w14:textId="77777777" w:rsidR="003719CD" w:rsidRPr="003C5ECC" w:rsidRDefault="003719CD" w:rsidP="007D536F">
      <w:pPr>
        <w:rPr>
          <w:rStyle w:val="Guidance"/>
        </w:rPr>
      </w:pPr>
      <w:r w:rsidRPr="003C5ECC">
        <w:rPr>
          <w:rStyle w:val="Guidance"/>
        </w:rPr>
        <w:t>Importantly, items of a similar nature may be disclosed in aggregate except where separate disclosure is necessary for an understanding of the effects of related party transactions on the financial statements of the department or entity i.e.</w:t>
      </w:r>
      <w:r>
        <w:rPr>
          <w:rStyle w:val="Guidance"/>
        </w:rPr>
        <w:t> </w:t>
      </w:r>
      <w:r w:rsidRPr="003C5ECC">
        <w:rPr>
          <w:rStyle w:val="Guidance"/>
        </w:rPr>
        <w:t xml:space="preserve">individual transactions that are unusual in nature or significantly material by amount. </w:t>
      </w:r>
    </w:p>
    <w:p w14:paraId="182C237E" w14:textId="77777777" w:rsidR="003719CD" w:rsidRPr="003C5ECC" w:rsidRDefault="003719CD" w:rsidP="007D536F">
      <w:pPr>
        <w:rPr>
          <w:rStyle w:val="Guidance"/>
        </w:rPr>
      </w:pPr>
      <w:r w:rsidRPr="003C5ECC">
        <w:rPr>
          <w:rStyle w:val="Guidance"/>
        </w:rPr>
        <w:t>The aggregated disclosures must include:</w:t>
      </w:r>
    </w:p>
    <w:p w14:paraId="705A6439" w14:textId="6F702D1B" w:rsidR="003719CD" w:rsidRPr="003C5ECC" w:rsidRDefault="003719CD" w:rsidP="00310F12">
      <w:pPr>
        <w:pStyle w:val="ListBullet"/>
        <w:rPr>
          <w:rStyle w:val="Guidance"/>
        </w:rPr>
      </w:pPr>
      <w:r w:rsidRPr="003C5ECC">
        <w:rPr>
          <w:rStyle w:val="Guidance"/>
        </w:rPr>
        <w:t>the nature of the relationships</w:t>
      </w:r>
    </w:p>
    <w:p w14:paraId="56C3DB89" w14:textId="3D7F47A4" w:rsidR="003719CD" w:rsidRPr="003C5ECC" w:rsidRDefault="003719CD" w:rsidP="00310F12">
      <w:pPr>
        <w:pStyle w:val="ListBullet"/>
        <w:rPr>
          <w:rStyle w:val="Guidance"/>
        </w:rPr>
      </w:pPr>
      <w:r w:rsidRPr="003C5ECC">
        <w:rPr>
          <w:rStyle w:val="Guidance"/>
        </w:rPr>
        <w:t>the nature of the services/balances concerned</w:t>
      </w:r>
    </w:p>
    <w:p w14:paraId="32CA0849" w14:textId="77777777" w:rsidR="003719CD" w:rsidRPr="003C5ECC" w:rsidRDefault="003719CD" w:rsidP="00310F12">
      <w:pPr>
        <w:pStyle w:val="ListBullet"/>
        <w:rPr>
          <w:rStyle w:val="Guidance"/>
        </w:rPr>
      </w:pPr>
      <w:r w:rsidRPr="003C5ECC">
        <w:rPr>
          <w:rStyle w:val="Guidance"/>
        </w:rPr>
        <w:t>the total amounts/balances involved.</w:t>
      </w:r>
    </w:p>
    <w:p w14:paraId="0BACB97B" w14:textId="77777777" w:rsidR="003719CD" w:rsidRPr="003C5ECC" w:rsidRDefault="003719CD" w:rsidP="007D536F">
      <w:pPr>
        <w:rPr>
          <w:rStyle w:val="Guidance"/>
        </w:rPr>
      </w:pPr>
      <w:r w:rsidRPr="003C5ECC">
        <w:rPr>
          <w:rStyle w:val="Guidance"/>
        </w:rPr>
        <w:t>The individual disclosures are a matter of management and auditor judgement in the context of respective reporting entity financial reports, and the size and nature of the transaction involved. Such transactions will generally not be usual business and are large or significant in amount in relation to the entity’s operations, and therefore not expected to be frequent.</w:t>
      </w:r>
    </w:p>
    <w:p w14:paraId="7C5458CE" w14:textId="56EC2888" w:rsidR="003719CD" w:rsidRPr="003C5ECC" w:rsidRDefault="003719CD" w:rsidP="007D536F">
      <w:pPr>
        <w:rPr>
          <w:rStyle w:val="Guidance"/>
        </w:rPr>
      </w:pPr>
      <w:r w:rsidRPr="003C5ECC">
        <w:rPr>
          <w:rStyle w:val="Guidance"/>
        </w:rPr>
        <w:t>AASB 124.19 requires related party disclosures to be made separately for each consolidated entity in the financial statements. This incl</w:t>
      </w:r>
      <w:r w:rsidR="00640131">
        <w:rPr>
          <w:rStyle w:val="Guidance"/>
        </w:rPr>
        <w:t>u</w:t>
      </w:r>
      <w:r w:rsidRPr="003C5ECC">
        <w:rPr>
          <w:rStyle w:val="Guidance"/>
        </w:rPr>
        <w:t xml:space="preserve">des: </w:t>
      </w:r>
    </w:p>
    <w:p w14:paraId="4ADFCEB9" w14:textId="3CDBCDF6" w:rsidR="003719CD" w:rsidRPr="003C5ECC" w:rsidRDefault="003719CD" w:rsidP="00310F12">
      <w:pPr>
        <w:pStyle w:val="ListBullet"/>
        <w:rPr>
          <w:rStyle w:val="Guidance"/>
        </w:rPr>
      </w:pPr>
      <w:r w:rsidRPr="003C5ECC">
        <w:rPr>
          <w:rStyle w:val="Guidance"/>
        </w:rPr>
        <w:t>the parent</w:t>
      </w:r>
    </w:p>
    <w:p w14:paraId="070A5AAA" w14:textId="57792710" w:rsidR="003719CD" w:rsidRPr="003C5ECC" w:rsidRDefault="003719CD" w:rsidP="00310F12">
      <w:pPr>
        <w:pStyle w:val="ListBullet"/>
        <w:rPr>
          <w:rStyle w:val="Guidance"/>
        </w:rPr>
      </w:pPr>
      <w:r w:rsidRPr="003C5ECC">
        <w:rPr>
          <w:rStyle w:val="Guidance"/>
        </w:rPr>
        <w:t>subsidiaries</w:t>
      </w:r>
    </w:p>
    <w:p w14:paraId="3344DBDD" w14:textId="5DDC82B4" w:rsidR="003719CD" w:rsidRPr="003C5ECC" w:rsidRDefault="003719CD" w:rsidP="00310F12">
      <w:pPr>
        <w:pStyle w:val="ListBullet"/>
        <w:rPr>
          <w:rStyle w:val="Guidance"/>
        </w:rPr>
      </w:pPr>
      <w:r w:rsidRPr="003C5ECC">
        <w:rPr>
          <w:rStyle w:val="Guidance"/>
        </w:rPr>
        <w:t>associates or joint ventures</w:t>
      </w:r>
    </w:p>
    <w:p w14:paraId="73B37849" w14:textId="34EB624A" w:rsidR="003719CD" w:rsidRPr="003C5ECC" w:rsidRDefault="003719CD" w:rsidP="00310F12">
      <w:pPr>
        <w:pStyle w:val="ListBullet"/>
        <w:rPr>
          <w:rStyle w:val="Guidance"/>
        </w:rPr>
      </w:pPr>
      <w:r w:rsidRPr="003C5ECC">
        <w:rPr>
          <w:rStyle w:val="Guidance"/>
        </w:rPr>
        <w:t xml:space="preserve">agencies consolidated into the </w:t>
      </w:r>
      <w:r w:rsidR="00C1488A">
        <w:rPr>
          <w:rStyle w:val="Guidance"/>
        </w:rPr>
        <w:t>d</w:t>
      </w:r>
      <w:r w:rsidRPr="003C5ECC">
        <w:rPr>
          <w:rStyle w:val="Guidance"/>
        </w:rPr>
        <w:t xml:space="preserve">epartment’s financial statements pursuant to the determination made by the relevant Minister under section 53(1) of the </w:t>
      </w:r>
      <w:r w:rsidRPr="003C5ECC">
        <w:rPr>
          <w:rStyle w:val="Guidance"/>
          <w:i/>
          <w:iCs/>
        </w:rPr>
        <w:t>Financial Management Act 1994</w:t>
      </w:r>
      <w:r w:rsidRPr="003C5ECC">
        <w:rPr>
          <w:rStyle w:val="Guidance"/>
        </w:rPr>
        <w:t xml:space="preserve"> (FMA)</w:t>
      </w:r>
    </w:p>
    <w:p w14:paraId="471A81E7" w14:textId="77777777" w:rsidR="003719CD" w:rsidRPr="003C5ECC" w:rsidRDefault="003719CD" w:rsidP="00310F12">
      <w:pPr>
        <w:pStyle w:val="ListBullet"/>
        <w:rPr>
          <w:rStyle w:val="Guidance"/>
        </w:rPr>
      </w:pPr>
      <w:r w:rsidRPr="003C5ECC">
        <w:rPr>
          <w:rStyle w:val="Guidance"/>
        </w:rPr>
        <w:t xml:space="preserve">administrative offices established pursuant to an Order under section 11 of the </w:t>
      </w:r>
      <w:r w:rsidRPr="003C5ECC">
        <w:rPr>
          <w:rStyle w:val="Guidance"/>
          <w:i/>
          <w:iCs/>
        </w:rPr>
        <w:t>Public Administration Act 2004</w:t>
      </w:r>
      <w:r w:rsidRPr="003C5ECC">
        <w:rPr>
          <w:rStyle w:val="Guidance"/>
        </w:rPr>
        <w:t xml:space="preserve"> (PAA).</w:t>
      </w:r>
    </w:p>
    <w:p w14:paraId="5EF65EA5" w14:textId="77777777" w:rsidR="003719CD" w:rsidRPr="003C5ECC" w:rsidRDefault="003719CD" w:rsidP="007D536F">
      <w:pPr>
        <w:pStyle w:val="GuidanceHeading"/>
        <w:rPr>
          <w:rStyle w:val="Guidance"/>
        </w:rPr>
      </w:pPr>
      <w:r w:rsidRPr="003C5ECC">
        <w:rPr>
          <w:rStyle w:val="Guidance"/>
        </w:rPr>
        <w:t xml:space="preserve">Remuneration of other personnel (contractors with significant management responsibilities) </w:t>
      </w:r>
    </w:p>
    <w:p w14:paraId="2C99D714" w14:textId="162383F8" w:rsidR="003719CD" w:rsidRPr="003C5ECC" w:rsidRDefault="003719CD" w:rsidP="007D536F">
      <w:pPr>
        <w:rPr>
          <w:rStyle w:val="Guidance"/>
        </w:rPr>
      </w:pPr>
      <w:r w:rsidRPr="003C5ECC">
        <w:rPr>
          <w:rStyle w:val="Guidance"/>
        </w:rPr>
        <w:t xml:space="preserve">Previously under FRD 21, entities were required to separately disclose expenses paid or payable to other personnel during the reporting period. Other personnel were defined as personnel engaged by an entity as contractors and charged with significant management responsibilities. As these contractors are responsible for planning, directing or controlling, directly or indirectly, the </w:t>
      </w:r>
      <w:r w:rsidR="00640131">
        <w:rPr>
          <w:rStyle w:val="Guidance"/>
        </w:rPr>
        <w:t>d</w:t>
      </w:r>
      <w:r w:rsidRPr="003C5ECC">
        <w:rPr>
          <w:rStyle w:val="Guidance"/>
        </w:rPr>
        <w:t>epartment’s activities, they meet the definition of Key Management Personnel (KMP) under AASB 124. As a result, contractors with significant management responsibilities will be captured as part of the related parties</w:t>
      </w:r>
      <w:r w:rsidR="00FC2D9E">
        <w:rPr>
          <w:rStyle w:val="Guidance"/>
        </w:rPr>
        <w:t>’</w:t>
      </w:r>
      <w:r w:rsidRPr="003C5ECC">
        <w:rPr>
          <w:rStyle w:val="Guidance"/>
        </w:rPr>
        <w:t xml:space="preserve"> disclosure. </w:t>
      </w:r>
    </w:p>
    <w:p w14:paraId="52EEC8BA" w14:textId="77777777" w:rsidR="001F33FF" w:rsidRDefault="001F33FF">
      <w:pPr>
        <w:keepLines w:val="0"/>
        <w:rPr>
          <w:rStyle w:val="Guidance"/>
          <w:b/>
          <w:sz w:val="20"/>
        </w:rPr>
      </w:pPr>
      <w:r>
        <w:rPr>
          <w:rStyle w:val="Guidance"/>
        </w:rPr>
        <w:br w:type="page"/>
      </w:r>
    </w:p>
    <w:p w14:paraId="24DCECC3" w14:textId="053B6718" w:rsidR="003719CD" w:rsidRPr="003C5ECC" w:rsidRDefault="003719CD" w:rsidP="007D536F">
      <w:pPr>
        <w:pStyle w:val="GuidanceHeading"/>
        <w:rPr>
          <w:rStyle w:val="Guidance"/>
        </w:rPr>
      </w:pPr>
      <w:r w:rsidRPr="003C5ECC">
        <w:rPr>
          <w:rStyle w:val="Guidance"/>
        </w:rPr>
        <w:lastRenderedPageBreak/>
        <w:t xml:space="preserve">KMP of section 53 entities </w:t>
      </w:r>
    </w:p>
    <w:p w14:paraId="4A73CE27" w14:textId="45268D6B" w:rsidR="003719CD" w:rsidRPr="003C5ECC" w:rsidRDefault="003719CD" w:rsidP="007D536F">
      <w:pPr>
        <w:rPr>
          <w:rStyle w:val="Guidance"/>
        </w:rPr>
      </w:pPr>
      <w:r w:rsidRPr="003C5ECC">
        <w:rPr>
          <w:rStyle w:val="Guidance"/>
        </w:rPr>
        <w:t xml:space="preserve">Pursuant to a determination made by the </w:t>
      </w:r>
      <w:r w:rsidR="0046343B">
        <w:rPr>
          <w:rStyle w:val="Guidance"/>
        </w:rPr>
        <w:t>Minister for Finance</w:t>
      </w:r>
      <w:r w:rsidRPr="003C5ECC">
        <w:rPr>
          <w:rStyle w:val="Guidance"/>
        </w:rPr>
        <w:t xml:space="preserve"> under section 53(1) of the FMA, entities can be included or consolidated into a department’s financial statements, in accordance with</w:t>
      </w:r>
      <w:r w:rsidR="00194D43">
        <w:rPr>
          <w:rStyle w:val="Guidance"/>
        </w:rPr>
        <w:t xml:space="preserve"> either</w:t>
      </w:r>
      <w:r w:rsidRPr="003C5ECC">
        <w:rPr>
          <w:rStyle w:val="Guidance"/>
        </w:rPr>
        <w:t>:</w:t>
      </w:r>
    </w:p>
    <w:p w14:paraId="57B89BC9" w14:textId="2A060E5C" w:rsidR="003719CD" w:rsidRPr="003C5ECC" w:rsidRDefault="003719CD" w:rsidP="00310F12">
      <w:pPr>
        <w:pStyle w:val="ListBullet"/>
        <w:rPr>
          <w:rStyle w:val="Guidance"/>
        </w:rPr>
      </w:pPr>
      <w:r w:rsidRPr="003C5ECC">
        <w:rPr>
          <w:rStyle w:val="Guidance"/>
        </w:rPr>
        <w:t>section 53(1)(a) where the entity’s financial statements are included as a separate attachment to the department’s own financial reports</w:t>
      </w:r>
    </w:p>
    <w:p w14:paraId="603D6441" w14:textId="77777777" w:rsidR="003719CD" w:rsidRPr="003C5ECC" w:rsidRDefault="003719CD" w:rsidP="00310F12">
      <w:pPr>
        <w:pStyle w:val="ListBullet"/>
        <w:rPr>
          <w:rStyle w:val="Guidance"/>
        </w:rPr>
      </w:pPr>
      <w:r w:rsidRPr="003C5ECC">
        <w:rPr>
          <w:rStyle w:val="Guidance"/>
        </w:rPr>
        <w:t xml:space="preserve">section 53(1)(b) where the entity’s financial statements are consolidated into the department’s financial reports. </w:t>
      </w:r>
    </w:p>
    <w:p w14:paraId="2E3C0395" w14:textId="4561B48A" w:rsidR="003719CD" w:rsidRPr="003C5ECC" w:rsidRDefault="003719CD" w:rsidP="007D536F">
      <w:pPr>
        <w:rPr>
          <w:rStyle w:val="Guidance"/>
        </w:rPr>
      </w:pPr>
      <w:r w:rsidRPr="003C5ECC">
        <w:rPr>
          <w:rStyle w:val="Guidance"/>
        </w:rPr>
        <w:t xml:space="preserve">Where an entity is included with the department’s financial report under section 53(1)(a) – regard should be given to identifying relevant executives who meet the definition of KMP for these entities for inclusion in the respective entity’s financial report (i.e. the section 53(1)(a) entity’s financial report). </w:t>
      </w:r>
    </w:p>
    <w:p w14:paraId="03D23FC0" w14:textId="77777777" w:rsidR="003719CD" w:rsidRPr="003C5ECC" w:rsidRDefault="003719CD" w:rsidP="007D536F">
      <w:pPr>
        <w:rPr>
          <w:rStyle w:val="Guidance"/>
        </w:rPr>
      </w:pPr>
      <w:r w:rsidRPr="003C5ECC">
        <w:rPr>
          <w:rStyle w:val="Guidance"/>
        </w:rPr>
        <w:t xml:space="preserve">Where an entity is consolidated in the department’s financial report under section 53(1)(b) – regard should be given to identifying relevant executives who meet the definition of KMP for these entities, to be included as part of the consolidated group/department’s financial statements. KMPs of section 53(1)(b) will be disclosed in accordance with AASB 124.19, which requires related party information for each consolidated entity to be separately disclosed, </w:t>
      </w:r>
      <w:r w:rsidRPr="00CD06B1">
        <w:rPr>
          <w:rStyle w:val="Guidance"/>
        </w:rPr>
        <w:t>where relevant and material</w:t>
      </w:r>
      <w:r w:rsidRPr="003C5ECC">
        <w:rPr>
          <w:rStyle w:val="Guidance"/>
        </w:rPr>
        <w:t>, in the consolidated entity’s related party transactions note.</w:t>
      </w:r>
    </w:p>
    <w:p w14:paraId="33E45628" w14:textId="77777777" w:rsidR="003719CD" w:rsidRPr="003C5ECC" w:rsidRDefault="003719CD" w:rsidP="007D536F">
      <w:pPr>
        <w:pStyle w:val="GuidanceHeading"/>
        <w:rPr>
          <w:rStyle w:val="Guidance"/>
        </w:rPr>
      </w:pPr>
      <w:r w:rsidRPr="003C5ECC">
        <w:rPr>
          <w:rStyle w:val="Guidance"/>
        </w:rPr>
        <w:t>KMP of administrative offices</w:t>
      </w:r>
    </w:p>
    <w:p w14:paraId="59CA1937" w14:textId="77777777" w:rsidR="003719CD" w:rsidRPr="003C5ECC" w:rsidRDefault="003719CD" w:rsidP="007D536F">
      <w:pPr>
        <w:rPr>
          <w:rStyle w:val="Guidance"/>
        </w:rPr>
      </w:pPr>
      <w:r w:rsidRPr="003C5ECC">
        <w:rPr>
          <w:rStyle w:val="Guidance"/>
        </w:rPr>
        <w:t>Administrative offices are established and abolished through Orders under section 11 of the PAA. While these offices are established in relation to a department, they are considered to be departments in their own right for FMA purposes. Under section 45(4) of the FMA, the financial statements of administrative offices are required to be incorporated into, and consolidated with, the department’s financial statements.</w:t>
      </w:r>
    </w:p>
    <w:p w14:paraId="39364745" w14:textId="77777777" w:rsidR="003719CD" w:rsidRPr="003C5ECC" w:rsidRDefault="003719CD" w:rsidP="007D536F">
      <w:pPr>
        <w:rPr>
          <w:rStyle w:val="Guidance"/>
        </w:rPr>
      </w:pPr>
      <w:r w:rsidRPr="003C5ECC">
        <w:rPr>
          <w:rStyle w:val="Guidance"/>
        </w:rPr>
        <w:t>As administrative offices are considered to be departments in their own right under the FMA, regard should be given to identifying relevant executives who meet the definition of KMP for these entities.</w:t>
      </w:r>
    </w:p>
    <w:p w14:paraId="7258F84E" w14:textId="77777777" w:rsidR="003719CD" w:rsidRPr="003C5ECC" w:rsidRDefault="003719CD" w:rsidP="007D536F">
      <w:pPr>
        <w:rPr>
          <w:rStyle w:val="Guidance"/>
        </w:rPr>
      </w:pPr>
      <w:r w:rsidRPr="003C5ECC">
        <w:rPr>
          <w:rStyle w:val="Guidance"/>
        </w:rPr>
        <w:t xml:space="preserve">KMPs of administrative offices will be disclosed in accordance with AASB 124.19, which requires related party information for each consolidated entity to be separately disclosed, </w:t>
      </w:r>
      <w:r w:rsidRPr="00CD06B1">
        <w:rPr>
          <w:rStyle w:val="Guidance"/>
        </w:rPr>
        <w:t>where relevant and material</w:t>
      </w:r>
      <w:r w:rsidRPr="003C5ECC">
        <w:rPr>
          <w:rStyle w:val="Guidance"/>
        </w:rPr>
        <w:t>, in the consolidated entity’s related party transactions note.</w:t>
      </w:r>
    </w:p>
    <w:p w14:paraId="5A3ACB29" w14:textId="77777777" w:rsidR="003719CD" w:rsidRPr="003C5ECC" w:rsidRDefault="003719CD" w:rsidP="007D536F">
      <w:pPr>
        <w:pStyle w:val="GuidanceHeading"/>
        <w:rPr>
          <w:rStyle w:val="Guidance"/>
        </w:rPr>
      </w:pPr>
      <w:r w:rsidRPr="003C5ECC">
        <w:rPr>
          <w:rStyle w:val="Guidance"/>
        </w:rPr>
        <w:t>Statutory officers</w:t>
      </w:r>
    </w:p>
    <w:p w14:paraId="1C90C36E" w14:textId="77777777" w:rsidR="003719CD" w:rsidRPr="003C5ECC" w:rsidRDefault="003719CD" w:rsidP="007D536F">
      <w:pPr>
        <w:rPr>
          <w:rStyle w:val="Guidance"/>
        </w:rPr>
      </w:pPr>
      <w:r w:rsidRPr="003C5ECC">
        <w:rPr>
          <w:rStyle w:val="Guidance"/>
        </w:rPr>
        <w:t xml:space="preserve">Statutory officers (e.g. Governor in Council appointments) have authority under legislation to direct or control the activities of a specified division or function. Typically, this division or function will be a cost centre that is part of the department. </w:t>
      </w:r>
    </w:p>
    <w:p w14:paraId="78A61D23" w14:textId="77777777" w:rsidR="003719CD" w:rsidRPr="003C5ECC" w:rsidRDefault="003719CD" w:rsidP="007D536F">
      <w:pPr>
        <w:rPr>
          <w:rStyle w:val="Guidance"/>
        </w:rPr>
      </w:pPr>
      <w:r w:rsidRPr="003C5ECC">
        <w:rPr>
          <w:rStyle w:val="Guidance"/>
        </w:rPr>
        <w:t xml:space="preserve">While the statutory officer may meet the definition of a KMP for their specified division or function, regard should be given to assessing whether the statutory officer is considered a KMP of the department. This will be a matter of judgement. </w:t>
      </w:r>
    </w:p>
    <w:p w14:paraId="17B8C12D" w14:textId="77777777" w:rsidR="003719CD" w:rsidRPr="003C5ECC" w:rsidRDefault="003719CD" w:rsidP="007D536F">
      <w:pPr>
        <w:rPr>
          <w:rStyle w:val="Guidance"/>
        </w:rPr>
      </w:pPr>
      <w:r w:rsidRPr="003C5ECC">
        <w:rPr>
          <w:rStyle w:val="Guidance"/>
        </w:rPr>
        <w:t xml:space="preserve">Declaration certificates should be collected from all statutory officers for their related party transactions. Management will need to exercise their professional judgement to determine whether the statutory officer’s division/function and relevant related party transactions are considered to be </w:t>
      </w:r>
      <w:r w:rsidRPr="00CD06B1">
        <w:rPr>
          <w:rStyle w:val="Guidance"/>
        </w:rPr>
        <w:t>material and significant to the department</w:t>
      </w:r>
      <w:r w:rsidRPr="003C5ECC">
        <w:rPr>
          <w:rStyle w:val="Guidance"/>
        </w:rPr>
        <w:t xml:space="preserve"> for disclosure in the financial report. </w:t>
      </w:r>
    </w:p>
    <w:p w14:paraId="25D79FC2" w14:textId="77777777" w:rsidR="003719CD" w:rsidRPr="003C5ECC" w:rsidRDefault="003719CD" w:rsidP="007D536F">
      <w:pPr>
        <w:rPr>
          <w:rStyle w:val="Guidance"/>
        </w:rPr>
      </w:pPr>
      <w:r w:rsidRPr="003C5ECC">
        <w:rPr>
          <w:rStyle w:val="Guidance"/>
        </w:rPr>
        <w:t>In performing this assessment, departments should consider whether the statutory officer has the ability to direct activities of a division/function that significantly affects the department’s outcomes as a whole i.e. the division/function is material and significant to the department’s overall business and financial outcomes. Note that the statutory officer does not necessarily need to be able to strategically influence all decisions made at the overall department level, to qualify as a KMP of the department.</w:t>
      </w:r>
    </w:p>
    <w:p w14:paraId="5C18A918" w14:textId="77777777" w:rsidR="003719CD" w:rsidRDefault="003719CD" w:rsidP="007D536F">
      <w:pPr>
        <w:pStyle w:val="GuidanceEnd"/>
      </w:pPr>
    </w:p>
    <w:p w14:paraId="6692EAF7" w14:textId="77777777" w:rsidR="001F33FF" w:rsidRDefault="001F33FF">
      <w:pPr>
        <w:keepLines w:val="0"/>
        <w:rPr>
          <w:rFonts w:asciiTheme="majorHAnsi" w:eastAsiaTheme="majorEastAsia" w:hAnsiTheme="majorHAnsi" w:cstheme="majorBidi"/>
          <w:b/>
          <w:sz w:val="26"/>
          <w:szCs w:val="26"/>
        </w:rPr>
      </w:pPr>
      <w:bookmarkStart w:id="175" w:name="_Toc64983185"/>
      <w:r>
        <w:br w:type="page"/>
      </w:r>
    </w:p>
    <w:p w14:paraId="391BF2D5" w14:textId="2BF81037" w:rsidR="003719CD" w:rsidRDefault="003719CD" w:rsidP="007762BE">
      <w:pPr>
        <w:pStyle w:val="Heading2numbered"/>
        <w:ind w:left="851" w:hanging="851"/>
      </w:pPr>
      <w:bookmarkStart w:id="176" w:name="_Toc130226016"/>
      <w:bookmarkStart w:id="177" w:name="_Toc130289139"/>
      <w:bookmarkStart w:id="178" w:name="_Toc96709992"/>
      <w:r>
        <w:lastRenderedPageBreak/>
        <w:t>Remuneration of auditors</w:t>
      </w:r>
      <w:bookmarkEnd w:id="175"/>
      <w:bookmarkEnd w:id="176"/>
      <w:bookmarkEnd w:id="177"/>
      <w:bookmarkEnd w:id="178"/>
    </w:p>
    <w:p w14:paraId="003FAB8D" w14:textId="77777777" w:rsidR="003719CD" w:rsidRDefault="003719CD" w:rsidP="007D536F">
      <w:pPr>
        <w:pStyle w:val="TableUnits"/>
      </w:pPr>
      <w:r>
        <w:t>($ thousand)</w:t>
      </w:r>
    </w:p>
    <w:tbl>
      <w:tblPr>
        <w:tblStyle w:val="DTFTable"/>
        <w:tblW w:w="9639" w:type="dxa"/>
        <w:tblLayout w:type="fixed"/>
        <w:tblLook w:val="0620" w:firstRow="1" w:lastRow="0" w:firstColumn="0" w:lastColumn="0" w:noHBand="1" w:noVBand="1"/>
      </w:tblPr>
      <w:tblGrid>
        <w:gridCol w:w="1349"/>
        <w:gridCol w:w="6558"/>
        <w:gridCol w:w="866"/>
        <w:gridCol w:w="866"/>
      </w:tblGrid>
      <w:tr w:rsidR="0038140F" w14:paraId="50D39DB5" w14:textId="77777777" w:rsidTr="0038140F">
        <w:trPr>
          <w:cnfStyle w:val="100000000000" w:firstRow="1" w:lastRow="0" w:firstColumn="0" w:lastColumn="0" w:oddVBand="0" w:evenVBand="0" w:oddHBand="0" w:evenHBand="0" w:firstRowFirstColumn="0" w:firstRowLastColumn="0" w:lastRowFirstColumn="0" w:lastRowLastColumn="0"/>
          <w:tblHeader/>
        </w:trPr>
        <w:tc>
          <w:tcPr>
            <w:tcW w:w="1349" w:type="dxa"/>
            <w:tcBorders>
              <w:top w:val="nil"/>
              <w:bottom w:val="nil"/>
            </w:tcBorders>
            <w:shd w:val="clear" w:color="auto" w:fill="FFFFFF" w:themeFill="background1"/>
          </w:tcPr>
          <w:p w14:paraId="0042BC1C" w14:textId="77777777" w:rsidR="0038140F" w:rsidRDefault="0038140F" w:rsidP="0038140F">
            <w:pPr>
              <w:keepNext/>
              <w:jc w:val="left"/>
            </w:pPr>
            <w:r>
              <w:rPr>
                <w:color w:val="4472C4"/>
                <w:sz w:val="13"/>
              </w:rPr>
              <w:t>Source reference</w:t>
            </w:r>
          </w:p>
        </w:tc>
        <w:tc>
          <w:tcPr>
            <w:tcW w:w="6558" w:type="dxa"/>
          </w:tcPr>
          <w:p w14:paraId="1B372584" w14:textId="77777777" w:rsidR="0038140F" w:rsidRDefault="0038140F" w:rsidP="0038140F">
            <w:pPr>
              <w:keepNext/>
              <w:jc w:val="left"/>
            </w:pPr>
          </w:p>
        </w:tc>
        <w:tc>
          <w:tcPr>
            <w:tcW w:w="866" w:type="dxa"/>
          </w:tcPr>
          <w:p w14:paraId="2DA6EAED" w14:textId="3E0DA8E9" w:rsidR="0038140F" w:rsidRDefault="0038140F" w:rsidP="0038140F">
            <w:pPr>
              <w:keepNext/>
            </w:pPr>
            <w:fldSimple w:instr="DOCPROPERTY  YearCurrent \* MERGEFORMAT">
              <w:r w:rsidRPr="0038140F">
                <w:t>20X2</w:t>
              </w:r>
            </w:fldSimple>
          </w:p>
        </w:tc>
        <w:tc>
          <w:tcPr>
            <w:tcW w:w="866" w:type="dxa"/>
          </w:tcPr>
          <w:p w14:paraId="778F5598" w14:textId="35617B9B" w:rsidR="0038140F" w:rsidRDefault="0038140F" w:rsidP="0038140F">
            <w:pPr>
              <w:keepNext/>
            </w:pPr>
            <w:fldSimple w:instr="DOCPROPERTY  YearPrevious  \* MERGEFORMAT">
              <w:r w:rsidRPr="0038140F">
                <w:t>20X1</w:t>
              </w:r>
            </w:fldSimple>
          </w:p>
        </w:tc>
      </w:tr>
      <w:tr w:rsidR="00182709" w14:paraId="1546D15F" w14:textId="77777777" w:rsidTr="0038140F">
        <w:tc>
          <w:tcPr>
            <w:tcW w:w="1349" w:type="dxa"/>
          </w:tcPr>
          <w:p w14:paraId="6155FB66" w14:textId="77777777" w:rsidR="00182709" w:rsidRDefault="0044097C">
            <w:pPr>
              <w:jc w:val="left"/>
            </w:pPr>
            <w:r>
              <w:rPr>
                <w:color w:val="4472C4"/>
                <w:sz w:val="13"/>
              </w:rPr>
              <w:t>AASB 1054.10</w:t>
            </w:r>
          </w:p>
        </w:tc>
        <w:tc>
          <w:tcPr>
            <w:tcW w:w="6558" w:type="dxa"/>
          </w:tcPr>
          <w:p w14:paraId="3A9A5F4E" w14:textId="77777777" w:rsidR="00182709" w:rsidRDefault="0044097C">
            <w:pPr>
              <w:jc w:val="left"/>
            </w:pPr>
            <w:r>
              <w:rPr>
                <w:b/>
              </w:rPr>
              <w:t>Victorian Auditor‑General’s Office</w:t>
            </w:r>
          </w:p>
        </w:tc>
        <w:tc>
          <w:tcPr>
            <w:tcW w:w="866" w:type="dxa"/>
          </w:tcPr>
          <w:p w14:paraId="4F4718B7" w14:textId="77777777" w:rsidR="00182709" w:rsidRDefault="00182709"/>
        </w:tc>
        <w:tc>
          <w:tcPr>
            <w:tcW w:w="866" w:type="dxa"/>
          </w:tcPr>
          <w:p w14:paraId="758BF51A" w14:textId="77777777" w:rsidR="00182709" w:rsidRDefault="00182709"/>
        </w:tc>
      </w:tr>
      <w:tr w:rsidR="00182709" w14:paraId="416402A0" w14:textId="77777777" w:rsidTr="0038140F">
        <w:tc>
          <w:tcPr>
            <w:tcW w:w="1349" w:type="dxa"/>
          </w:tcPr>
          <w:p w14:paraId="58DAE4C7" w14:textId="77777777" w:rsidR="00182709" w:rsidRDefault="0044097C">
            <w:pPr>
              <w:jc w:val="left"/>
            </w:pPr>
            <w:r>
              <w:rPr>
                <w:color w:val="4472C4"/>
                <w:sz w:val="13"/>
              </w:rPr>
              <w:t>AASB 1054.10 (a)</w:t>
            </w:r>
          </w:p>
        </w:tc>
        <w:tc>
          <w:tcPr>
            <w:tcW w:w="6558" w:type="dxa"/>
            <w:tcBorders>
              <w:bottom w:val="single" w:sz="12" w:space="0" w:color="auto"/>
            </w:tcBorders>
          </w:tcPr>
          <w:p w14:paraId="60879A21" w14:textId="77777777" w:rsidR="00182709" w:rsidRDefault="0044097C">
            <w:pPr>
              <w:jc w:val="left"/>
            </w:pPr>
            <w:r>
              <w:t>Audit or review of the financial statements</w:t>
            </w:r>
          </w:p>
        </w:tc>
        <w:tc>
          <w:tcPr>
            <w:tcW w:w="866" w:type="dxa"/>
            <w:tcBorders>
              <w:bottom w:val="single" w:sz="12" w:space="0" w:color="auto"/>
            </w:tcBorders>
          </w:tcPr>
          <w:p w14:paraId="4D30DD26" w14:textId="77777777" w:rsidR="00182709" w:rsidRDefault="0044097C">
            <w:r>
              <w:t>1 014</w:t>
            </w:r>
          </w:p>
        </w:tc>
        <w:tc>
          <w:tcPr>
            <w:tcW w:w="866" w:type="dxa"/>
            <w:tcBorders>
              <w:bottom w:val="single" w:sz="12" w:space="0" w:color="auto"/>
            </w:tcBorders>
          </w:tcPr>
          <w:p w14:paraId="66A0C9A1" w14:textId="77777777" w:rsidR="00182709" w:rsidRDefault="0044097C">
            <w:r>
              <w:t>1 177</w:t>
            </w:r>
          </w:p>
        </w:tc>
      </w:tr>
      <w:tr w:rsidR="00671D55" w14:paraId="4FA86CB7" w14:textId="77777777" w:rsidTr="0038140F">
        <w:tc>
          <w:tcPr>
            <w:tcW w:w="1349" w:type="dxa"/>
          </w:tcPr>
          <w:p w14:paraId="34C58580" w14:textId="77777777" w:rsidR="00182709" w:rsidRDefault="0044097C">
            <w:pPr>
              <w:jc w:val="left"/>
            </w:pPr>
            <w:r>
              <w:rPr>
                <w:color w:val="4472C4"/>
                <w:sz w:val="13"/>
              </w:rPr>
              <w:t>AASB 1054.10 (b)</w:t>
            </w:r>
          </w:p>
        </w:tc>
        <w:tc>
          <w:tcPr>
            <w:tcW w:w="6558" w:type="dxa"/>
          </w:tcPr>
          <w:p w14:paraId="189F3D05" w14:textId="77777777" w:rsidR="00182709" w:rsidRDefault="0044097C">
            <w:pPr>
              <w:jc w:val="left"/>
            </w:pPr>
            <w:r>
              <w:rPr>
                <w:b/>
              </w:rPr>
              <w:t>Other non‑audit services</w:t>
            </w:r>
            <w:r>
              <w:rPr>
                <w:b/>
                <w:vertAlign w:val="superscript"/>
              </w:rPr>
              <w:t xml:space="preserve"> (a)</w:t>
            </w:r>
          </w:p>
        </w:tc>
        <w:tc>
          <w:tcPr>
            <w:tcW w:w="866" w:type="dxa"/>
          </w:tcPr>
          <w:p w14:paraId="2FF4A12A" w14:textId="77777777" w:rsidR="00182709" w:rsidRDefault="0044097C">
            <w:r>
              <w:rPr>
                <w:b/>
              </w:rPr>
              <w:t>..</w:t>
            </w:r>
          </w:p>
        </w:tc>
        <w:tc>
          <w:tcPr>
            <w:tcW w:w="866" w:type="dxa"/>
          </w:tcPr>
          <w:p w14:paraId="56D79283" w14:textId="77777777" w:rsidR="00182709" w:rsidRDefault="0044097C">
            <w:r>
              <w:rPr>
                <w:b/>
              </w:rPr>
              <w:t>..</w:t>
            </w:r>
          </w:p>
        </w:tc>
      </w:tr>
      <w:tr w:rsidR="00671D55" w14:paraId="68EC62E9" w14:textId="77777777" w:rsidTr="0038140F">
        <w:tc>
          <w:tcPr>
            <w:tcW w:w="1349" w:type="dxa"/>
            <w:tcBorders>
              <w:bottom w:val="nil"/>
            </w:tcBorders>
          </w:tcPr>
          <w:p w14:paraId="0C403E40" w14:textId="77777777" w:rsidR="00182709" w:rsidRDefault="00182709">
            <w:pPr>
              <w:jc w:val="left"/>
            </w:pPr>
          </w:p>
        </w:tc>
        <w:tc>
          <w:tcPr>
            <w:tcW w:w="6558" w:type="dxa"/>
          </w:tcPr>
          <w:p w14:paraId="17A0C3EA" w14:textId="77777777" w:rsidR="00182709" w:rsidRDefault="0044097C">
            <w:pPr>
              <w:jc w:val="left"/>
            </w:pPr>
            <w:r>
              <w:rPr>
                <w:b/>
              </w:rPr>
              <w:t>Total remuneration of auditors</w:t>
            </w:r>
          </w:p>
        </w:tc>
        <w:tc>
          <w:tcPr>
            <w:tcW w:w="866" w:type="dxa"/>
          </w:tcPr>
          <w:p w14:paraId="0D88B75C" w14:textId="77777777" w:rsidR="00182709" w:rsidRDefault="0044097C">
            <w:r>
              <w:rPr>
                <w:b/>
              </w:rPr>
              <w:t>1 014</w:t>
            </w:r>
          </w:p>
        </w:tc>
        <w:tc>
          <w:tcPr>
            <w:tcW w:w="866" w:type="dxa"/>
          </w:tcPr>
          <w:p w14:paraId="50EF059C" w14:textId="77777777" w:rsidR="00182709" w:rsidRDefault="0044097C">
            <w:r>
              <w:rPr>
                <w:b/>
              </w:rPr>
              <w:t>1 177</w:t>
            </w:r>
          </w:p>
        </w:tc>
      </w:tr>
    </w:tbl>
    <w:p w14:paraId="027F8D14" w14:textId="77777777" w:rsidR="003719CD" w:rsidRDefault="003719CD" w:rsidP="007D536F">
      <w:pPr>
        <w:pStyle w:val="Note"/>
      </w:pPr>
      <w:r>
        <w:t>Note:</w:t>
      </w:r>
    </w:p>
    <w:p w14:paraId="7253DEC7" w14:textId="77777777" w:rsidR="003719CD" w:rsidRDefault="003719CD" w:rsidP="007D536F">
      <w:pPr>
        <w:pStyle w:val="Note"/>
      </w:pPr>
      <w:r>
        <w:t xml:space="preserve">(a) </w:t>
      </w:r>
      <w:r>
        <w:tab/>
        <w:t>The Victorian Auditor-General’s Office is prohibited from providing non-audit services.</w:t>
      </w:r>
    </w:p>
    <w:p w14:paraId="16966013" w14:textId="77777777" w:rsidR="003719CD" w:rsidRDefault="003719CD" w:rsidP="00DC39DE"/>
    <w:p w14:paraId="21F072F9" w14:textId="77777777" w:rsidR="003719CD" w:rsidRDefault="003719CD" w:rsidP="007D536F">
      <w:pPr>
        <w:pStyle w:val="GuidanceBlockHeading"/>
      </w:pPr>
      <w:r>
        <w:t>Guidance – Remuneration of auditors</w:t>
      </w:r>
    </w:p>
    <w:p w14:paraId="20778B88" w14:textId="730C2838" w:rsidR="003719CD" w:rsidRPr="003C5ECC" w:rsidRDefault="003719CD" w:rsidP="007D536F">
      <w:pPr>
        <w:rPr>
          <w:rStyle w:val="Guidance"/>
        </w:rPr>
      </w:pPr>
      <w:r w:rsidRPr="003C5ECC">
        <w:rPr>
          <w:rStyle w:val="Guidance"/>
        </w:rPr>
        <w:t xml:space="preserve">The amount paid or due and payable to the Auditor-General for auditing the financial statements of the </w:t>
      </w:r>
      <w:r w:rsidR="00A12104">
        <w:rPr>
          <w:rStyle w:val="Guidance"/>
        </w:rPr>
        <w:t>d</w:t>
      </w:r>
      <w:r w:rsidRPr="003C5ECC">
        <w:rPr>
          <w:rStyle w:val="Guidance"/>
        </w:rPr>
        <w:t xml:space="preserve">epartment pursuant to the Audit Act 1994 must be disclosed and should be net of GST except where the GST included in fees is not recoverable from the tax authority. GST that is not recoverable should be included as part of the remuneration. </w:t>
      </w:r>
      <w:r w:rsidRPr="003C5ECC">
        <w:rPr>
          <w:rStyle w:val="Reference"/>
        </w:rPr>
        <w:t>[AASB</w:t>
      </w:r>
      <w:r>
        <w:rPr>
          <w:rStyle w:val="Reference"/>
        </w:rPr>
        <w:t> </w:t>
      </w:r>
      <w:r w:rsidRPr="003C5ECC">
        <w:rPr>
          <w:rStyle w:val="Reference"/>
        </w:rPr>
        <w:t>Interpretation 1031.6,7]</w:t>
      </w:r>
    </w:p>
    <w:p w14:paraId="2530A86A" w14:textId="77777777" w:rsidR="003719CD" w:rsidRPr="003C5ECC" w:rsidRDefault="003719CD" w:rsidP="007D536F">
      <w:pPr>
        <w:rPr>
          <w:rStyle w:val="Guidance"/>
        </w:rPr>
      </w:pPr>
      <w:r w:rsidRPr="003C5ECC">
        <w:rPr>
          <w:rStyle w:val="Guidance"/>
        </w:rPr>
        <w:t>An entity shall disclose fees to each auditor or reviewer, including any network firm, separately for:</w:t>
      </w:r>
    </w:p>
    <w:p w14:paraId="56B9B356" w14:textId="5057F929" w:rsidR="003719CD" w:rsidRPr="003C5ECC" w:rsidRDefault="003719CD" w:rsidP="00310F12">
      <w:pPr>
        <w:pStyle w:val="ListBullet"/>
        <w:rPr>
          <w:rStyle w:val="Guidance"/>
        </w:rPr>
      </w:pPr>
      <w:r w:rsidRPr="003C5ECC">
        <w:rPr>
          <w:rStyle w:val="Guidance"/>
        </w:rPr>
        <w:t xml:space="preserve">the audit or review of the financial statements </w:t>
      </w:r>
    </w:p>
    <w:p w14:paraId="2D21D95D" w14:textId="77777777" w:rsidR="003719CD" w:rsidRPr="003C5ECC" w:rsidRDefault="003719CD" w:rsidP="00310F12">
      <w:pPr>
        <w:pStyle w:val="ListBullet"/>
        <w:rPr>
          <w:rStyle w:val="Guidance"/>
        </w:rPr>
      </w:pPr>
      <w:r w:rsidRPr="003C5ECC">
        <w:rPr>
          <w:rStyle w:val="Guidance"/>
        </w:rPr>
        <w:t xml:space="preserve">all other services performed during the reporting period with a description of the nature of the services performed. </w:t>
      </w:r>
      <w:r w:rsidRPr="003C5ECC">
        <w:rPr>
          <w:rStyle w:val="Reference"/>
        </w:rPr>
        <w:t>[AASB 1054.10,11]</w:t>
      </w:r>
    </w:p>
    <w:p w14:paraId="069C8693" w14:textId="77777777" w:rsidR="003719CD" w:rsidRDefault="003719CD" w:rsidP="007D536F">
      <w:pPr>
        <w:pStyle w:val="GuidanceEnd"/>
      </w:pPr>
    </w:p>
    <w:p w14:paraId="58356133" w14:textId="77777777" w:rsidR="001F33FF" w:rsidRDefault="001F33FF">
      <w:pPr>
        <w:keepLines w:val="0"/>
        <w:rPr>
          <w:rFonts w:asciiTheme="majorHAnsi" w:eastAsiaTheme="majorEastAsia" w:hAnsiTheme="majorHAnsi" w:cstheme="majorBidi"/>
          <w:b/>
          <w:sz w:val="26"/>
          <w:szCs w:val="26"/>
        </w:rPr>
      </w:pPr>
      <w:bookmarkStart w:id="179" w:name="_Toc64983186"/>
      <w:r>
        <w:br w:type="page"/>
      </w:r>
    </w:p>
    <w:p w14:paraId="3DE37B50" w14:textId="7FDCE475" w:rsidR="003719CD" w:rsidRDefault="003719CD" w:rsidP="007762BE">
      <w:pPr>
        <w:pStyle w:val="Heading2numbered"/>
        <w:ind w:left="851" w:hanging="851"/>
      </w:pPr>
      <w:bookmarkStart w:id="180" w:name="_Toc130226017"/>
      <w:bookmarkStart w:id="181" w:name="_Toc130289140"/>
      <w:bookmarkStart w:id="182" w:name="_Toc96709993"/>
      <w:r>
        <w:lastRenderedPageBreak/>
        <w:t>Subsequent events</w:t>
      </w:r>
      <w:bookmarkEnd w:id="179"/>
      <w:bookmarkEnd w:id="180"/>
      <w:bookmarkEnd w:id="181"/>
      <w:bookmarkEnd w:id="182"/>
    </w:p>
    <w:p w14:paraId="5AFE7198" w14:textId="77777777" w:rsidR="003719CD" w:rsidRDefault="003719CD" w:rsidP="00DC39DE">
      <w:r>
        <w:t>The Department of Technology (the Department) intends to privatise its consulting division subsequent to the current reporting period. Given that the expertise of this division is highly regarded in the private sector, several expressions of interests have been received. Further announcements, including the financial effect on the operations of the Department, will be made once agreements are finalised.</w:t>
      </w:r>
    </w:p>
    <w:p w14:paraId="6E58C3A2" w14:textId="77777777" w:rsidR="003719CD" w:rsidRDefault="003719CD" w:rsidP="00DC39DE">
      <w:r>
        <w:t>The policy in connection with recognising subsequent events that are for events that occur between the end of the reporting period and the date when the financial statements are authorised for issue is as follows:</w:t>
      </w:r>
    </w:p>
    <w:p w14:paraId="5E5621E0" w14:textId="346FF131" w:rsidR="003719CD" w:rsidRDefault="008949BD" w:rsidP="00310F12">
      <w:pPr>
        <w:pStyle w:val="ListBullet"/>
      </w:pPr>
      <w:r>
        <w:t>A</w:t>
      </w:r>
      <w:r w:rsidR="003719CD">
        <w:t>djustments are made to amounts recognised in the financial statements where those events provide information about conditions that existed at the reporting date</w:t>
      </w:r>
    </w:p>
    <w:p w14:paraId="295E6A50" w14:textId="4584C097" w:rsidR="003719CD" w:rsidRDefault="008949BD" w:rsidP="00310F12">
      <w:pPr>
        <w:pStyle w:val="ListBullet"/>
      </w:pPr>
      <w:r>
        <w:t>D</w:t>
      </w:r>
      <w:r w:rsidR="003719CD">
        <w:t>isclosure is made where the events relate to conditions that arose after the end of the reporting period that are considered to be of material interest.</w:t>
      </w:r>
    </w:p>
    <w:p w14:paraId="26215408" w14:textId="77777777" w:rsidR="003719CD" w:rsidRDefault="003719CD" w:rsidP="00DC39DE"/>
    <w:p w14:paraId="67A18FFE" w14:textId="77777777" w:rsidR="003719CD" w:rsidRDefault="003719CD" w:rsidP="007D536F">
      <w:pPr>
        <w:pStyle w:val="GuidanceBlockHeading"/>
      </w:pPr>
      <w:r>
        <w:t>Guidance – Subsequent events</w:t>
      </w:r>
    </w:p>
    <w:p w14:paraId="3C1E025A" w14:textId="77777777" w:rsidR="003719CD" w:rsidRPr="003C5ECC" w:rsidRDefault="003719CD" w:rsidP="007D536F">
      <w:pPr>
        <w:rPr>
          <w:rStyle w:val="Guidance"/>
        </w:rPr>
      </w:pPr>
      <w:r w:rsidRPr="003C5ECC">
        <w:rPr>
          <w:rStyle w:val="Guidance"/>
        </w:rPr>
        <w:t>The financial statements should disclose for each material category of subsequent events (other than those events whose financial effects have already been brought to account) that occurred after the reporting period and before authorisation of the financial statements:</w:t>
      </w:r>
    </w:p>
    <w:p w14:paraId="664D12EE" w14:textId="10437523" w:rsidR="003719CD" w:rsidRPr="003C5ECC" w:rsidRDefault="003719CD" w:rsidP="00310F12">
      <w:pPr>
        <w:pStyle w:val="ListBullet"/>
        <w:rPr>
          <w:rStyle w:val="Guidance"/>
        </w:rPr>
      </w:pPr>
      <w:r w:rsidRPr="003C5ECC">
        <w:rPr>
          <w:rStyle w:val="Guidance"/>
        </w:rPr>
        <w:t xml:space="preserve">the nature of the event </w:t>
      </w:r>
    </w:p>
    <w:p w14:paraId="35DC254E" w14:textId="77777777" w:rsidR="003719CD" w:rsidRPr="003C5ECC" w:rsidRDefault="003719CD" w:rsidP="00310F12">
      <w:pPr>
        <w:pStyle w:val="ListBullet"/>
        <w:rPr>
          <w:rStyle w:val="Guidance"/>
        </w:rPr>
      </w:pPr>
      <w:r w:rsidRPr="003C5ECC">
        <w:rPr>
          <w:rStyle w:val="Guidance"/>
        </w:rPr>
        <w:t>an estimate of its financial effect, or a statement that such an estimate cannot be made. Statements should consider likely impacts. For example, following a major catastrophic event such as the February 2009 Victorian bushfires:</w:t>
      </w:r>
    </w:p>
    <w:p w14:paraId="598FE9F1" w14:textId="06F18327" w:rsidR="003719CD" w:rsidRPr="003C5ECC" w:rsidRDefault="003719CD" w:rsidP="002244EC">
      <w:pPr>
        <w:pStyle w:val="ListBullet2"/>
        <w:rPr>
          <w:rStyle w:val="Guidance"/>
        </w:rPr>
      </w:pPr>
      <w:r w:rsidRPr="003C5ECC">
        <w:rPr>
          <w:rStyle w:val="Guidance"/>
        </w:rPr>
        <w:t>impairment of assets damaged or destroyed</w:t>
      </w:r>
    </w:p>
    <w:p w14:paraId="010E9CC5" w14:textId="7A4134EC" w:rsidR="003719CD" w:rsidRPr="003C5ECC" w:rsidRDefault="003719CD" w:rsidP="002244EC">
      <w:pPr>
        <w:pStyle w:val="ListBullet2"/>
        <w:rPr>
          <w:rStyle w:val="Guidance"/>
        </w:rPr>
      </w:pPr>
      <w:r w:rsidRPr="003C5ECC">
        <w:rPr>
          <w:rStyle w:val="Guidance"/>
        </w:rPr>
        <w:t>increases in grants to assist citizens</w:t>
      </w:r>
    </w:p>
    <w:p w14:paraId="28A0D95B" w14:textId="3298460F" w:rsidR="003719CD" w:rsidRPr="003C5ECC" w:rsidRDefault="003719CD" w:rsidP="002244EC">
      <w:pPr>
        <w:pStyle w:val="ListBullet2"/>
        <w:rPr>
          <w:rStyle w:val="Guidance"/>
        </w:rPr>
      </w:pPr>
      <w:r w:rsidRPr="003C5ECC">
        <w:rPr>
          <w:rStyle w:val="Guidance"/>
        </w:rPr>
        <w:t>extra costs by State agencies managing emergencies</w:t>
      </w:r>
    </w:p>
    <w:p w14:paraId="3DBF3CD8" w14:textId="77777777" w:rsidR="003719CD" w:rsidRPr="003C5ECC" w:rsidRDefault="003719CD" w:rsidP="002244EC">
      <w:pPr>
        <w:pStyle w:val="ListBullet2"/>
        <w:rPr>
          <w:rStyle w:val="Guidance"/>
        </w:rPr>
      </w:pPr>
      <w:r w:rsidRPr="003C5ECC">
        <w:rPr>
          <w:rStyle w:val="Guidance"/>
        </w:rPr>
        <w:t>reduced income to the State due to a lower tax base or tax exemptions granted.</w:t>
      </w:r>
    </w:p>
    <w:p w14:paraId="6C8E0611" w14:textId="77777777" w:rsidR="003719CD" w:rsidRPr="003C5ECC" w:rsidRDefault="003719CD" w:rsidP="007D536F">
      <w:pPr>
        <w:rPr>
          <w:rStyle w:val="Guidance"/>
        </w:rPr>
      </w:pPr>
      <w:r w:rsidRPr="003C5ECC">
        <w:rPr>
          <w:rStyle w:val="Guidance"/>
        </w:rPr>
        <w:t>Examples of events occurring after the reporting period that do not provide evidence about conditions existing at the end of the reporting period include:</w:t>
      </w:r>
    </w:p>
    <w:p w14:paraId="1F8BA95F" w14:textId="16C47EE6" w:rsidR="003719CD" w:rsidRPr="003C5ECC" w:rsidRDefault="003719CD" w:rsidP="00310F12">
      <w:pPr>
        <w:pStyle w:val="ListBullet"/>
        <w:rPr>
          <w:rStyle w:val="Guidance"/>
        </w:rPr>
      </w:pPr>
      <w:r w:rsidRPr="003C5ECC">
        <w:rPr>
          <w:rStyle w:val="Guidance"/>
        </w:rPr>
        <w:t>a major business combination after the end of the reporting period or disposing of a major subsidiary</w:t>
      </w:r>
    </w:p>
    <w:p w14:paraId="4BED6A44" w14:textId="0B45020B" w:rsidR="003719CD" w:rsidRPr="003C5ECC" w:rsidRDefault="003719CD" w:rsidP="00310F12">
      <w:pPr>
        <w:pStyle w:val="ListBullet"/>
        <w:rPr>
          <w:rStyle w:val="Guidance"/>
        </w:rPr>
      </w:pPr>
      <w:r w:rsidRPr="003C5ECC">
        <w:rPr>
          <w:rStyle w:val="Guidance"/>
        </w:rPr>
        <w:t>announcing a plan to discontinue an operation</w:t>
      </w:r>
    </w:p>
    <w:p w14:paraId="6E129ADA" w14:textId="716C1438" w:rsidR="003719CD" w:rsidRPr="003C5ECC" w:rsidRDefault="003719CD" w:rsidP="00310F12">
      <w:pPr>
        <w:pStyle w:val="ListBullet"/>
        <w:rPr>
          <w:rStyle w:val="Guidance"/>
        </w:rPr>
      </w:pPr>
      <w:r w:rsidRPr="003C5ECC">
        <w:rPr>
          <w:rStyle w:val="Guidance"/>
        </w:rPr>
        <w:t>major purchases of assets, classifications of assets as held for sale, other disposals of assets, or expropriation of major assets by government</w:t>
      </w:r>
    </w:p>
    <w:p w14:paraId="5ACB8977" w14:textId="5A509956" w:rsidR="003719CD" w:rsidRPr="003C5ECC" w:rsidRDefault="003719CD" w:rsidP="00310F12">
      <w:pPr>
        <w:pStyle w:val="ListBullet"/>
        <w:rPr>
          <w:rStyle w:val="Guidance"/>
        </w:rPr>
      </w:pPr>
      <w:r w:rsidRPr="003C5ECC">
        <w:rPr>
          <w:rStyle w:val="Guidance"/>
        </w:rPr>
        <w:t>destruction of a major production plant by a fire, more widespread destruction such as the February 2009 Victorian bushfires that might occur after the reporting period</w:t>
      </w:r>
    </w:p>
    <w:p w14:paraId="4D658634" w14:textId="61174EC8" w:rsidR="003719CD" w:rsidRPr="003C5ECC" w:rsidRDefault="003719CD" w:rsidP="00310F12">
      <w:pPr>
        <w:pStyle w:val="ListBullet"/>
        <w:rPr>
          <w:rStyle w:val="Guidance"/>
        </w:rPr>
      </w:pPr>
      <w:r w:rsidRPr="003C5ECC">
        <w:rPr>
          <w:rStyle w:val="Guidance"/>
        </w:rPr>
        <w:t>announcing, or commencing the implementation of, a major restructure</w:t>
      </w:r>
    </w:p>
    <w:p w14:paraId="4ADA48EA" w14:textId="563646FD" w:rsidR="003719CD" w:rsidRPr="003C5ECC" w:rsidRDefault="003719CD" w:rsidP="00310F12">
      <w:pPr>
        <w:pStyle w:val="ListBullet"/>
        <w:rPr>
          <w:rStyle w:val="Guidance"/>
        </w:rPr>
      </w:pPr>
      <w:r w:rsidRPr="003C5ECC">
        <w:rPr>
          <w:rStyle w:val="Guidance"/>
        </w:rPr>
        <w:t>abnormally large changes after the reporting period in asset prices or foreign exchange rates</w:t>
      </w:r>
    </w:p>
    <w:p w14:paraId="332C128C" w14:textId="7B4E4D2B" w:rsidR="003719CD" w:rsidRPr="003C5ECC" w:rsidRDefault="003719CD" w:rsidP="00310F12">
      <w:pPr>
        <w:pStyle w:val="ListBullet"/>
        <w:rPr>
          <w:rStyle w:val="Guidance"/>
        </w:rPr>
      </w:pPr>
      <w:r w:rsidRPr="003C5ECC">
        <w:rPr>
          <w:rStyle w:val="Guidance"/>
        </w:rPr>
        <w:t>entering into significant commitments or contingent liabilities, for example, by issuing significant guarantees</w:t>
      </w:r>
    </w:p>
    <w:p w14:paraId="3CD06106" w14:textId="77777777" w:rsidR="003719CD" w:rsidRPr="003C5ECC" w:rsidRDefault="003719CD" w:rsidP="00310F12">
      <w:pPr>
        <w:pStyle w:val="ListBullet"/>
        <w:rPr>
          <w:rStyle w:val="Guidance"/>
        </w:rPr>
      </w:pPr>
      <w:r w:rsidRPr="003C5ECC">
        <w:rPr>
          <w:rStyle w:val="Guidance"/>
        </w:rPr>
        <w:t xml:space="preserve">commencing major litigation arising solely out of events that occurred after the reporting period. </w:t>
      </w:r>
    </w:p>
    <w:p w14:paraId="2126E6B1" w14:textId="77777777" w:rsidR="003719CD" w:rsidRDefault="003719CD" w:rsidP="007D536F">
      <w:pPr>
        <w:pStyle w:val="GuidanceEnd"/>
      </w:pPr>
    </w:p>
    <w:p w14:paraId="20665E22" w14:textId="77777777" w:rsidR="001F33FF" w:rsidRDefault="001F33FF">
      <w:pPr>
        <w:keepLines w:val="0"/>
        <w:rPr>
          <w:rFonts w:asciiTheme="majorHAnsi" w:eastAsiaTheme="majorEastAsia" w:hAnsiTheme="majorHAnsi" w:cstheme="majorBidi"/>
          <w:b/>
          <w:sz w:val="26"/>
          <w:szCs w:val="26"/>
        </w:rPr>
      </w:pPr>
      <w:bookmarkStart w:id="183" w:name="_Toc64983187"/>
      <w:r>
        <w:br w:type="page"/>
      </w:r>
    </w:p>
    <w:p w14:paraId="6C6CE106" w14:textId="14A88797" w:rsidR="003719CD" w:rsidRDefault="003719CD" w:rsidP="007762BE">
      <w:pPr>
        <w:pStyle w:val="Heading2numbered"/>
        <w:ind w:left="851" w:hanging="851"/>
      </w:pPr>
      <w:bookmarkStart w:id="184" w:name="_Toc130226018"/>
      <w:bookmarkStart w:id="185" w:name="_Toc130289141"/>
      <w:bookmarkStart w:id="186" w:name="_Toc96709994"/>
      <w:r>
        <w:lastRenderedPageBreak/>
        <w:t>Other accounting policies</w:t>
      </w:r>
      <w:bookmarkEnd w:id="183"/>
      <w:bookmarkEnd w:id="184"/>
      <w:bookmarkEnd w:id="185"/>
      <w:bookmarkEnd w:id="186"/>
    </w:p>
    <w:p w14:paraId="2801A362" w14:textId="05F37518" w:rsidR="003719CD" w:rsidRDefault="003719CD" w:rsidP="007D536F">
      <w:pPr>
        <w:pStyle w:val="Heading3"/>
      </w:pPr>
      <w:r>
        <w:t xml:space="preserve">Contributions by owners </w:t>
      </w:r>
      <w:r w:rsidRPr="003C5ECC">
        <w:rPr>
          <w:rStyle w:val="Reference"/>
        </w:rPr>
        <w:t>[FRD 119, AASB Interpretation 1038.7]</w:t>
      </w:r>
    </w:p>
    <w:p w14:paraId="61E5B859" w14:textId="77777777" w:rsidR="003719CD" w:rsidRDefault="003719CD" w:rsidP="00DC39DE">
      <w:r>
        <w:t xml:space="preserve">Consistent with the requirements of AASB 1004 </w:t>
      </w:r>
      <w:r w:rsidRPr="003C5ECC">
        <w:rPr>
          <w:i/>
          <w:iCs/>
        </w:rPr>
        <w:t>Contributions</w:t>
      </w:r>
      <w:r>
        <w:t>, contributions by owners (that is, contributed capital and its repayment) are treated as equity transactions and, therefore, do not form part of the income and expenses of the Department.</w:t>
      </w:r>
    </w:p>
    <w:p w14:paraId="44DE0EB1" w14:textId="77777777" w:rsidR="003719CD" w:rsidRDefault="003719CD" w:rsidP="00DC39DE">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15E66668" w14:textId="77777777" w:rsidR="003719CD" w:rsidRDefault="003719CD" w:rsidP="00DC39DE">
      <w:r>
        <w:t>Transfers of net assets arising from administrative restructurings are treated as distributions to or contributions by owners. Transfers of net liabilities arising from administrative restructurings are treated as distributions to owners.</w:t>
      </w:r>
    </w:p>
    <w:p w14:paraId="42F36FE9" w14:textId="77777777" w:rsidR="003719CD" w:rsidRDefault="003719CD" w:rsidP="007D536F">
      <w:pPr>
        <w:pStyle w:val="Heading3"/>
      </w:pPr>
      <w:r>
        <w:t xml:space="preserve">Foreign currency balances/transactions </w:t>
      </w:r>
      <w:r w:rsidRPr="003C5ECC">
        <w:rPr>
          <w:rStyle w:val="Reference"/>
        </w:rPr>
        <w:t>[AASB 121.21 and 121.23]</w:t>
      </w:r>
    </w:p>
    <w:p w14:paraId="1019061A" w14:textId="77777777" w:rsidR="003719CD" w:rsidRDefault="003719CD" w:rsidP="00DC39DE">
      <w:r>
        <w:t xml:space="preserve">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Non-monetary assets carried at fair value that are denominated in foreign currencies are translated to the functional currency at the rates prevailing at the date when the fair value was determined. </w:t>
      </w:r>
    </w:p>
    <w:p w14:paraId="2B0BDFB9" w14:textId="77777777" w:rsidR="003719CD" w:rsidRDefault="003719CD" w:rsidP="00DC39DE">
      <w:r>
        <w:t>Foreign currency translation differences are recognised in other economic flows in the consolidated comprehensive operating statement and accumulated in a separate component of equity, in the period in which they arise.</w:t>
      </w:r>
    </w:p>
    <w:p w14:paraId="0192929A" w14:textId="77777777" w:rsidR="003719CD" w:rsidRDefault="003719CD" w:rsidP="00DC39DE"/>
    <w:p w14:paraId="6F0EE1FA" w14:textId="77777777" w:rsidR="003719CD" w:rsidRDefault="003719CD" w:rsidP="007D536F">
      <w:pPr>
        <w:pStyle w:val="GuidanceBlockHeading"/>
      </w:pPr>
      <w:r>
        <w:t>Guidance – Foreign Currency Disclosures</w:t>
      </w:r>
    </w:p>
    <w:p w14:paraId="29003154" w14:textId="77777777" w:rsidR="003719CD" w:rsidRPr="003C5ECC" w:rsidRDefault="003719CD" w:rsidP="007D536F">
      <w:pPr>
        <w:rPr>
          <w:rStyle w:val="Guidance"/>
        </w:rPr>
      </w:pPr>
      <w:r w:rsidRPr="003C5ECC">
        <w:rPr>
          <w:rStyle w:val="Guidance"/>
        </w:rPr>
        <w:t>The following disclosure may be appropriate for departments with foreign operations:</w:t>
      </w:r>
    </w:p>
    <w:p w14:paraId="07712C20" w14:textId="77777777" w:rsidR="003719CD" w:rsidRPr="003C5ECC" w:rsidRDefault="003719CD" w:rsidP="007D536F">
      <w:pPr>
        <w:rPr>
          <w:rStyle w:val="Guidance"/>
        </w:rPr>
      </w:pPr>
      <w:r w:rsidRPr="003C5ECC">
        <w:rPr>
          <w:rStyle w:val="Guidance"/>
        </w:rPr>
        <w:t>‘The presentation currency of Department [insert entity name] is the Australian dollar. The functional currency of each subsidiary throughout the group is generally the local currency. For consolidation purposes, assets and liabilities of these subsidiaries are translated at the closing rate at the end of the reporting period. Income and expense items are translated at the average exchange rate for the period. The effects of translating the financial position and results of operations from local functional currencies are included in other comprehensive income.’</w:t>
      </w:r>
    </w:p>
    <w:p w14:paraId="1BB67B7A" w14:textId="77777777" w:rsidR="003719CD" w:rsidRDefault="003719CD" w:rsidP="007D536F">
      <w:pPr>
        <w:pStyle w:val="GuidanceEnd"/>
      </w:pPr>
    </w:p>
    <w:p w14:paraId="33F2E324" w14:textId="77777777" w:rsidR="001F33FF" w:rsidRDefault="001F33FF">
      <w:pPr>
        <w:keepLines w:val="0"/>
        <w:rPr>
          <w:rStyle w:val="Reference"/>
          <w:rFonts w:asciiTheme="majorHAnsi" w:eastAsiaTheme="majorEastAsia" w:hAnsiTheme="majorHAnsi" w:cstheme="majorBidi"/>
          <w:b/>
          <w:szCs w:val="26"/>
        </w:rPr>
      </w:pPr>
      <w:bookmarkStart w:id="187" w:name="_Toc64983188"/>
      <w:r>
        <w:rPr>
          <w:rStyle w:val="Reference"/>
        </w:rPr>
        <w:br w:type="page"/>
      </w:r>
    </w:p>
    <w:p w14:paraId="42ABC578" w14:textId="0039F911" w:rsidR="003719CD" w:rsidRDefault="003719CD" w:rsidP="007762BE">
      <w:pPr>
        <w:pStyle w:val="Heading2numbered"/>
        <w:ind w:left="851" w:hanging="851"/>
      </w:pPr>
      <w:bookmarkStart w:id="188" w:name="_Toc130226019"/>
      <w:bookmarkStart w:id="189" w:name="_Toc130289142"/>
      <w:bookmarkStart w:id="190" w:name="_Toc96709995"/>
      <w:r w:rsidRPr="004251CF">
        <w:lastRenderedPageBreak/>
        <w:t xml:space="preserve">Australian Accounting Standards issued that are not yet effective </w:t>
      </w:r>
      <w:r w:rsidR="0043449F" w:rsidRPr="00432865">
        <w:rPr>
          <w:color w:val="7030A0"/>
        </w:rPr>
        <w:t xml:space="preserve">[REVISED] </w:t>
      </w:r>
      <w:r w:rsidRPr="004251CF">
        <w:rPr>
          <w:rStyle w:val="Reference"/>
        </w:rPr>
        <w:t>[AASB 108.30-31]</w:t>
      </w:r>
      <w:bookmarkEnd w:id="187"/>
      <w:bookmarkEnd w:id="188"/>
      <w:bookmarkEnd w:id="189"/>
      <w:bookmarkEnd w:id="190"/>
      <w:r w:rsidR="0043449F">
        <w:rPr>
          <w:rStyle w:val="Reference"/>
        </w:rPr>
        <w:t xml:space="preserve"> </w:t>
      </w:r>
    </w:p>
    <w:p w14:paraId="52C377BE" w14:textId="311BB0A8" w:rsidR="003719CD" w:rsidRDefault="003719CD" w:rsidP="00DC39DE">
      <w:r>
        <w:t xml:space="preserve">Certain new and revised accounting standards have been issued but are not effective for the </w:t>
      </w:r>
      <w:fldSimple w:instr="DOCPROPERTY  FinYearCurrent  \* MERGEFORMAT">
        <w:r w:rsidR="00D530EA">
          <w:t>20X1</w:t>
        </w:r>
        <w:r w:rsidR="00D530EA" w:rsidRPr="00D530EA">
          <w:rPr>
            <w:rFonts w:ascii="Cambria Math" w:hAnsi="Cambria Math" w:cs="Cambria Math"/>
          </w:rPr>
          <w:t>‑</w:t>
        </w:r>
        <w:r w:rsidR="00D530EA">
          <w:t>X2</w:t>
        </w:r>
      </w:fldSimple>
      <w:r>
        <w:t xml:space="preserve"> reporting period. These accounting standards have not been applied to the Model Financial Statements. </w:t>
      </w:r>
    </w:p>
    <w:p w14:paraId="3D7FB236" w14:textId="10DD27E4" w:rsidR="00586AEE" w:rsidRDefault="003719CD" w:rsidP="00E44039">
      <w:pPr>
        <w:rPr>
          <w:b/>
        </w:rPr>
      </w:pPr>
      <w:r w:rsidRPr="00CD06B1">
        <w:rPr>
          <w:b/>
        </w:rPr>
        <w:t xml:space="preserve">AASB </w:t>
      </w:r>
      <w:r w:rsidR="00586AEE" w:rsidRPr="00CD06B1">
        <w:rPr>
          <w:b/>
        </w:rPr>
        <w:t>202</w:t>
      </w:r>
      <w:r w:rsidR="00586AEE">
        <w:rPr>
          <w:b/>
        </w:rPr>
        <w:t>2</w:t>
      </w:r>
      <w:r w:rsidR="00586AEE" w:rsidRPr="00CD06B1">
        <w:rPr>
          <w:b/>
        </w:rPr>
        <w:t>-</w:t>
      </w:r>
      <w:r w:rsidR="00586AEE">
        <w:rPr>
          <w:b/>
        </w:rPr>
        <w:t>10</w:t>
      </w:r>
      <w:r w:rsidR="00586AEE" w:rsidRPr="00CD06B1">
        <w:rPr>
          <w:b/>
        </w:rPr>
        <w:t xml:space="preserve"> </w:t>
      </w:r>
      <w:r w:rsidR="00586AEE" w:rsidRPr="00CD06B1">
        <w:rPr>
          <w:b/>
          <w:i/>
        </w:rPr>
        <w:t xml:space="preserve">Amendments to Australian Accounting Standards – </w:t>
      </w:r>
      <w:r w:rsidR="00586AEE">
        <w:rPr>
          <w:b/>
          <w:i/>
        </w:rPr>
        <w:t>Fair Value Measurement of Non-Financial Assets of Not-for-Profit Public Sector Entities</w:t>
      </w:r>
    </w:p>
    <w:p w14:paraId="1BD2ACE4" w14:textId="77777777" w:rsidR="00586749" w:rsidRPr="00432865" w:rsidRDefault="00586749" w:rsidP="00432865">
      <w:pPr>
        <w:spacing w:before="120" w:line="276" w:lineRule="auto"/>
      </w:pPr>
      <w:r w:rsidRPr="00432865">
        <w:t>AASB 2022-</w:t>
      </w:r>
      <w:r w:rsidRPr="00432865">
        <w:rPr>
          <w:i/>
          <w:iCs/>
        </w:rPr>
        <w:t xml:space="preserve">10 </w:t>
      </w:r>
      <w:r w:rsidRPr="00432865">
        <w:t>Amendments to Australian Accounting Standards –</w:t>
      </w:r>
      <w:r w:rsidRPr="00432865">
        <w:rPr>
          <w:i/>
          <w:iCs/>
        </w:rPr>
        <w:t xml:space="preserve"> </w:t>
      </w:r>
      <w:r w:rsidRPr="00432865">
        <w:t xml:space="preserve">Fair Value Measurement of Non-Financial Assets of Not-for-Profit Public Sector Entities amended AASB 13 by adding Appendix F Australian implementation guidance for not-for-profit public sector entities. Appendix F explains and illustrates the application of the principles in AASB 13 on developing unobservable inputs and the application of the cost approach. </w:t>
      </w:r>
      <w:r w:rsidRPr="00EA4FCD">
        <w:t xml:space="preserve">These clarifications are mandatorily applicable annual reporting periods beginning on or after 1 January 2024. </w:t>
      </w:r>
      <w:r w:rsidRPr="00432865">
        <w:t xml:space="preserve">FRD 103 permits Victorian public sector entities to apply Appendix F of AASB 13 in their next scheduled formal asset revaluation or interim revaluation (whichever is earlier). </w:t>
      </w:r>
    </w:p>
    <w:p w14:paraId="7C3F5DF9" w14:textId="77777777" w:rsidR="00586749" w:rsidRDefault="00586749" w:rsidP="00432865">
      <w:pPr>
        <w:spacing w:before="120" w:line="276" w:lineRule="auto"/>
      </w:pPr>
      <w:r w:rsidRPr="00EA4FCD">
        <w:t xml:space="preserve">In accordance with FRD 103, the Department will apply Appendix F of AASB 13 in its next scheduled formal revaluation in 20X5 or interim revaluation process (whichever is earlier). [Entities to tailor as appropriate depending on their next scheduled formal revaluation including disclosing whether they expect any material impacts to arise from the amendment or still in the process of assessing the potential impact of this amendment]. </w:t>
      </w:r>
    </w:p>
    <w:p w14:paraId="03D7DC74" w14:textId="77777777" w:rsidR="00E44039" w:rsidRDefault="003719CD" w:rsidP="00E44039">
      <w:r w:rsidRPr="00CF11AB">
        <w:rPr>
          <w:b/>
          <w:bCs/>
        </w:rPr>
        <w:t xml:space="preserve">AASB 17 </w:t>
      </w:r>
      <w:r w:rsidRPr="00CF11AB">
        <w:rPr>
          <w:b/>
          <w:bCs/>
          <w:i/>
          <w:iCs/>
        </w:rPr>
        <w:t>Insurance Contracts</w:t>
      </w:r>
      <w:r w:rsidR="00945AF5" w:rsidRPr="00CF11AB">
        <w:rPr>
          <w:b/>
          <w:bCs/>
        </w:rPr>
        <w:t>,</w:t>
      </w:r>
      <w:r w:rsidR="00945AF5">
        <w:rPr>
          <w:b/>
        </w:rPr>
        <w:t xml:space="preserve"> AASB 2022-8 </w:t>
      </w:r>
      <w:r w:rsidR="00945AF5" w:rsidRPr="002F6D1B">
        <w:rPr>
          <w:b/>
          <w:i/>
          <w:iCs/>
        </w:rPr>
        <w:t>Amendments to Australian Accounting Standards – Insurance Contracts: Consequential Amendments</w:t>
      </w:r>
      <w:r w:rsidR="00945AF5" w:rsidRPr="00945AF5">
        <w:rPr>
          <w:b/>
        </w:rPr>
        <w:t xml:space="preserve"> </w:t>
      </w:r>
      <w:r w:rsidR="00945AF5">
        <w:rPr>
          <w:b/>
        </w:rPr>
        <w:t xml:space="preserve">and </w:t>
      </w:r>
      <w:r w:rsidR="00E44039" w:rsidRPr="00CD06B1">
        <w:rPr>
          <w:b/>
        </w:rPr>
        <w:t>AASB 202</w:t>
      </w:r>
      <w:r w:rsidR="00E44039">
        <w:rPr>
          <w:b/>
        </w:rPr>
        <w:t>2</w:t>
      </w:r>
      <w:r w:rsidR="00E44039" w:rsidRPr="00CD06B1">
        <w:rPr>
          <w:b/>
        </w:rPr>
        <w:t>-</w:t>
      </w:r>
      <w:r w:rsidR="00E44039">
        <w:rPr>
          <w:b/>
        </w:rPr>
        <w:t>9</w:t>
      </w:r>
      <w:r w:rsidR="00E44039" w:rsidRPr="00CD06B1">
        <w:rPr>
          <w:b/>
        </w:rPr>
        <w:t xml:space="preserve"> </w:t>
      </w:r>
      <w:r w:rsidR="00E44039" w:rsidRPr="00CD06B1">
        <w:rPr>
          <w:b/>
          <w:i/>
        </w:rPr>
        <w:t xml:space="preserve">Amendments to Australian Accounting Standards – </w:t>
      </w:r>
      <w:r w:rsidR="00E44039">
        <w:rPr>
          <w:b/>
          <w:i/>
        </w:rPr>
        <w:t>Insurance Contracts in the Public Sector</w:t>
      </w:r>
    </w:p>
    <w:p w14:paraId="0B31127B" w14:textId="77777777" w:rsidR="00945AF5" w:rsidRDefault="00C76986" w:rsidP="00756E91">
      <w:pPr>
        <w:spacing w:before="120" w:line="276" w:lineRule="auto"/>
      </w:pPr>
      <w:r>
        <w:t xml:space="preserve">AASB 17 replaces AASB 4 </w:t>
      </w:r>
      <w:r w:rsidRPr="000019C8">
        <w:rPr>
          <w:i/>
          <w:iCs/>
        </w:rPr>
        <w:t>Insurance Contracts</w:t>
      </w:r>
      <w:r>
        <w:t xml:space="preserve">, AASB 1023 </w:t>
      </w:r>
      <w:r w:rsidRPr="00EE577E">
        <w:rPr>
          <w:i/>
          <w:iCs/>
        </w:rPr>
        <w:t>General Insurance Contracts</w:t>
      </w:r>
      <w:r>
        <w:t xml:space="preserve"> and AASB 1038 </w:t>
      </w:r>
      <w:r w:rsidRPr="00EE577E">
        <w:rPr>
          <w:i/>
          <w:iCs/>
        </w:rPr>
        <w:t>Life Insurance Contracts</w:t>
      </w:r>
      <w:r>
        <w:rPr>
          <w:i/>
          <w:iCs/>
        </w:rPr>
        <w:t xml:space="preserve"> </w:t>
      </w:r>
      <w:r>
        <w:t xml:space="preserve">for not-for-profit public sector entities for </w:t>
      </w:r>
      <w:r w:rsidR="0026264C">
        <w:t xml:space="preserve">annual </w:t>
      </w:r>
      <w:r>
        <w:t xml:space="preserve">reporting periods beginning on or after </w:t>
      </w:r>
      <w:r w:rsidR="0026264C">
        <w:t>1 July 2026.</w:t>
      </w:r>
    </w:p>
    <w:p w14:paraId="749E9EF8" w14:textId="316598A1" w:rsidR="0026264C" w:rsidRDefault="0026264C" w:rsidP="00756E91">
      <w:pPr>
        <w:spacing w:before="120" w:line="276" w:lineRule="auto"/>
      </w:pPr>
      <w:r>
        <w:t>AASB 2022-9 amends AASB 17 to make public sector-related modifications</w:t>
      </w:r>
      <w:r w:rsidR="002053A6">
        <w:t xml:space="preserve"> (</w:t>
      </w:r>
      <w:r w:rsidR="00BF6A4D">
        <w:t>e.g.</w:t>
      </w:r>
      <w:r w:rsidR="002053A6">
        <w:t xml:space="preserve"> it specifies the pre-requisites, indicators and other considerations in identifying arrangements that fall within the scope of AASB 17 in a public sector context).</w:t>
      </w:r>
      <w:r w:rsidR="000D6BED">
        <w:t xml:space="preserve"> </w:t>
      </w:r>
      <w:r w:rsidR="00290369">
        <w:t>This Standard applies for annual reporting periods beginning on or after 1 July 2026.</w:t>
      </w:r>
    </w:p>
    <w:p w14:paraId="04458955" w14:textId="77777777" w:rsidR="00BF5A47" w:rsidRDefault="00BF5A47" w:rsidP="00756E91">
      <w:pPr>
        <w:spacing w:before="120" w:line="276" w:lineRule="auto"/>
      </w:pPr>
      <w:r>
        <w:t xml:space="preserve">AASB 2022-8 </w:t>
      </w:r>
      <w:r w:rsidR="00596707">
        <w:t xml:space="preserve">makes consequential amendments to other Australian Accounting Standards </w:t>
      </w:r>
      <w:r w:rsidR="009246FD">
        <w:t xml:space="preserve">so that public sector entities </w:t>
      </w:r>
      <w:r w:rsidR="001F7DB4">
        <w:t xml:space="preserve">are permitted to continue to apply AASB 4 and AASB 1023 to annual periods </w:t>
      </w:r>
      <w:r w:rsidR="00B7384F">
        <w:t>before 1 July 2026</w:t>
      </w:r>
      <w:r w:rsidR="002A5563">
        <w:t>.</w:t>
      </w:r>
      <w:r w:rsidR="00290369">
        <w:t xml:space="preserve"> This Standard applies for annual reporting periods beginning on or after 1 </w:t>
      </w:r>
      <w:r w:rsidR="00B95C1F">
        <w:t>January 2023</w:t>
      </w:r>
      <w:r w:rsidR="00290369">
        <w:t>.</w:t>
      </w:r>
    </w:p>
    <w:p w14:paraId="0DAD5A10" w14:textId="77777777" w:rsidR="00AC414E" w:rsidRPr="00BB308B" w:rsidRDefault="00AC414E" w:rsidP="00BB308B">
      <w:pPr>
        <w:spacing w:before="60" w:after="60"/>
        <w:rPr>
          <w:b/>
          <w:bCs/>
        </w:rPr>
      </w:pPr>
      <w:r w:rsidRPr="00BB308B">
        <w:rPr>
          <w:b/>
          <w:bCs/>
        </w:rPr>
        <w:t xml:space="preserve">AASB 2024-2 </w:t>
      </w:r>
      <w:r w:rsidRPr="00BB308B">
        <w:rPr>
          <w:b/>
          <w:bCs/>
          <w:i/>
          <w:iCs/>
        </w:rPr>
        <w:t>Amendments to Australian Accounting Standards – Classification and Measurement of Financial Instruments</w:t>
      </w:r>
    </w:p>
    <w:p w14:paraId="4E64BF13" w14:textId="77777777" w:rsidR="00AC414E" w:rsidRDefault="00AC414E" w:rsidP="00BB308B">
      <w:pPr>
        <w:spacing w:before="60" w:after="60"/>
      </w:pPr>
      <w:r>
        <w:t xml:space="preserve">AASB 2024-2 amends AASB 7 </w:t>
      </w:r>
      <w:r w:rsidRPr="00BB308B">
        <w:rPr>
          <w:i/>
          <w:iCs/>
        </w:rPr>
        <w:t xml:space="preserve">Financial Instruments: Disclosures </w:t>
      </w:r>
      <w:r>
        <w:t xml:space="preserve">and AASB 9 </w:t>
      </w:r>
      <w:r w:rsidRPr="00BB308B">
        <w:rPr>
          <w:i/>
          <w:iCs/>
        </w:rPr>
        <w:t>Financial Instruments</w:t>
      </w:r>
      <w:r>
        <w:t>.</w:t>
      </w:r>
    </w:p>
    <w:p w14:paraId="0A031CA3" w14:textId="219D13E9" w:rsidR="00AC414E" w:rsidRDefault="00AC414E" w:rsidP="00BB308B">
      <w:pPr>
        <w:spacing w:before="60" w:after="60"/>
      </w:pPr>
      <w:r>
        <w:t>AASB 2024-2 amends requirements relat</w:t>
      </w:r>
      <w:r w:rsidR="0081090F">
        <w:t>ing</w:t>
      </w:r>
      <w:r>
        <w:t xml:space="preserve"> to:</w:t>
      </w:r>
    </w:p>
    <w:p w14:paraId="7F511D2C" w14:textId="221186B2" w:rsidR="0091556D" w:rsidRDefault="00AC414E" w:rsidP="0091556D">
      <w:pPr>
        <w:pStyle w:val="ListParagraph"/>
        <w:numPr>
          <w:ilvl w:val="0"/>
          <w:numId w:val="65"/>
        </w:numPr>
        <w:spacing w:before="60" w:after="60"/>
      </w:pPr>
      <w:r>
        <w:t xml:space="preserve">settling financial liabilities using an electronic payment system </w:t>
      </w:r>
    </w:p>
    <w:p w14:paraId="1684427F" w14:textId="15692538" w:rsidR="0091556D" w:rsidRDefault="00AC414E" w:rsidP="0091556D">
      <w:pPr>
        <w:pStyle w:val="ListParagraph"/>
        <w:numPr>
          <w:ilvl w:val="0"/>
          <w:numId w:val="65"/>
        </w:numPr>
        <w:spacing w:before="60" w:after="60"/>
      </w:pPr>
      <w:r>
        <w:t>assessing contractual cash flow characteristics of financial assets with environmental, social and corporate governance (ESG) and similar features</w:t>
      </w:r>
    </w:p>
    <w:p w14:paraId="743FEAF6" w14:textId="179DA9B5" w:rsidR="00AC414E" w:rsidRDefault="00AC414E" w:rsidP="00F173B8">
      <w:pPr>
        <w:pStyle w:val="ListParagraph"/>
        <w:numPr>
          <w:ilvl w:val="0"/>
          <w:numId w:val="65"/>
        </w:numPr>
        <w:spacing w:before="60" w:after="60"/>
      </w:pPr>
      <w:r>
        <w:t>disclosure requirements for investments in equity instruments designated at fair value through other comprehensive income and financial instruments with contingent features that do not relate directly to basic lending risks and costs.</w:t>
      </w:r>
    </w:p>
    <w:p w14:paraId="5325E6C3" w14:textId="77777777" w:rsidR="00AC414E" w:rsidRPr="00346B8E" w:rsidRDefault="00AC414E" w:rsidP="00F173B8">
      <w:pPr>
        <w:spacing w:before="60" w:after="60"/>
      </w:pPr>
      <w:r>
        <w:t>This amendment applies to annual reporting periods beginning on or after 1 January 2026.</w:t>
      </w:r>
    </w:p>
    <w:p w14:paraId="212B34F3" w14:textId="77777777" w:rsidR="00BB002C" w:rsidRPr="003E3286" w:rsidRDefault="00BB002C" w:rsidP="00BB002C">
      <w:pPr>
        <w:pStyle w:val="ListBullet"/>
        <w:numPr>
          <w:ilvl w:val="0"/>
          <w:numId w:val="0"/>
        </w:numPr>
        <w:rPr>
          <w:b/>
          <w:bCs/>
        </w:rPr>
      </w:pPr>
      <w:r w:rsidRPr="003E3286">
        <w:rPr>
          <w:b/>
          <w:bCs/>
        </w:rPr>
        <w:t xml:space="preserve">AASB 18 </w:t>
      </w:r>
      <w:r w:rsidRPr="003E3286">
        <w:rPr>
          <w:b/>
          <w:bCs/>
          <w:i/>
          <w:iCs/>
        </w:rPr>
        <w:t>Presentation and Disclosure of Financial Statements</w:t>
      </w:r>
    </w:p>
    <w:p w14:paraId="119B11A4" w14:textId="77777777" w:rsidR="00BB002C" w:rsidRPr="003E3286" w:rsidRDefault="00BB002C" w:rsidP="00BB002C">
      <w:pPr>
        <w:pStyle w:val="ListBullet"/>
        <w:numPr>
          <w:ilvl w:val="0"/>
          <w:numId w:val="0"/>
        </w:numPr>
      </w:pPr>
      <w:r>
        <w:t xml:space="preserve">AASB 18 replaces AASB 101 </w:t>
      </w:r>
      <w:r w:rsidRPr="003E3286">
        <w:rPr>
          <w:i/>
          <w:iCs/>
        </w:rPr>
        <w:t>Presentation of Financial Statements</w:t>
      </w:r>
      <w:r w:rsidRPr="003E3286">
        <w:t xml:space="preserve"> to improve how entities communicate in their financial statements, with a particular focus on information about financial performance in the statement of profit or loss.</w:t>
      </w:r>
    </w:p>
    <w:p w14:paraId="00D8775C" w14:textId="63CF79A3" w:rsidR="00BB002C" w:rsidRDefault="00BB002C" w:rsidP="0003012C">
      <w:pPr>
        <w:pStyle w:val="ListBullet"/>
        <w:numPr>
          <w:ilvl w:val="0"/>
          <w:numId w:val="0"/>
        </w:numPr>
      </w:pPr>
      <w:r w:rsidRPr="003E3286">
        <w:t>The key presentation and disclosure requirements established by AASB 18 is the presentation of newly defined subtotals in the statement of profit or loss.</w:t>
      </w:r>
      <w:r>
        <w:t xml:space="preserve"> </w:t>
      </w:r>
    </w:p>
    <w:p w14:paraId="0B67BE7F" w14:textId="48C636FE" w:rsidR="00BB002C" w:rsidRDefault="00BB002C" w:rsidP="00BB002C">
      <w:pPr>
        <w:pStyle w:val="ListBullet"/>
        <w:numPr>
          <w:ilvl w:val="0"/>
          <w:numId w:val="0"/>
        </w:numPr>
      </w:pPr>
      <w:r>
        <w:t>AASB 18 applies to annual reporting periods beginning on or after 1 January 2027 for for-profit entities and applies to annual reporting periods beginning on or after 1 January 2028 for not-for-profit entities.</w:t>
      </w:r>
      <w:r w:rsidR="007D5C95">
        <w:t xml:space="preserve"> </w:t>
      </w:r>
      <w:r w:rsidR="00395E81">
        <w:t xml:space="preserve">The delayed date of one year will allow the </w:t>
      </w:r>
      <w:r w:rsidR="007D5C95">
        <w:t xml:space="preserve">AASB </w:t>
      </w:r>
      <w:r w:rsidR="00395E81">
        <w:t xml:space="preserve">to consult with stakeholders and consider potential modifications for application by not-for-profit public sector entities. </w:t>
      </w:r>
    </w:p>
    <w:p w14:paraId="11AAE184" w14:textId="37932EA6" w:rsidR="0047336F" w:rsidRDefault="003719CD" w:rsidP="00733105">
      <w:r>
        <w:t xml:space="preserve">The Department is </w:t>
      </w:r>
      <w:r w:rsidR="0047336F" w:rsidRPr="000A7CC0">
        <w:t xml:space="preserve">currently </w:t>
      </w:r>
      <w:r>
        <w:t xml:space="preserve">in the process of </w:t>
      </w:r>
      <w:r w:rsidR="0047336F" w:rsidRPr="000A7CC0">
        <w:t>assessing the potential</w:t>
      </w:r>
      <w:r>
        <w:t xml:space="preserve"> impact</w:t>
      </w:r>
      <w:r w:rsidR="000A7CC0" w:rsidRPr="005468B5">
        <w:t xml:space="preserve"> of </w:t>
      </w:r>
      <w:r w:rsidR="000A7CC0" w:rsidRPr="003654D3">
        <w:t>the</w:t>
      </w:r>
      <w:r w:rsidR="00FF08DD">
        <w:t>se</w:t>
      </w:r>
      <w:r w:rsidR="000A7CC0" w:rsidRPr="005468B5">
        <w:t xml:space="preserve"> </w:t>
      </w:r>
      <w:r>
        <w:t xml:space="preserve">standards and </w:t>
      </w:r>
      <w:r w:rsidR="000A7CC0" w:rsidRPr="003654D3">
        <w:t>amendments</w:t>
      </w:r>
      <w:r w:rsidR="000A7CC0" w:rsidRPr="000A7CC0">
        <w:t>.</w:t>
      </w:r>
    </w:p>
    <w:p w14:paraId="18FDE394" w14:textId="27895C09" w:rsidR="001F33FF" w:rsidRDefault="0047336F" w:rsidP="00DF3C91">
      <w:pPr>
        <w:pStyle w:val="ListBullet"/>
        <w:numPr>
          <w:ilvl w:val="0"/>
          <w:numId w:val="0"/>
        </w:numPr>
      </w:pPr>
      <w:r>
        <w:t>A number of o</w:t>
      </w:r>
      <w:r w:rsidR="00733105">
        <w:t>ther standard</w:t>
      </w:r>
      <w:r w:rsidR="00671438">
        <w:t>s and amendments</w:t>
      </w:r>
      <w:r w:rsidR="00733105">
        <w:t xml:space="preserve"> </w:t>
      </w:r>
      <w:r>
        <w:t>have also</w:t>
      </w:r>
      <w:r w:rsidR="00733105">
        <w:t xml:space="preserve"> </w:t>
      </w:r>
      <w:r w:rsidR="003719CD">
        <w:t xml:space="preserve">been issued that apply to future reporting periods, </w:t>
      </w:r>
      <w:r w:rsidR="00D92C13">
        <w:t xml:space="preserve">however they </w:t>
      </w:r>
      <w:r w:rsidR="003719CD">
        <w:t xml:space="preserve">are </w:t>
      </w:r>
      <w:r w:rsidR="00D92C13">
        <w:t>not expected</w:t>
      </w:r>
      <w:r w:rsidR="003719CD">
        <w:t xml:space="preserve"> to have </w:t>
      </w:r>
      <w:r w:rsidR="00D92C13">
        <w:t>any significant</w:t>
      </w:r>
      <w:r w:rsidR="003719CD">
        <w:t xml:space="preserve"> impact on the </w:t>
      </w:r>
      <w:r w:rsidR="00671438">
        <w:t xml:space="preserve">financial statements </w:t>
      </w:r>
      <w:r w:rsidR="00393CD0">
        <w:t>in the period</w:t>
      </w:r>
      <w:r w:rsidR="00966B6B" w:rsidRPr="00966B6B">
        <w:rPr>
          <w:i/>
          <w:iCs/>
        </w:rPr>
        <w:t xml:space="preserve"> of </w:t>
      </w:r>
      <w:r w:rsidR="00393CD0">
        <w:t>initial application</w:t>
      </w:r>
      <w:r w:rsidR="00733105">
        <w:t xml:space="preserve">. </w:t>
      </w:r>
    </w:p>
    <w:p w14:paraId="6562497E" w14:textId="27F46BAC" w:rsidR="003719CD" w:rsidRDefault="003719CD" w:rsidP="007D536F">
      <w:pPr>
        <w:pStyle w:val="GuidanceBlockHeading"/>
      </w:pPr>
      <w:r w:rsidRPr="0096716F">
        <w:lastRenderedPageBreak/>
        <w:t>Guidance – New Accounting Standards and interpretations</w:t>
      </w:r>
    </w:p>
    <w:p w14:paraId="06AA5E96" w14:textId="77777777" w:rsidR="003719CD" w:rsidRPr="0096716F" w:rsidRDefault="003719CD" w:rsidP="007D536F">
      <w:pPr>
        <w:pStyle w:val="GuidanceHeading"/>
        <w:rPr>
          <w:rStyle w:val="Guidance"/>
        </w:rPr>
      </w:pPr>
      <w:r w:rsidRPr="0096716F">
        <w:rPr>
          <w:rStyle w:val="Guidance"/>
        </w:rPr>
        <w:t xml:space="preserve">AAS issued but not yet effective </w:t>
      </w:r>
      <w:r w:rsidRPr="0096716F">
        <w:rPr>
          <w:rStyle w:val="Reference"/>
        </w:rPr>
        <w:t>[AASB 108.30]</w:t>
      </w:r>
    </w:p>
    <w:p w14:paraId="50FB64FA" w14:textId="033FBBC3" w:rsidR="003719CD" w:rsidRPr="0096716F" w:rsidRDefault="003719CD" w:rsidP="007D536F">
      <w:pPr>
        <w:rPr>
          <w:rStyle w:val="Guidance"/>
        </w:rPr>
      </w:pPr>
      <w:r w:rsidRPr="0096716F">
        <w:rPr>
          <w:rStyle w:val="Guidance"/>
        </w:rPr>
        <w:t xml:space="preserve">Certain new Australian Accounting Standards (AAS) have been published which are not mandatory for the 30 June </w:t>
      </w:r>
      <w:r>
        <w:rPr>
          <w:rStyle w:val="Guidance"/>
        </w:rPr>
        <w:fldChar w:fldCharType="begin"/>
      </w:r>
      <w:r>
        <w:rPr>
          <w:rStyle w:val="Guidance"/>
        </w:rPr>
        <w:instrText xml:space="preserve"> DOCPROPERTY  YearCurrent  \* MERGEFORMAT </w:instrText>
      </w:r>
      <w:r>
        <w:rPr>
          <w:rStyle w:val="Guidance"/>
        </w:rPr>
        <w:fldChar w:fldCharType="separate"/>
      </w:r>
      <w:r w:rsidR="00A545BA">
        <w:rPr>
          <w:rStyle w:val="Guidance"/>
        </w:rPr>
        <w:t>20X2</w:t>
      </w:r>
      <w:r>
        <w:rPr>
          <w:rStyle w:val="Guidance"/>
        </w:rPr>
        <w:fldChar w:fldCharType="end"/>
      </w:r>
      <w:r w:rsidRPr="0096716F">
        <w:rPr>
          <w:rStyle w:val="Guidance"/>
        </w:rPr>
        <w:t xml:space="preserve"> reporting period. DTF assesses the impact of all these new standards and advises the </w:t>
      </w:r>
      <w:r w:rsidR="00BE5A59">
        <w:rPr>
          <w:rStyle w:val="Guidance"/>
        </w:rPr>
        <w:t>d</w:t>
      </w:r>
      <w:r w:rsidRPr="0096716F">
        <w:rPr>
          <w:rStyle w:val="Guidance"/>
        </w:rPr>
        <w:t xml:space="preserve">epartment of their applicability and early adoption where applicable. </w:t>
      </w:r>
    </w:p>
    <w:p w14:paraId="575DA568" w14:textId="407207FC" w:rsidR="003719CD" w:rsidRPr="0096716F" w:rsidRDefault="003719CD" w:rsidP="007D536F">
      <w:pPr>
        <w:rPr>
          <w:rStyle w:val="Guidance"/>
        </w:rPr>
      </w:pPr>
      <w:r w:rsidRPr="0096716F">
        <w:rPr>
          <w:rStyle w:val="Guidance"/>
        </w:rPr>
        <w:t xml:space="preserve">The latest listing on impacts of AASs that are issued but not yet effective will be issued as </w:t>
      </w:r>
      <w:r w:rsidRPr="00432865">
        <w:rPr>
          <w:rStyle w:val="Guidance"/>
        </w:rPr>
        <w:t>Appendix 2 of FRD 120</w:t>
      </w:r>
      <w:r w:rsidRPr="0096716F">
        <w:rPr>
          <w:rStyle w:val="Guidance"/>
        </w:rPr>
        <w:t>. Entities are advised to refer to this appendix to assist them in disclosing the impacts of AASs issued not yet effective, as required by AASB 108.</w:t>
      </w:r>
    </w:p>
    <w:p w14:paraId="3E9F77C6" w14:textId="77777777" w:rsidR="003719CD" w:rsidRPr="0096716F" w:rsidRDefault="003719CD" w:rsidP="007D536F">
      <w:pPr>
        <w:rPr>
          <w:rStyle w:val="Guidance"/>
        </w:rPr>
      </w:pPr>
      <w:r w:rsidRPr="0096716F">
        <w:rPr>
          <w:rStyle w:val="Guidance"/>
        </w:rPr>
        <w:t>Entities will need to exercise judgement in deciding which issued but not yet effective standards may have material impacts on their entities and not just reallocate this section of the FRD into their annual reports.</w:t>
      </w:r>
    </w:p>
    <w:p w14:paraId="24F0255D" w14:textId="1474D6C5" w:rsidR="003719CD" w:rsidRPr="0096716F" w:rsidRDefault="003719CD" w:rsidP="00CD06B1">
      <w:pPr>
        <w:rPr>
          <w:rStyle w:val="Guidance"/>
        </w:rPr>
      </w:pPr>
      <w:r w:rsidRPr="0096716F">
        <w:rPr>
          <w:rStyle w:val="Guidance"/>
        </w:rPr>
        <w:t>When an entity has not applied a new AAS that has been issued but is not yet effective, the entity shall disclose</w:t>
      </w:r>
      <w:r w:rsidR="00BE5A59">
        <w:rPr>
          <w:rStyle w:val="Guidance"/>
        </w:rPr>
        <w:t xml:space="preserve"> this fact</w:t>
      </w:r>
      <w:r w:rsidR="00BE794A">
        <w:rPr>
          <w:rStyle w:val="Guidance"/>
        </w:rPr>
        <w:t>,</w:t>
      </w:r>
      <w:r w:rsidR="00BE5A59">
        <w:rPr>
          <w:rStyle w:val="Guidance"/>
        </w:rPr>
        <w:t xml:space="preserve"> as well as </w:t>
      </w:r>
      <w:r w:rsidRPr="0096716F">
        <w:rPr>
          <w:rStyle w:val="Guidance"/>
        </w:rPr>
        <w:t>known or reasonably estimable information relevant to assessing the possible impact that application of the new AAS will have on the entity’s financial statements in the period of initial application.</w:t>
      </w:r>
    </w:p>
    <w:p w14:paraId="2BD61E9A" w14:textId="77777777" w:rsidR="003719CD" w:rsidRPr="0096716F" w:rsidRDefault="003719CD" w:rsidP="007D536F">
      <w:pPr>
        <w:rPr>
          <w:rStyle w:val="Guidance"/>
        </w:rPr>
      </w:pPr>
      <w:r w:rsidRPr="0096716F">
        <w:rPr>
          <w:rStyle w:val="Guidance"/>
        </w:rPr>
        <w:t>In complying with the requirement above, an entity considers disclosing:</w:t>
      </w:r>
    </w:p>
    <w:p w14:paraId="5060CE2A" w14:textId="61600128" w:rsidR="003719CD" w:rsidRPr="0096716F" w:rsidRDefault="003719CD" w:rsidP="00310F12">
      <w:pPr>
        <w:pStyle w:val="ListBullet"/>
        <w:rPr>
          <w:rStyle w:val="Guidance"/>
        </w:rPr>
      </w:pPr>
      <w:r w:rsidRPr="0096716F">
        <w:rPr>
          <w:rStyle w:val="Guidance"/>
        </w:rPr>
        <w:t>the title of the new AAS</w:t>
      </w:r>
    </w:p>
    <w:p w14:paraId="2CD20164" w14:textId="3B194136" w:rsidR="003719CD" w:rsidRPr="0096716F" w:rsidRDefault="003719CD" w:rsidP="00310F12">
      <w:pPr>
        <w:pStyle w:val="ListBullet"/>
        <w:rPr>
          <w:rStyle w:val="Guidance"/>
        </w:rPr>
      </w:pPr>
      <w:r w:rsidRPr="0096716F">
        <w:rPr>
          <w:rStyle w:val="Guidance"/>
        </w:rPr>
        <w:t>the nature of the impending change or changes in accounting policy</w:t>
      </w:r>
    </w:p>
    <w:p w14:paraId="0F8C34E5" w14:textId="52E77AC0" w:rsidR="003719CD" w:rsidRPr="0096716F" w:rsidRDefault="003719CD" w:rsidP="00310F12">
      <w:pPr>
        <w:pStyle w:val="ListBullet"/>
        <w:rPr>
          <w:rStyle w:val="Guidance"/>
        </w:rPr>
      </w:pPr>
      <w:r w:rsidRPr="0096716F">
        <w:rPr>
          <w:rStyle w:val="Guidance"/>
        </w:rPr>
        <w:t>the date by which application of the standard is required</w:t>
      </w:r>
    </w:p>
    <w:p w14:paraId="10D5E752" w14:textId="155CF231" w:rsidR="003719CD" w:rsidRPr="0096716F" w:rsidRDefault="003719CD" w:rsidP="00310F12">
      <w:pPr>
        <w:pStyle w:val="ListBullet"/>
        <w:rPr>
          <w:rStyle w:val="Guidance"/>
        </w:rPr>
      </w:pPr>
      <w:r w:rsidRPr="0096716F">
        <w:rPr>
          <w:rStyle w:val="Guidance"/>
        </w:rPr>
        <w:t>the date at which it plans to apply the standard initially</w:t>
      </w:r>
    </w:p>
    <w:p w14:paraId="7917FC1E" w14:textId="29C3FE7F" w:rsidR="003719CD" w:rsidRPr="0096716F" w:rsidRDefault="00BE794A" w:rsidP="00310F12">
      <w:pPr>
        <w:pStyle w:val="ListBullet"/>
        <w:rPr>
          <w:rStyle w:val="Guidance"/>
        </w:rPr>
      </w:pPr>
      <w:r>
        <w:rPr>
          <w:rStyle w:val="Guidance"/>
        </w:rPr>
        <w:t xml:space="preserve">and </w:t>
      </w:r>
      <w:r w:rsidR="003719CD" w:rsidRPr="0096716F">
        <w:rPr>
          <w:rStyle w:val="Guidance"/>
        </w:rPr>
        <w:t>either:</w:t>
      </w:r>
    </w:p>
    <w:p w14:paraId="2830081B" w14:textId="5F07068E" w:rsidR="003719CD" w:rsidRPr="0096716F" w:rsidRDefault="003719CD" w:rsidP="00301195">
      <w:pPr>
        <w:pStyle w:val="ListBullet2"/>
        <w:rPr>
          <w:rStyle w:val="Guidance"/>
        </w:rPr>
      </w:pPr>
      <w:r w:rsidRPr="0096716F">
        <w:rPr>
          <w:rStyle w:val="Guidance"/>
        </w:rPr>
        <w:t>a discussion of the impact that initial application of the standard is expected to have on the entity’s financial statements</w:t>
      </w:r>
    </w:p>
    <w:p w14:paraId="55B3BB5D" w14:textId="77777777" w:rsidR="003719CD" w:rsidRPr="0096716F" w:rsidRDefault="003719CD" w:rsidP="00301195">
      <w:pPr>
        <w:pStyle w:val="ListBullet2"/>
        <w:rPr>
          <w:rStyle w:val="Guidance"/>
        </w:rPr>
      </w:pPr>
      <w:r w:rsidRPr="0096716F">
        <w:rPr>
          <w:rStyle w:val="Guidance"/>
        </w:rPr>
        <w:t>if that impact is not known or reasonably estimable, a statement to that effect.</w:t>
      </w:r>
    </w:p>
    <w:p w14:paraId="6B27CA88" w14:textId="77777777" w:rsidR="003719CD" w:rsidRPr="0096716F" w:rsidRDefault="003719CD" w:rsidP="007D536F">
      <w:pPr>
        <w:rPr>
          <w:rStyle w:val="Guidance"/>
        </w:rPr>
      </w:pPr>
      <w:r w:rsidRPr="0096716F">
        <w:rPr>
          <w:rStyle w:val="Guidance"/>
        </w:rPr>
        <w:t xml:space="preserve">The disclosures as described above must be made even if the impact on the entity is not expected to be material. However, there is no need to mention an AAS if it is clearly not applicable to the entity. </w:t>
      </w:r>
      <w:r w:rsidRPr="0096716F">
        <w:rPr>
          <w:rStyle w:val="Reference"/>
        </w:rPr>
        <w:t>[AASB 108.31]</w:t>
      </w:r>
    </w:p>
    <w:p w14:paraId="7091A4E3" w14:textId="77777777" w:rsidR="003719CD" w:rsidRDefault="003719CD" w:rsidP="007D536F">
      <w:pPr>
        <w:pStyle w:val="GuidanceEnd"/>
      </w:pPr>
    </w:p>
    <w:p w14:paraId="1E6F7E72" w14:textId="77777777" w:rsidR="003719CD" w:rsidRDefault="003719CD" w:rsidP="00DC39DE"/>
    <w:p w14:paraId="75A598ED" w14:textId="77777777" w:rsidR="001F33FF" w:rsidRDefault="001F33FF">
      <w:pPr>
        <w:keepLines w:val="0"/>
        <w:rPr>
          <w:rFonts w:asciiTheme="majorHAnsi" w:eastAsiaTheme="majorEastAsia" w:hAnsiTheme="majorHAnsi" w:cstheme="majorBidi"/>
          <w:b/>
          <w:sz w:val="26"/>
          <w:szCs w:val="26"/>
        </w:rPr>
      </w:pPr>
      <w:bookmarkStart w:id="191" w:name="_Toc64983189"/>
      <w:r>
        <w:br w:type="page"/>
      </w:r>
    </w:p>
    <w:p w14:paraId="36529722" w14:textId="5491BA51" w:rsidR="003719CD" w:rsidRDefault="003719CD" w:rsidP="007762BE">
      <w:pPr>
        <w:pStyle w:val="Heading2numbered"/>
        <w:ind w:left="851" w:hanging="860"/>
      </w:pPr>
      <w:bookmarkStart w:id="192" w:name="_Toc130226020"/>
      <w:bookmarkStart w:id="193" w:name="_Toc130289143"/>
      <w:bookmarkStart w:id="194" w:name="_Toc96709996"/>
      <w:r>
        <w:lastRenderedPageBreak/>
        <w:t>Glossary of technical terms</w:t>
      </w:r>
      <w:bookmarkEnd w:id="191"/>
      <w:bookmarkEnd w:id="192"/>
      <w:bookmarkEnd w:id="193"/>
      <w:bookmarkEnd w:id="194"/>
    </w:p>
    <w:p w14:paraId="197CC447" w14:textId="77777777" w:rsidR="003719CD" w:rsidRDefault="003719CD" w:rsidP="00DC39DE">
      <w:r>
        <w:t>The following is a summary of the major technical terms used in this report.</w:t>
      </w:r>
    </w:p>
    <w:p w14:paraId="628291DC" w14:textId="77777777" w:rsidR="003719CD" w:rsidRDefault="003719CD" w:rsidP="00DC39DE">
      <w:r w:rsidRPr="0096716F">
        <w:rPr>
          <w:b/>
          <w:bCs/>
        </w:rPr>
        <w:t>Actuarial gains or losses on superannuation defined benefit plans</w:t>
      </w:r>
      <w:r>
        <w:t xml:space="preserve"> are changes in the present value of the superannuation defined benefit liability resulting from: </w:t>
      </w:r>
    </w:p>
    <w:p w14:paraId="46229C5C" w14:textId="2B936D2C" w:rsidR="003719CD" w:rsidRDefault="003719CD" w:rsidP="00310F12">
      <w:pPr>
        <w:pStyle w:val="ListBullet"/>
      </w:pPr>
      <w:r>
        <w:t>experience adjustments (the effects of differences between the previous actuarial assumptions and what has actually occurred)</w:t>
      </w:r>
    </w:p>
    <w:p w14:paraId="38D53D6E" w14:textId="77777777" w:rsidR="003719CD" w:rsidRDefault="003719CD" w:rsidP="00310F12">
      <w:pPr>
        <w:pStyle w:val="ListBullet"/>
      </w:pPr>
      <w:r>
        <w:t>the effects of changes in actuarial assumptions.</w:t>
      </w:r>
    </w:p>
    <w:p w14:paraId="67A26DCA" w14:textId="77777777" w:rsidR="003719CD" w:rsidRDefault="003719CD" w:rsidP="00DC39DE">
      <w:r w:rsidRPr="0096716F">
        <w:rPr>
          <w:b/>
          <w:bCs/>
        </w:rPr>
        <w:t>Administered item</w:t>
      </w:r>
      <w:r>
        <w:t xml:space="preserve"> generally refers to a department lacking the capacity to benefit from that item in the pursuit of the entity’s objectives and to deny or regulate the access of others to that benefit.</w:t>
      </w:r>
    </w:p>
    <w:p w14:paraId="5D5ACD80" w14:textId="77777777" w:rsidR="003719CD" w:rsidRDefault="003719CD" w:rsidP="00DC39DE">
      <w:r w:rsidRPr="0096716F">
        <w:rPr>
          <w:b/>
          <w:bCs/>
        </w:rPr>
        <w:t>Amortisation</w:t>
      </w:r>
      <w:r>
        <w:t xml:space="preserve"> is the expense that results from the consumption, extraction or use over time of a non-produced physical or intangible asset. This expense is classified as an ‘other economic flow’.</w:t>
      </w:r>
    </w:p>
    <w:p w14:paraId="7F8A8FA6" w14:textId="77777777" w:rsidR="003719CD" w:rsidRDefault="003719CD" w:rsidP="00DC39DE">
      <w:r w:rsidRPr="0096716F">
        <w:rPr>
          <w:b/>
          <w:bCs/>
        </w:rPr>
        <w:t>Associates</w:t>
      </w:r>
      <w:r>
        <w:t xml:space="preserve"> are all entities over which an entity has significant influence but not control, generally accompanying a shareholding and voting rights of between 20 per cent and 50 per cent. </w:t>
      </w:r>
    </w:p>
    <w:p w14:paraId="01B5BF95" w14:textId="77777777" w:rsidR="003719CD" w:rsidRDefault="003719CD" w:rsidP="00DC39DE">
      <w:r w:rsidRPr="0096716F">
        <w:rPr>
          <w:b/>
          <w:bCs/>
        </w:rPr>
        <w:t>Biological assets</w:t>
      </w:r>
      <w:r>
        <w:t xml:space="preserve"> may comprise commercial forests and also any living animal, plant or agricultural produce that is the harvested product of biological assets.</w:t>
      </w:r>
    </w:p>
    <w:p w14:paraId="34835660" w14:textId="77777777" w:rsidR="003719CD" w:rsidRDefault="003719CD" w:rsidP="00DC39DE">
      <w:r w:rsidRPr="0096716F">
        <w:rPr>
          <w:b/>
          <w:bCs/>
        </w:rPr>
        <w:t>Borrowings</w:t>
      </w:r>
      <w:r>
        <w:t xml:space="preserve"> refers to interest-bearing liabilities mainly raised from public borrowings raised through the Treasury Corporation of Victoria, lease liabilities, service concession arrangements and other interest-bearing arrangements. Borrowings also include non interest-bearing advances from government that are acquired for policy purposes.</w:t>
      </w:r>
    </w:p>
    <w:p w14:paraId="2D9570E7" w14:textId="77777777" w:rsidR="003719CD" w:rsidRDefault="003719CD" w:rsidP="00DC39DE">
      <w:r w:rsidRPr="0096716F">
        <w:rPr>
          <w:b/>
          <w:bCs/>
        </w:rPr>
        <w:t>Commitments</w:t>
      </w:r>
      <w:r>
        <w:t xml:space="preserve"> include those operating, capital and other outsourcing commitments arising from non-cancellable contractual or statutory sources.</w:t>
      </w:r>
    </w:p>
    <w:p w14:paraId="59191819" w14:textId="77777777" w:rsidR="003719CD" w:rsidRDefault="003719CD" w:rsidP="00DC39DE">
      <w:r w:rsidRPr="0096716F">
        <w:rPr>
          <w:b/>
          <w:bCs/>
        </w:rPr>
        <w:t>Comprehensive result</w:t>
      </w:r>
      <w:r>
        <w:t xml:space="preserve"> is the amount included in the operating statement representing total change in net worth other than transactions with owners as owners.</w:t>
      </w:r>
    </w:p>
    <w:p w14:paraId="32BE4A2E" w14:textId="77777777" w:rsidR="003719CD" w:rsidRDefault="003719CD" w:rsidP="00DC39DE">
      <w:r w:rsidRPr="0096716F">
        <w:rPr>
          <w:b/>
          <w:bCs/>
        </w:rPr>
        <w:t>Controlled item</w:t>
      </w:r>
      <w:r>
        <w:t xml:space="preserve"> generally refers to the capacity of a department to benefit from that item in the pursuit of the entity’s objectives and to deny or regulate the access of others to that benefit. </w:t>
      </w:r>
    </w:p>
    <w:p w14:paraId="49308B0C" w14:textId="77777777" w:rsidR="003719CD" w:rsidRDefault="003719CD" w:rsidP="00DC39DE">
      <w:r w:rsidRPr="0096716F">
        <w:rPr>
          <w:b/>
          <w:bCs/>
        </w:rPr>
        <w:t>Current grants</w:t>
      </w:r>
      <w:r>
        <w:t xml:space="preserve"> are amounts payable or receivable for current purposes for which no economic benefits of equal value are receivable or payable in return.</w:t>
      </w:r>
    </w:p>
    <w:p w14:paraId="66531802" w14:textId="77777777" w:rsidR="003719CD" w:rsidRDefault="003719CD" w:rsidP="00DC39DE">
      <w:r w:rsidRPr="0096716F">
        <w:rPr>
          <w:b/>
          <w:bCs/>
        </w:rPr>
        <w:t>Depreciation</w:t>
      </w:r>
      <w:r>
        <w:t xml:space="preserve"> is an expense that arises from the consumption through wear or time of a produced physical or intangible asset. This expense is classified as a ‘transaction’ and so reduces the ‘net result from transaction’.</w:t>
      </w:r>
    </w:p>
    <w:p w14:paraId="1CCCFDF7" w14:textId="77777777" w:rsidR="003719CD" w:rsidRDefault="003719CD" w:rsidP="00DC39DE">
      <w:r w:rsidRPr="0096716F">
        <w:rPr>
          <w:b/>
          <w:bCs/>
        </w:rPr>
        <w:t>Effective interest method</w:t>
      </w:r>
      <w: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7F379C28" w14:textId="77777777" w:rsidR="003719CD" w:rsidRDefault="003719CD" w:rsidP="00DC39DE">
      <w:r w:rsidRPr="0096716F">
        <w:rPr>
          <w:b/>
          <w:bCs/>
        </w:rPr>
        <w:t>Employee benefits expenses</w:t>
      </w:r>
      <w:r>
        <w:t xml:space="preserve"> include all costs related to employment including wages and salaries, fringe benefits tax, leave entitlements, redundancy payments, defined benefits superannuation plans, and defined contribution superannuation plans.</w:t>
      </w:r>
    </w:p>
    <w:p w14:paraId="136EA9EA" w14:textId="77777777" w:rsidR="003719CD" w:rsidRDefault="003719CD" w:rsidP="00DC39DE">
      <w:r w:rsidRPr="0096716F">
        <w:rPr>
          <w:b/>
          <w:bCs/>
        </w:rPr>
        <w:t>Ex gratia expenses</w:t>
      </w:r>
      <w:r>
        <w:t xml:space="preserve"> mean the voluntary payment of money or other non-monetary benefit (e.g. a write off) that is not made either to acquire goods, services or other benefits for the entity or to meet a legal liability, or to settle or resolve a possible legal liability or claim against the entity.</w:t>
      </w:r>
    </w:p>
    <w:p w14:paraId="17792165" w14:textId="7CBDB192" w:rsidR="003719CD" w:rsidRDefault="003719CD" w:rsidP="00DC39DE">
      <w:r w:rsidRPr="0096716F">
        <w:rPr>
          <w:b/>
          <w:bCs/>
        </w:rPr>
        <w:t>Finance lease</w:t>
      </w:r>
      <w:r>
        <w:t xml:space="preserve"> is a lease that transfers substantially all the risks and rewards incidental to ownership of an underlying asset.</w:t>
      </w:r>
    </w:p>
    <w:p w14:paraId="7D2A97FB" w14:textId="77777777" w:rsidR="001F33FF" w:rsidRDefault="001F33FF">
      <w:pPr>
        <w:keepLines w:val="0"/>
        <w:rPr>
          <w:b/>
          <w:bCs/>
        </w:rPr>
      </w:pPr>
      <w:r>
        <w:rPr>
          <w:b/>
          <w:bCs/>
        </w:rPr>
        <w:br w:type="page"/>
      </w:r>
    </w:p>
    <w:p w14:paraId="1D02D9B0" w14:textId="3FAEF47B" w:rsidR="003719CD" w:rsidRDefault="003719CD" w:rsidP="00DC39DE">
      <w:r w:rsidRPr="0096716F">
        <w:rPr>
          <w:b/>
          <w:bCs/>
        </w:rPr>
        <w:lastRenderedPageBreak/>
        <w:t>Financial asset</w:t>
      </w:r>
      <w:r>
        <w:t xml:space="preserve"> is any asset that is</w:t>
      </w:r>
      <w:r w:rsidR="008C0E23">
        <w:t xml:space="preserve"> either</w:t>
      </w:r>
      <w:r>
        <w:t>:</w:t>
      </w:r>
    </w:p>
    <w:p w14:paraId="1165FF0B" w14:textId="51D006ED" w:rsidR="003719CD" w:rsidRDefault="003719CD" w:rsidP="00310F12">
      <w:pPr>
        <w:pStyle w:val="ListBullet"/>
      </w:pPr>
      <w:r>
        <w:t>cash</w:t>
      </w:r>
    </w:p>
    <w:p w14:paraId="10F61520" w14:textId="34A6990D" w:rsidR="003719CD" w:rsidRDefault="003719CD" w:rsidP="00310F12">
      <w:pPr>
        <w:pStyle w:val="ListBullet"/>
      </w:pPr>
      <w:r>
        <w:t>an equity instrument of another entity</w:t>
      </w:r>
    </w:p>
    <w:p w14:paraId="1D2A5C9D" w14:textId="071847E5" w:rsidR="00265CC3" w:rsidRDefault="003719CD" w:rsidP="0040021B">
      <w:pPr>
        <w:pStyle w:val="ListBullet2"/>
      </w:pPr>
      <w:r>
        <w:t>a contractual right</w:t>
      </w:r>
      <w:r w:rsidR="00265CC3">
        <w:t xml:space="preserve"> </w:t>
      </w:r>
      <w:r>
        <w:t>to receive cash or another financial asset from another entity</w:t>
      </w:r>
      <w:r w:rsidR="00265CC3">
        <w:t xml:space="preserve"> or </w:t>
      </w:r>
      <w:r>
        <w:t>to exchange financial assets or financial liabilities with another entity under conditions that are potentially favourable to the entity</w:t>
      </w:r>
      <w:r w:rsidR="00681F24">
        <w:t>.</w:t>
      </w:r>
    </w:p>
    <w:p w14:paraId="1A10E4E3" w14:textId="498AC314" w:rsidR="003719CD" w:rsidRDefault="00265CC3" w:rsidP="00310F12">
      <w:pPr>
        <w:pStyle w:val="ListBullet"/>
      </w:pPr>
      <w:r>
        <w:t>A financial asset can also be a</w:t>
      </w:r>
      <w:r w:rsidR="003719CD">
        <w:t xml:space="preserve"> contract that will or may be settled in the entity’s own equity instruments and is</w:t>
      </w:r>
      <w:r>
        <w:t xml:space="preserve"> either</w:t>
      </w:r>
      <w:r w:rsidR="003719CD">
        <w:t>:</w:t>
      </w:r>
    </w:p>
    <w:p w14:paraId="1529893F" w14:textId="6B6ABA84" w:rsidR="003719CD" w:rsidRDefault="003719CD" w:rsidP="0040021B">
      <w:pPr>
        <w:pStyle w:val="ListBullet2"/>
      </w:pPr>
      <w:r>
        <w:t>a non-derivative for which the entity is or may be obliged to receive a variable number of the entity’s own equity instruments</w:t>
      </w:r>
    </w:p>
    <w:p w14:paraId="7582F2E0" w14:textId="77777777" w:rsidR="003719CD" w:rsidRDefault="003719CD" w:rsidP="0040021B">
      <w:pPr>
        <w:pStyle w:val="ListBullet2"/>
      </w:pPr>
      <w:r>
        <w:t>a derivative that will or may be settled other than by the exchange of a fixed amount of cash or another financial asset for a fixed number of the entity’s own equity instruments.</w:t>
      </w:r>
    </w:p>
    <w:p w14:paraId="3BAC7609" w14:textId="77777777" w:rsidR="003719CD" w:rsidRDefault="003719CD" w:rsidP="00DC39DE">
      <w:r w:rsidRPr="0096716F">
        <w:rPr>
          <w:b/>
          <w:bCs/>
        </w:rPr>
        <w:t>Financial instrument</w:t>
      </w:r>
      <w:r>
        <w:t xml:space="preserve"> is any contract that gives rise to a financial asset of one entity and a financial liability or equity instrument of another entity. </w:t>
      </w:r>
    </w:p>
    <w:p w14:paraId="6238F815" w14:textId="540F49A2" w:rsidR="003719CD" w:rsidRDefault="003719CD" w:rsidP="00DC39DE">
      <w:r w:rsidRPr="0096716F">
        <w:rPr>
          <w:b/>
          <w:bCs/>
        </w:rPr>
        <w:t>Financial liability</w:t>
      </w:r>
      <w:r>
        <w:t xml:space="preserve"> is any liability that is</w:t>
      </w:r>
      <w:r w:rsidR="008C0E23">
        <w:t xml:space="preserve"> either</w:t>
      </w:r>
      <w:r>
        <w:t>:</w:t>
      </w:r>
    </w:p>
    <w:p w14:paraId="732BCD6C" w14:textId="53B95CFE" w:rsidR="003719CD" w:rsidRDefault="003719CD" w:rsidP="00310F12">
      <w:pPr>
        <w:pStyle w:val="ListBullet"/>
      </w:pPr>
      <w:r>
        <w:t>a contractual obligation</w:t>
      </w:r>
      <w:r w:rsidR="00265CC3">
        <w:t xml:space="preserve"> </w:t>
      </w:r>
      <w:r>
        <w:t>to deliver cash or another financial asset to another entity</w:t>
      </w:r>
      <w:r w:rsidR="00265CC3">
        <w:t xml:space="preserve"> or </w:t>
      </w:r>
      <w:r>
        <w:t>to exchange financial assets or financial liabilities with another entity under conditions that are potentially unfavourable to the entity</w:t>
      </w:r>
    </w:p>
    <w:p w14:paraId="72748D4F" w14:textId="08D321F5" w:rsidR="003719CD" w:rsidRDefault="003719CD" w:rsidP="00310F12">
      <w:pPr>
        <w:pStyle w:val="ListBullet"/>
      </w:pPr>
      <w:r>
        <w:t>a contract that will or may be settled in the entity’s own equity instruments and is</w:t>
      </w:r>
      <w:r w:rsidR="008C0E23">
        <w:t xml:space="preserve"> either</w:t>
      </w:r>
      <w:r>
        <w:t>:</w:t>
      </w:r>
    </w:p>
    <w:p w14:paraId="7C5E113F" w14:textId="093159CA" w:rsidR="003719CD" w:rsidRDefault="003719CD" w:rsidP="0040021B">
      <w:pPr>
        <w:pStyle w:val="ListBullet2"/>
      </w:pPr>
      <w:r>
        <w:t>a non-derivative for which the entity is or may be obliged to deliver a variable number of the entity’s own equity instruments</w:t>
      </w:r>
    </w:p>
    <w:p w14:paraId="3FC8A056" w14:textId="77777777" w:rsidR="003719CD" w:rsidRDefault="003719CD" w:rsidP="0040021B">
      <w:pPr>
        <w:pStyle w:val="ListBullet2"/>
      </w:pPr>
      <w:r>
        <w:t xml:space="preserve">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 </w:t>
      </w:r>
    </w:p>
    <w:p w14:paraId="0EBBE63A" w14:textId="77777777" w:rsidR="003719CD" w:rsidRDefault="003719CD" w:rsidP="00DC39DE">
      <w:r w:rsidRPr="0096716F">
        <w:rPr>
          <w:b/>
          <w:bCs/>
        </w:rPr>
        <w:t>Financial statements</w:t>
      </w:r>
      <w:r>
        <w:t xml:space="preserve"> in the Model report comprises:</w:t>
      </w:r>
    </w:p>
    <w:p w14:paraId="597BF086" w14:textId="454E41DF" w:rsidR="003719CD" w:rsidRDefault="003719CD" w:rsidP="00310F12">
      <w:pPr>
        <w:pStyle w:val="ListBullet"/>
      </w:pPr>
      <w:r>
        <w:t>a balance sheet as at the end of the period</w:t>
      </w:r>
    </w:p>
    <w:p w14:paraId="02C71A07" w14:textId="6641D749" w:rsidR="003719CD" w:rsidRDefault="003719CD" w:rsidP="00310F12">
      <w:pPr>
        <w:pStyle w:val="ListBullet"/>
      </w:pPr>
      <w:r>
        <w:t>a comprehensive operating statement for the period</w:t>
      </w:r>
    </w:p>
    <w:p w14:paraId="2B3E2DC0" w14:textId="06ECEC1B" w:rsidR="003719CD" w:rsidRDefault="003719CD" w:rsidP="00310F12">
      <w:pPr>
        <w:pStyle w:val="ListBullet"/>
      </w:pPr>
      <w:r>
        <w:t>a statement of changes in equity for the period</w:t>
      </w:r>
    </w:p>
    <w:p w14:paraId="0B6DE2DE" w14:textId="4A2A8074" w:rsidR="003719CD" w:rsidRDefault="003719CD" w:rsidP="00310F12">
      <w:pPr>
        <w:pStyle w:val="ListBullet"/>
      </w:pPr>
      <w:r>
        <w:t>a cash flow statement for the period</w:t>
      </w:r>
    </w:p>
    <w:p w14:paraId="11A5070A" w14:textId="5B8EC844" w:rsidR="003719CD" w:rsidRDefault="003719CD" w:rsidP="00310F12">
      <w:pPr>
        <w:pStyle w:val="ListBullet"/>
      </w:pPr>
      <w:r>
        <w:t>notes, comprising a summary of significant accounting policies and other explanatory information</w:t>
      </w:r>
    </w:p>
    <w:p w14:paraId="030BBA71" w14:textId="0FA5C8A6" w:rsidR="003719CD" w:rsidRDefault="003719CD" w:rsidP="00310F12">
      <w:pPr>
        <w:pStyle w:val="ListBullet"/>
      </w:pPr>
      <w:r>
        <w:t xml:space="preserve">comparative information in respect of the preceding period as specified in paragraph 38 of AASB 101 </w:t>
      </w:r>
      <w:r w:rsidRPr="0096716F">
        <w:rPr>
          <w:i/>
          <w:iCs/>
        </w:rPr>
        <w:t>Presentation of Financial Statements</w:t>
      </w:r>
    </w:p>
    <w:p w14:paraId="73FC302E" w14:textId="77777777" w:rsidR="003719CD" w:rsidRDefault="003719CD" w:rsidP="00310F12">
      <w:pPr>
        <w:pStyle w:val="ListBullet"/>
      </w:pPr>
      <w: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2CD13838" w14:textId="77777777" w:rsidR="003719CD" w:rsidRDefault="003719CD" w:rsidP="00DC39DE">
      <w:r w:rsidRPr="00DF18EF">
        <w:rPr>
          <w:b/>
          <w:bCs/>
        </w:rPr>
        <w:t>Grant expenses and other transfers</w:t>
      </w:r>
      <w:r>
        <w:t xml:space="preserve"> are transactions in which one unit provides goods, services, assets (or extinguishes a liability) or labour to another unit without receiving approximately equal value in return. Grants can either be operating or capital in nature. </w:t>
      </w:r>
    </w:p>
    <w:p w14:paraId="71668F49" w14:textId="77777777" w:rsidR="003719CD" w:rsidRDefault="003719CD" w:rsidP="00DC39DE">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0693E6A6" w14:textId="77777777" w:rsidR="003719CD" w:rsidRDefault="003719CD" w:rsidP="00DC39DE">
      <w:r>
        <w:t>Grants can be paid as general-purpose grants, which refer to grants that are not subject to conditions regarding their use. Alternatively, they may be paid as specific purpose grants, which are paid for a particular purpose and/or have conditions attached regarding their use.</w:t>
      </w:r>
    </w:p>
    <w:p w14:paraId="73041CFB" w14:textId="77777777" w:rsidR="003719CD" w:rsidRDefault="003719CD" w:rsidP="00DC39DE">
      <w:r w:rsidRPr="00DF18EF">
        <w:rPr>
          <w:b/>
          <w:bCs/>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7FD8CF9A" w14:textId="77777777" w:rsidR="003719CD" w:rsidRDefault="003719CD" w:rsidP="00DC39DE">
      <w:r w:rsidRPr="00DF18EF">
        <w:rPr>
          <w:b/>
          <w:bCs/>
        </w:rPr>
        <w:t>Grants for on-passing</w:t>
      </w:r>
      <w:r>
        <w:t xml:space="preserve"> are grants paid to one institutional sector (e.g. a State general government entity) to be passed on to another institutional sector (e.g. local government or a private non-profit institution).</w:t>
      </w:r>
    </w:p>
    <w:p w14:paraId="3BA1420E" w14:textId="77777777" w:rsidR="003719CD" w:rsidRDefault="003719CD" w:rsidP="00DC39DE">
      <w:r w:rsidRPr="00DF18EF">
        <w:rPr>
          <w:b/>
          <w:bCs/>
        </w:rPr>
        <w:lastRenderedPageBreak/>
        <w:t>Infrastructure systems</w:t>
      </w:r>
      <w:r>
        <w:t xml:space="preserve"> provide essential services used in the delivery of final services or products. They are generally a complex interconnected network of individual assets and mainly include sewerage systems, water storage and supply systems, and public transport assets owned by the State.</w:t>
      </w:r>
    </w:p>
    <w:p w14:paraId="346FD759" w14:textId="77777777" w:rsidR="003719CD" w:rsidRDefault="003719CD" w:rsidP="00DC39DE">
      <w:r w:rsidRPr="00DF18EF">
        <w:rPr>
          <w:b/>
          <w:bCs/>
        </w:rPr>
        <w:t>Interest expense</w:t>
      </w:r>
      <w: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41A53704" w14:textId="77777777" w:rsidR="003719CD" w:rsidRDefault="003719CD" w:rsidP="00DC39DE">
      <w:r w:rsidRPr="00DF18EF">
        <w:rPr>
          <w:b/>
          <w:bCs/>
        </w:rPr>
        <w:t>Interest income</w:t>
      </w:r>
      <w:r>
        <w:t xml:space="preserve"> includes unwinding over time of discounts on financial assets and interest received on bank term deposits and other investments. </w:t>
      </w:r>
    </w:p>
    <w:p w14:paraId="7A3C6B71" w14:textId="77777777" w:rsidR="003719CD" w:rsidRDefault="003719CD" w:rsidP="00DC39DE">
      <w:r w:rsidRPr="00DF18EF">
        <w:rPr>
          <w:b/>
          <w:bCs/>
        </w:rPr>
        <w:t>Investment properties</w:t>
      </w:r>
      <w:r>
        <w:t xml:space="preserve"> are properties held to earn rentals or for capital appreciation or both. Investment properties exclude properties held to meet service delivery objectives of the State of Victoria.</w:t>
      </w:r>
    </w:p>
    <w:p w14:paraId="7AF2C9D4" w14:textId="660F4A04" w:rsidR="003719CD" w:rsidRDefault="003719CD" w:rsidP="00DC39DE">
      <w:r w:rsidRPr="00DF18EF">
        <w:rPr>
          <w:b/>
          <w:bCs/>
        </w:rPr>
        <w:t>Joint ventures</w:t>
      </w:r>
      <w:r>
        <w:t xml:space="preserve"> are contractual arrangements between the </w:t>
      </w:r>
      <w:r w:rsidR="00E30535">
        <w:t>d</w:t>
      </w:r>
      <w:r>
        <w:t>epartment and one or more other parties to undertake an economic activity that is subject to joint control and have rights to the net assets of the arrangement. Joint control only exists when the strategic financial and operating decisions relating to the activity require the unanimous consent of the parties sharing control (the venturers).</w:t>
      </w:r>
    </w:p>
    <w:p w14:paraId="4F35CCEA" w14:textId="77777777" w:rsidR="003719CD" w:rsidRDefault="003719CD" w:rsidP="00DC39DE">
      <w:r w:rsidRPr="00DF18EF">
        <w:rPr>
          <w:b/>
          <w:bCs/>
        </w:rPr>
        <w:t>Leases</w:t>
      </w:r>
      <w:r>
        <w:t xml:space="preserve"> are rights conveyed in a contract, or part of a contract, the right to use an asset (the underlying asset) for a period of time in exchange for consideration. </w:t>
      </w:r>
    </w:p>
    <w:p w14:paraId="5E03136F" w14:textId="77777777" w:rsidR="003719CD" w:rsidRDefault="003719CD" w:rsidP="00DC39DE">
      <w:r w:rsidRPr="00DF18EF">
        <w:rPr>
          <w:b/>
          <w:bCs/>
        </w:rPr>
        <w:t>Net acquisition of non-financial assets</w:t>
      </w:r>
      <w:r>
        <w:t xml:space="preserve"> (from transactions) are purchases (and other acquisitions)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 offs, impairment write downs and revaluations.</w:t>
      </w:r>
    </w:p>
    <w:p w14:paraId="370D6EC7" w14:textId="77777777" w:rsidR="003719CD" w:rsidRDefault="003719CD" w:rsidP="00DC39DE">
      <w:r w:rsidRPr="00DF18EF">
        <w:rPr>
          <w:b/>
          <w:bCs/>
        </w:rPr>
        <w:t>Net financial liabilities</w:t>
      </w:r>
      <w:r>
        <w:t xml:space="preserve"> is calculated as liabilities less financial assets, other than equity in public non-financial corporations (PNFC) and public financial corporations (PFC). This measure is broader than net debt as it includes significant liabilities, other than borrowings (e.g. accrued employee liabilities such as superannuation and long service leave entitlements). For the PNFC and PFC sectors, it is equal to negative net financial worth.</w:t>
      </w:r>
    </w:p>
    <w:p w14:paraId="195F9FE3" w14:textId="77777777" w:rsidR="003719CD" w:rsidRDefault="003719CD" w:rsidP="00DC39DE">
      <w:r w:rsidRPr="00DF18EF">
        <w:rPr>
          <w:b/>
          <w:bCs/>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14:paraId="048587E8" w14:textId="739760C1" w:rsidR="003719CD" w:rsidRDefault="003719CD" w:rsidP="00DC39DE">
      <w:r w:rsidRPr="00DF18EF">
        <w:rPr>
          <w:b/>
          <w:bCs/>
        </w:rPr>
        <w:t>Net gain on equity investments in other sector entities</w:t>
      </w:r>
      <w:r>
        <w:t xml:space="preserve"> </w:t>
      </w:r>
      <w:r w:rsidRPr="00DF18EF">
        <w:rPr>
          <w:rStyle w:val="Guidance"/>
        </w:rPr>
        <w:t>[DTF only]</w:t>
      </w:r>
      <w:r>
        <w:t xml:space="preserve"> measured at proportional share of the carrying amount of net assets/(liabilities) comprises the net gains relating to the equity held by the general government sector in other sector entities. It arises from a change in the carrying amount of net assets of the subsidiaries. The net gains are measured based on the proportional share of the subsidiary’s carrying amount of net assets/(liabilities) before elimination of inter</w:t>
      </w:r>
      <w:r w:rsidR="00E30535">
        <w:t>-</w:t>
      </w:r>
      <w:r>
        <w:t>sector balances.</w:t>
      </w:r>
    </w:p>
    <w:p w14:paraId="11BB8ADA" w14:textId="77777777" w:rsidR="003719CD" w:rsidRDefault="003719CD" w:rsidP="00DC39DE">
      <w:r w:rsidRPr="00DF18EF">
        <w:rPr>
          <w:b/>
          <w:bCs/>
        </w:rPr>
        <w:t>Net lending/borrowing</w:t>
      </w:r>
      <w:r>
        <w:t xml:space="preserve"> is the financing requirement of government, calculated as the net operating balance less the net acquisition of non-financial assets. It also equals transactions in financial assets less transactions in liabilities. A positive result reflects a net lending position and a negative result reflects a net borrowing position.</w:t>
      </w:r>
    </w:p>
    <w:p w14:paraId="62CA902E" w14:textId="77777777" w:rsidR="003719CD" w:rsidRDefault="003719CD" w:rsidP="00DC39DE">
      <w:r w:rsidRPr="00DF18EF">
        <w:rPr>
          <w:b/>
          <w:bCs/>
        </w:rPr>
        <w:t>Net operating balance</w:t>
      </w:r>
      <w:r>
        <w:t xml:space="preserve"> or </w:t>
      </w:r>
      <w:r w:rsidRPr="00DF18EF">
        <w:rPr>
          <w:b/>
          <w:bCs/>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100A1D64" w14:textId="77777777" w:rsidR="003719CD" w:rsidRDefault="003719CD" w:rsidP="00DC39DE">
      <w:r w:rsidRPr="00DF18EF">
        <w:rPr>
          <w:b/>
          <w:bCs/>
        </w:rPr>
        <w:t>Net result</w:t>
      </w:r>
      <w:r>
        <w:t xml:space="preserve"> is a measure of financial performance of the operations for the period. It is the net result of items of revenue, gains and expenses (including losses) recognised for the period, excluding those classified as ‘other non-owner movements in equity’. </w:t>
      </w:r>
    </w:p>
    <w:p w14:paraId="6F162F49" w14:textId="77777777" w:rsidR="003719CD" w:rsidRDefault="003719CD" w:rsidP="00DC39DE">
      <w:r w:rsidRPr="00DF18EF">
        <w:rPr>
          <w:b/>
          <w:bCs/>
        </w:rPr>
        <w:t>Net worth</w:t>
      </w:r>
      <w:r>
        <w:t xml:space="preserve"> is calculated as assets less liabilities, which is an economic measure of wealth. </w:t>
      </w:r>
    </w:p>
    <w:p w14:paraId="4120F8EF" w14:textId="77777777" w:rsidR="003719CD" w:rsidRDefault="003719CD" w:rsidP="00DC39DE">
      <w:r w:rsidRPr="00DF18EF">
        <w:rPr>
          <w:b/>
          <w:bCs/>
        </w:rPr>
        <w:t>Non-financial assets</w:t>
      </w:r>
      <w:r>
        <w:t xml:space="preserve"> are all assets that are not financial assets. It includes inventories, land, buildings, infrastructure, road networks, land under roads, plant and equipment, cultural and heritage assets, intangibles and biological assets such as commercial forests.</w:t>
      </w:r>
    </w:p>
    <w:p w14:paraId="28FAB494" w14:textId="77777777" w:rsidR="003719CD" w:rsidRDefault="003719CD" w:rsidP="00DC39DE">
      <w:r w:rsidRPr="00DF18EF">
        <w:rPr>
          <w:b/>
          <w:bCs/>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34EE5DBE" w14:textId="77777777" w:rsidR="003719CD" w:rsidRDefault="003719CD" w:rsidP="00DC39DE">
      <w:r w:rsidRPr="00DF18EF">
        <w:rPr>
          <w:b/>
          <w:bCs/>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 </w:t>
      </w:r>
    </w:p>
    <w:p w14:paraId="378F22E8" w14:textId="77777777" w:rsidR="003719CD" w:rsidRDefault="003719CD" w:rsidP="00DC39DE">
      <w:r w:rsidRPr="00DF18EF">
        <w:rPr>
          <w:b/>
          <w:bCs/>
        </w:rPr>
        <w:lastRenderedPageBreak/>
        <w:t>Operating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to ‘net result’. </w:t>
      </w:r>
    </w:p>
    <w:p w14:paraId="093AF2CE" w14:textId="77777777" w:rsidR="003719CD" w:rsidRDefault="003719CD" w:rsidP="00DC39DE">
      <w:r w:rsidRPr="00DF18EF">
        <w:rPr>
          <w:b/>
          <w:bCs/>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 produced) from their use or removal. </w:t>
      </w:r>
    </w:p>
    <w:p w14:paraId="3581781E" w14:textId="77777777" w:rsidR="003719CD" w:rsidRDefault="003719CD" w:rsidP="00DC39DE">
      <w:r w:rsidRPr="00DF18EF">
        <w:rPr>
          <w:b/>
          <w:bCs/>
        </w:rPr>
        <w:t>Other 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42E9E1FA" w14:textId="77777777" w:rsidR="003719CD" w:rsidRDefault="003719CD" w:rsidP="00DC39DE">
      <w:r w:rsidRPr="00DF18EF">
        <w:rPr>
          <w:b/>
          <w:bCs/>
        </w:rPr>
        <w:t>Payables</w:t>
      </w:r>
      <w:r>
        <w:t xml:space="preserve"> includes short and long-term trade debt and accounts payable, grants, taxes and interest payable.</w:t>
      </w:r>
    </w:p>
    <w:p w14:paraId="218F0DD0" w14:textId="77777777" w:rsidR="003719CD" w:rsidRDefault="003719CD" w:rsidP="00DC39DE">
      <w:r w:rsidRPr="00DF18EF">
        <w:rPr>
          <w:b/>
          <w:bCs/>
        </w:rPr>
        <w:t>Produced assets</w:t>
      </w:r>
      <w:r>
        <w:t xml:space="preserve"> include buildings, plant and equipment, inventories, cultivated assets and certain intangible assets. Intangible produced assets may include computer software, motion picture films and research and development costs (which does not include the start-up costs associated with capital projects).</w:t>
      </w:r>
    </w:p>
    <w:p w14:paraId="08119DD0" w14:textId="77777777" w:rsidR="003719CD" w:rsidRDefault="003719CD" w:rsidP="00DC39DE">
      <w:r w:rsidRPr="00DF18EF">
        <w:rPr>
          <w:b/>
          <w:bCs/>
        </w:rPr>
        <w:t>Public financial corporations</w:t>
      </w:r>
      <w:r>
        <w:t xml:space="preserve"> (PFC) are bodies primarily engaged in the provision of financial intermediation services or auxiliary financial services. They are able to incur financial liabilities on their own account (e.g. taking deposits, issuing securities or providing insurance services). Estimates are not published for the public financial corporation sector.</w:t>
      </w:r>
    </w:p>
    <w:p w14:paraId="26DFDF59" w14:textId="77777777" w:rsidR="003719CD" w:rsidRDefault="003719CD" w:rsidP="00DC39DE">
      <w:r>
        <w:t xml:space="preserve">The </w:t>
      </w:r>
      <w:r w:rsidRPr="00DF18EF">
        <w:rPr>
          <w:b/>
          <w:bCs/>
        </w:rPr>
        <w:t>public non-financial corporation</w:t>
      </w:r>
      <w:r>
        <w:t xml:space="preserve"> (PNFC) sector comprises bodies mainly engaged in the production of goods and services (of a non-financial nature) for sale in the marketplace at prices that aim to recover most of the costs involved (e.g. water and port authorities). In general, PNFCs are legally distinguishable from the governments that own them.</w:t>
      </w:r>
    </w:p>
    <w:p w14:paraId="7588284E" w14:textId="77777777" w:rsidR="003719CD" w:rsidRDefault="003719CD" w:rsidP="00DC39DE">
      <w:r w:rsidRPr="00DF18EF">
        <w:rPr>
          <w:b/>
          <w:bCs/>
        </w:rPr>
        <w:t>Receivables</w:t>
      </w:r>
      <w:r>
        <w:t xml:space="preserve"> include amounts owing from government through appropriation receivable, short and long-term trade credit and accounts receivable, accrued investment income, grants, taxes and interest receivable.</w:t>
      </w:r>
    </w:p>
    <w:p w14:paraId="037F236A" w14:textId="77777777" w:rsidR="003719CD" w:rsidRDefault="003719CD" w:rsidP="00DC39DE">
      <w:r w:rsidRPr="00DF18EF">
        <w:rPr>
          <w:b/>
          <w:bCs/>
        </w:rPr>
        <w:t>Sales of goods and services</w:t>
      </w:r>
      <w:r>
        <w:t xml:space="preserve"> refers to income from the direct provision of goods and services and includes fees and charges for services rendered, sales of goods and services, fees from regulatory services and work done as an agent for private enterprises. It also includes rental income under leases and on produced assets such as buildings and entertainment, but excludes rent income from the use of non-produced assets such as land. User charges includes sale of goods and services income. </w:t>
      </w:r>
    </w:p>
    <w:p w14:paraId="3F7E3C5A" w14:textId="77777777" w:rsidR="003719CD" w:rsidRDefault="003719CD" w:rsidP="00DC39DE">
      <w:r w:rsidRPr="00DF18EF">
        <w:rPr>
          <w:b/>
          <w:bCs/>
        </w:rPr>
        <w:t>Service concession arrangement</w:t>
      </w:r>
      <w:r>
        <w:t xml:space="preserve"> is a contract effective during the reporting period between a grantor and an operator in which:</w:t>
      </w:r>
    </w:p>
    <w:p w14:paraId="68DE0DED" w14:textId="1167BC22" w:rsidR="003719CD" w:rsidRDefault="003719CD" w:rsidP="00310F12">
      <w:pPr>
        <w:pStyle w:val="ListBullet"/>
      </w:pPr>
      <w:r>
        <w:t>the operator has the right of access to the service concession asset (or assets) to provide public services on behalf of the grantor for a specified period of time</w:t>
      </w:r>
    </w:p>
    <w:p w14:paraId="29C93702" w14:textId="1C344CF6" w:rsidR="003719CD" w:rsidRDefault="003719CD" w:rsidP="00310F12">
      <w:pPr>
        <w:pStyle w:val="ListBullet"/>
      </w:pPr>
      <w:r>
        <w:t>the operator is responsible for at least some of the management of the public services provided through the asset and does not act merely as an agent on behalf of the grantor</w:t>
      </w:r>
    </w:p>
    <w:p w14:paraId="27500F82" w14:textId="77777777" w:rsidR="003719CD" w:rsidRDefault="003719CD" w:rsidP="00310F12">
      <w:pPr>
        <w:pStyle w:val="ListBullet"/>
      </w:pPr>
      <w:r>
        <w:t>the operator is compensated for its services over the period of the service concession arrangement.</w:t>
      </w:r>
    </w:p>
    <w:p w14:paraId="456FC884" w14:textId="77777777" w:rsidR="003719CD" w:rsidRDefault="003719CD" w:rsidP="00DC39DE">
      <w:r>
        <w:t xml:space="preserve">Supplies and services generally represent cost of goods sold and the day-to-day running costs, including maintenance costs, incurred in the normal operations of the Department. </w:t>
      </w:r>
    </w:p>
    <w:p w14:paraId="50E14C16" w14:textId="77777777" w:rsidR="001F33FF" w:rsidRDefault="001F33FF">
      <w:pPr>
        <w:keepLines w:val="0"/>
        <w:rPr>
          <w:b/>
          <w:bCs/>
        </w:rPr>
      </w:pPr>
      <w:r>
        <w:rPr>
          <w:b/>
          <w:bCs/>
        </w:rPr>
        <w:br w:type="page"/>
      </w:r>
    </w:p>
    <w:p w14:paraId="6C6C4512" w14:textId="3166D40A" w:rsidR="003719CD" w:rsidRDefault="003719CD" w:rsidP="00DC39DE">
      <w:r w:rsidRPr="00DF18EF">
        <w:rPr>
          <w:b/>
          <w:bCs/>
        </w:rPr>
        <w:lastRenderedPageBreak/>
        <w:t xml:space="preserve">Taxation </w:t>
      </w:r>
      <w:r w:rsidRPr="00DF18EF">
        <w:t>income</w:t>
      </w:r>
      <w:r>
        <w:t xml:space="preserve"> represents income received from the State’s taxpayers and includes:</w:t>
      </w:r>
    </w:p>
    <w:p w14:paraId="10A2AA92" w14:textId="1D793F47" w:rsidR="003719CD" w:rsidRDefault="003719CD" w:rsidP="00310F12">
      <w:pPr>
        <w:pStyle w:val="ListBullet"/>
      </w:pPr>
      <w:r>
        <w:t>payroll tax, land tax and duties levied principally on conveyances and land transfers</w:t>
      </w:r>
    </w:p>
    <w:p w14:paraId="4B764D39" w14:textId="4F7D4C53" w:rsidR="003719CD" w:rsidRDefault="003719CD" w:rsidP="00310F12">
      <w:pPr>
        <w:pStyle w:val="ListBullet"/>
      </w:pPr>
      <w:r>
        <w:t>gambling taxes levied mainly on private lotteries, electronic gaming machines, casino operations and racing</w:t>
      </w:r>
    </w:p>
    <w:p w14:paraId="147D67AA" w14:textId="14E5FB93" w:rsidR="003719CD" w:rsidRDefault="003719CD" w:rsidP="00310F12">
      <w:pPr>
        <w:pStyle w:val="ListBullet"/>
      </w:pPr>
      <w:r>
        <w:t>insurance duty relating to compulsory third-party, life and non-life policies</w:t>
      </w:r>
    </w:p>
    <w:p w14:paraId="29FEA413" w14:textId="55F0EDB3" w:rsidR="003719CD" w:rsidRDefault="003719CD" w:rsidP="00310F12">
      <w:pPr>
        <w:pStyle w:val="ListBullet"/>
      </w:pPr>
      <w:r>
        <w:t>insurance company contributions to fire brigades</w:t>
      </w:r>
    </w:p>
    <w:p w14:paraId="28E93309" w14:textId="16DBC7D1" w:rsidR="003719CD" w:rsidRDefault="003719CD" w:rsidP="00310F12">
      <w:pPr>
        <w:pStyle w:val="ListBullet"/>
      </w:pPr>
      <w:r>
        <w:t>motor vehicle taxes, including registration fees and duty on registrations and transfers</w:t>
      </w:r>
    </w:p>
    <w:p w14:paraId="1557BAB6" w14:textId="088D63F6" w:rsidR="003719CD" w:rsidRDefault="003719CD" w:rsidP="00310F12">
      <w:pPr>
        <w:pStyle w:val="ListBullet"/>
      </w:pPr>
      <w:r>
        <w:t>levies (including the environmental levy) on statutory corporations in other sectors of government</w:t>
      </w:r>
    </w:p>
    <w:p w14:paraId="61A294CF" w14:textId="77777777" w:rsidR="003719CD" w:rsidRDefault="003719CD" w:rsidP="00310F12">
      <w:pPr>
        <w:pStyle w:val="ListBullet"/>
      </w:pPr>
      <w:r>
        <w:t>other taxes, including landfill levies, licence and concession fees.</w:t>
      </w:r>
    </w:p>
    <w:p w14:paraId="3533A7FC" w14:textId="77777777" w:rsidR="003719CD" w:rsidRDefault="003719CD" w:rsidP="00DC39DE">
      <w:r w:rsidRPr="00DF18EF">
        <w:rPr>
          <w:b/>
          <w:bCs/>
        </w:rPr>
        <w:t>Transactions</w:t>
      </w:r>
      <w:r>
        <w:t xml:space="preserve"> are those economic flows that are considered to arise as a result of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5E3AE7A5" w14:textId="77777777" w:rsidR="0038140F" w:rsidRDefault="0038140F" w:rsidP="00CD0744">
      <w:pPr>
        <w:pStyle w:val="Heading2"/>
        <w:ind w:left="680" w:hanging="680"/>
      </w:pPr>
      <w:bookmarkStart w:id="195" w:name="_Toc64983190"/>
      <w:bookmarkStart w:id="196" w:name="_Toc96709997"/>
    </w:p>
    <w:p w14:paraId="3E8AFA7D" w14:textId="77777777" w:rsidR="0038140F" w:rsidRDefault="0038140F">
      <w:pPr>
        <w:keepLines w:val="0"/>
        <w:rPr>
          <w:rFonts w:asciiTheme="majorHAnsi" w:eastAsiaTheme="majorEastAsia" w:hAnsiTheme="majorHAnsi" w:cstheme="majorBidi"/>
          <w:b/>
          <w:caps/>
          <w:sz w:val="32"/>
          <w:szCs w:val="32"/>
        </w:rPr>
      </w:pPr>
      <w:r>
        <w:br w:type="page"/>
      </w:r>
    </w:p>
    <w:p w14:paraId="19C03FC6" w14:textId="7DF86D6D" w:rsidR="003719CD" w:rsidRDefault="003719CD" w:rsidP="0038140F">
      <w:pPr>
        <w:pStyle w:val="Heading1"/>
      </w:pPr>
      <w:r>
        <w:lastRenderedPageBreak/>
        <w:t>Style conventions</w:t>
      </w:r>
      <w:bookmarkEnd w:id="195"/>
      <w:bookmarkEnd w:id="196"/>
    </w:p>
    <w:p w14:paraId="7F5B3E81" w14:textId="77777777" w:rsidR="003719CD" w:rsidRDefault="003719CD" w:rsidP="00DC39DE">
      <w:r>
        <w:t>Figures in the tables and in the text have been rounded. Discrepancies in tables between totals and sums of components reflect rounding. Percentage variations in all tables are based on the underlying unrounded amounts.</w:t>
      </w:r>
    </w:p>
    <w:p w14:paraId="6A79E82D" w14:textId="77777777" w:rsidR="003719CD" w:rsidRDefault="003719CD" w:rsidP="00DC39DE">
      <w:r>
        <w:t>The notation used in the tables is as follows:</w:t>
      </w:r>
    </w:p>
    <w:p w14:paraId="61CCF65D" w14:textId="77777777" w:rsidR="003719CD" w:rsidRDefault="003719CD" w:rsidP="007D536F">
      <w:pPr>
        <w:tabs>
          <w:tab w:val="left" w:pos="567"/>
          <w:tab w:val="left" w:pos="1985"/>
        </w:tabs>
      </w:pPr>
      <w:r>
        <w:tab/>
        <w:t>..</w:t>
      </w:r>
      <w:r>
        <w:tab/>
        <w:t>zero, or rounded to zero</w:t>
      </w:r>
    </w:p>
    <w:p w14:paraId="0F143CD5" w14:textId="77777777" w:rsidR="003719CD" w:rsidRDefault="003719CD" w:rsidP="007D536F">
      <w:pPr>
        <w:tabs>
          <w:tab w:val="left" w:pos="567"/>
          <w:tab w:val="left" w:pos="1985"/>
        </w:tabs>
      </w:pPr>
      <w:r>
        <w:tab/>
        <w:t>(xxx.x)</w:t>
      </w:r>
      <w:r>
        <w:tab/>
        <w:t>negative numbers</w:t>
      </w:r>
    </w:p>
    <w:p w14:paraId="166E7233" w14:textId="77777777" w:rsidR="003719CD" w:rsidRDefault="003719CD" w:rsidP="007D536F">
      <w:pPr>
        <w:tabs>
          <w:tab w:val="left" w:pos="567"/>
          <w:tab w:val="left" w:pos="1985"/>
        </w:tabs>
      </w:pPr>
      <w:r>
        <w:tab/>
        <w:t>200x</w:t>
      </w:r>
      <w:r>
        <w:tab/>
        <w:t>year period</w:t>
      </w:r>
    </w:p>
    <w:p w14:paraId="261FD88F" w14:textId="77777777" w:rsidR="003719CD" w:rsidRDefault="003719CD" w:rsidP="007D536F">
      <w:pPr>
        <w:tabs>
          <w:tab w:val="left" w:pos="567"/>
          <w:tab w:val="left" w:pos="1985"/>
        </w:tabs>
      </w:pPr>
      <w:r>
        <w:tab/>
        <w:t>200x-0x</w:t>
      </w:r>
      <w:r>
        <w:tab/>
        <w:t>year period</w:t>
      </w:r>
    </w:p>
    <w:p w14:paraId="2EC3AB1C" w14:textId="24A945CD" w:rsidR="003719CD" w:rsidRDefault="003719CD" w:rsidP="00DC39DE">
      <w:r>
        <w:t xml:space="preserve">The financial statements and notes are presented based on the illustration for a government department in the </w:t>
      </w:r>
      <w:r w:rsidRPr="00325087">
        <w:rPr>
          <w:i/>
        </w:rPr>
        <w:fldChar w:fldCharType="begin"/>
      </w:r>
      <w:r w:rsidRPr="00AF446B">
        <w:rPr>
          <w:i/>
          <w:iCs/>
        </w:rPr>
        <w:instrText xml:space="preserve"> DOCPROPERTY  FinYearCurrent  \* MERGEFORMAT </w:instrText>
      </w:r>
      <w:r w:rsidRPr="00325087">
        <w:rPr>
          <w:i/>
        </w:rPr>
        <w:fldChar w:fldCharType="separate"/>
      </w:r>
      <w:r w:rsidR="004E5628">
        <w:rPr>
          <w:i/>
          <w:iCs/>
        </w:rPr>
        <w:t>20X1</w:t>
      </w:r>
      <w:r w:rsidR="004E5628" w:rsidRPr="004E5628">
        <w:rPr>
          <w:rFonts w:ascii="Cambria Math" w:hAnsi="Cambria Math" w:cs="Cambria Math"/>
          <w:i/>
          <w:iCs/>
        </w:rPr>
        <w:t>‑</w:t>
      </w:r>
      <w:r w:rsidR="004E5628">
        <w:rPr>
          <w:i/>
          <w:iCs/>
        </w:rPr>
        <w:t>X2</w:t>
      </w:r>
      <w:r w:rsidRPr="00325087">
        <w:rPr>
          <w:i/>
        </w:rPr>
        <w:fldChar w:fldCharType="end"/>
      </w:r>
      <w:r w:rsidRPr="00747A86">
        <w:rPr>
          <w:i/>
          <w:iCs/>
        </w:rPr>
        <w:t xml:space="preserve"> Model Report for Victorian Government Departments</w:t>
      </w:r>
      <w:r>
        <w:t>. The presentation of other disclosures is generally consistent with the other disclosures made in earlier publications of the Department’s annual reports.</w:t>
      </w:r>
    </w:p>
    <w:bookmarkEnd w:id="131"/>
    <w:p w14:paraId="23881DC0" w14:textId="77777777" w:rsidR="003719CD" w:rsidRDefault="003719CD" w:rsidP="00DC39DE"/>
    <w:p w14:paraId="56C203D4" w14:textId="77777777" w:rsidR="00A70247" w:rsidRDefault="00A70247" w:rsidP="002E099A"/>
    <w:sectPr w:rsidR="00A70247" w:rsidSect="002E099A">
      <w:headerReference w:type="even" r:id="rId119"/>
      <w:footerReference w:type="even" r:id="rId120"/>
      <w:type w:val="oddPage"/>
      <w:pgSz w:w="11906" w:h="16838" w:code="9"/>
      <w:pgMar w:top="1134" w:right="1134" w:bottom="1134"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C5DCC" w14:textId="77777777" w:rsidR="008B1BB6" w:rsidRDefault="008B1BB6" w:rsidP="00F51427">
      <w:pPr>
        <w:spacing w:before="0" w:after="0" w:line="240" w:lineRule="auto"/>
      </w:pPr>
      <w:r>
        <w:separator/>
      </w:r>
    </w:p>
  </w:endnote>
  <w:endnote w:type="continuationSeparator" w:id="0">
    <w:p w14:paraId="05FDCE0D" w14:textId="77777777" w:rsidR="008B1BB6" w:rsidRDefault="008B1BB6" w:rsidP="00F51427">
      <w:pPr>
        <w:spacing w:before="0" w:after="0" w:line="240" w:lineRule="auto"/>
      </w:pPr>
      <w:r>
        <w:continuationSeparator/>
      </w:r>
    </w:p>
  </w:endnote>
  <w:endnote w:type="continuationNotice" w:id="1">
    <w:p w14:paraId="61A9F63E" w14:textId="77777777" w:rsidR="008B1BB6" w:rsidRDefault="008B1BB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1A67C" w14:textId="70C4DF10" w:rsidR="00A545BA" w:rsidRDefault="00BC3DBB" w:rsidP="007D536F">
    <w:pPr>
      <w:pStyle w:val="Spacer"/>
    </w:pPr>
    <w:r>
      <w:rPr>
        <w:noProof/>
      </w:rPr>
      <mc:AlternateContent>
        <mc:Choice Requires="wps">
          <w:drawing>
            <wp:anchor distT="0" distB="0" distL="114300" distR="114300" simplePos="0" relativeHeight="251658283" behindDoc="0" locked="0" layoutInCell="0" allowOverlap="1" wp14:anchorId="700354EB" wp14:editId="7ECC77C7">
              <wp:simplePos x="0" y="0"/>
              <wp:positionH relativeFrom="page">
                <wp:align>left</wp:align>
              </wp:positionH>
              <wp:positionV relativeFrom="page">
                <wp:align>bottom</wp:align>
              </wp:positionV>
              <wp:extent cx="7772400" cy="463550"/>
              <wp:effectExtent l="0" t="0" r="0" b="0"/>
              <wp:wrapNone/>
              <wp:docPr id="47070446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44D4C22F" w14:textId="2840BBA0" w:rsidR="00A72378"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0354EB" id="_x0000_t202" coordsize="21600,21600" o:spt="202" path="m,l,21600r21600,l21600,xe">
              <v:stroke joinstyle="miter"/>
              <v:path gradientshapeok="t" o:connecttype="rect"/>
            </v:shapetype>
            <v:shape id="Text Box 71" o:spid="_x0000_s1046" type="#_x0000_t202" style="position:absolute;margin-left:0;margin-top:0;width:612pt;height:36.5pt;z-index:25165828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" o:allowincell="f" filled="f" stroked="f" strokeweight=".5pt">
              <v:textbox inset="20pt,0,,0">
                <w:txbxContent>
                  <w:p w14:paraId="44D4C22F" w14:textId="2840BBA0" w:rsidR="00A72378"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76" behindDoc="0" locked="0" layoutInCell="0" allowOverlap="1" wp14:anchorId="015F0267" wp14:editId="7680C4C9">
              <wp:simplePos x="0" y="0"/>
              <wp:positionH relativeFrom="page">
                <wp:align>left</wp:align>
              </wp:positionH>
              <wp:positionV relativeFrom="page">
                <wp:align>bottom</wp:align>
              </wp:positionV>
              <wp:extent cx="7772400" cy="463550"/>
              <wp:effectExtent l="0" t="0" r="0" b="0"/>
              <wp:wrapNone/>
              <wp:docPr id="11001137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FCB562C" w14:textId="326206A7"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5F0267" id="Text Box 70" o:spid="_x0000_s1047" type="#_x0000_t202" style="position:absolute;margin-left:0;margin-top:0;width:612pt;height:36.5pt;z-index:2516582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3ITKA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" o:allowincell="f" filled="f" stroked="f" strokeweight=".5pt">
              <v:textbox inset="20pt,0,,0">
                <w:txbxContent>
                  <w:p w14:paraId="0FCB562C" w14:textId="326206A7"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72" behindDoc="0" locked="0" layoutInCell="0" allowOverlap="1" wp14:anchorId="43F00CC3" wp14:editId="1A966029">
              <wp:simplePos x="0" y="0"/>
              <wp:positionH relativeFrom="page">
                <wp:align>left</wp:align>
              </wp:positionH>
              <wp:positionV relativeFrom="page">
                <wp:align>bottom</wp:align>
              </wp:positionV>
              <wp:extent cx="7772400" cy="463550"/>
              <wp:effectExtent l="0" t="0" r="0" b="0"/>
              <wp:wrapNone/>
              <wp:docPr id="56328300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71573BD4" w14:textId="52B245E9"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F00CC3" id="Text Box 69" o:spid="_x0000_s1048" type="#_x0000_t202" style="position:absolute;margin-left:0;margin-top:0;width:612pt;height:36.5pt;z-index:2516582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B2PaN9KQIAAEcEAAAOAAAAAAAAAAAAAAAAAC4CAABkcnMvZTJvRG9j&#10;LnhtbFBLAQItABQABgAIAAAAIQD+9Y2b2gAAAAUBAAAPAAAAAAAAAAAAAAAAAIMEAABkcnMvZG93&#10;bnJldi54bWxQSwUGAAAAAAQABADzAAAAigUAAAAA&#10;" o:allowincell="f" filled="f" stroked="f" strokeweight=".5pt">
              <v:textbox inset="20pt,0,,0">
                <w:txbxContent>
                  <w:p w14:paraId="71573BD4" w14:textId="52B245E9"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0" allowOverlap="1" wp14:anchorId="3E96AA25" wp14:editId="34FCE596">
              <wp:simplePos x="0" y="0"/>
              <wp:positionH relativeFrom="page">
                <wp:align>left</wp:align>
              </wp:positionH>
              <wp:positionV relativeFrom="page">
                <wp:align>bottom</wp:align>
              </wp:positionV>
              <wp:extent cx="7772400" cy="463550"/>
              <wp:effectExtent l="0" t="0" r="0" b="0"/>
              <wp:wrapNone/>
              <wp:docPr id="94307044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3337521" w14:textId="5CA1B664"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96AA25" id="Text Box 68" o:spid="_x0000_s1049" type="#_x0000_t202" style="position:absolute;margin-left:0;margin-top:0;width:612pt;height:36.5pt;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AcecPuKQIAAEcEAAAOAAAAAAAAAAAAAAAAAC4CAABkcnMvZTJvRG9j&#10;LnhtbFBLAQItABQABgAIAAAAIQD+9Y2b2gAAAAUBAAAPAAAAAAAAAAAAAAAAAIMEAABkcnMvZG93&#10;bnJldi54bWxQSwUGAAAAAAQABADzAAAAigUAAAAA&#10;" o:allowincell="f" filled="f" stroked="f" strokeweight=".5pt">
              <v:textbox inset="20pt,0,,0">
                <w:txbxContent>
                  <w:p w14:paraId="03337521" w14:textId="5CA1B664"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mc:Fallback>
      </mc:AlternateContent>
    </w:r>
  </w:p>
  <w:p w14:paraId="787CD4B6" w14:textId="77777777" w:rsidR="00A545BA" w:rsidRDefault="00A545BA" w:rsidP="007D536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0319E" w14:textId="27C05706" w:rsidR="00FF47D4" w:rsidRDefault="00D26320">
    <w:pPr>
      <w:pStyle w:val="Footer"/>
    </w:pPr>
    <w:fldSimple w:instr="STYLEREF  Title  \* MERGEFORMAT">
      <w:r w:rsidRPr="00D26320">
        <w:rPr>
          <w:b/>
          <w:bCs/>
          <w:noProof/>
          <w:lang w:val="en-US"/>
        </w:rPr>
        <w:t>Model Report for Victorian Government Departments</w:t>
      </w:r>
    </w:fldSimple>
    <w:r w:rsidR="007E31C0" w:rsidRPr="00D332B9">
      <w:tab/>
    </w:r>
    <w:r w:rsidR="007E31C0" w:rsidRPr="00D332B9">
      <w:fldChar w:fldCharType="begin"/>
    </w:r>
    <w:r w:rsidR="007E31C0" w:rsidRPr="00D332B9">
      <w:instrText xml:space="preserve"> PAGE   \* MERGEFORMAT </w:instrText>
    </w:r>
    <w:r w:rsidR="007E31C0" w:rsidRPr="00D332B9">
      <w:fldChar w:fldCharType="separate"/>
    </w:r>
    <w:r w:rsidR="007E31C0">
      <w:t>95</w:t>
    </w:r>
    <w:r w:rsidR="007E31C0" w:rsidRPr="00D332B9">
      <w:fldChar w:fldCharType="end"/>
    </w:r>
    <w:r w:rsidR="00BC3DBB">
      <w:rPr>
        <w:noProof/>
      </w:rPr>
      <mc:AlternateContent>
        <mc:Choice Requires="wps">
          <w:drawing>
            <wp:anchor distT="0" distB="0" distL="114300" distR="114300" simplePos="0" relativeHeight="251658264" behindDoc="0" locked="0" layoutInCell="0" allowOverlap="1" wp14:anchorId="01C217E1" wp14:editId="1562FD0C">
              <wp:simplePos x="0" y="0"/>
              <wp:positionH relativeFrom="page">
                <wp:align>left</wp:align>
              </wp:positionH>
              <wp:positionV relativeFrom="page">
                <wp:align>bottom</wp:align>
              </wp:positionV>
              <wp:extent cx="7772400" cy="463550"/>
              <wp:effectExtent l="0" t="0" r="0" b="0"/>
              <wp:wrapNone/>
              <wp:docPr id="18961067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19DCD31B" w14:textId="77777777" w:rsidR="007E31C0" w:rsidRPr="001C1DBD" w:rsidRDefault="007E31C0"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C217E1" id="_x0000_t202" coordsize="21600,21600" o:spt="202" path="m,l,21600r21600,l21600,xe">
              <v:stroke joinstyle="miter"/>
              <v:path gradientshapeok="t" o:connecttype="rect"/>
            </v:shapetype>
            <v:shape id="Text Box 25" o:spid="_x0000_s1063" type="#_x0000_t202" style="position:absolute;margin-left:0;margin-top:0;width:612pt;height:36.5pt;z-index:251658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" o:allowincell="f" filled="f" stroked="f" strokeweight=".5pt">
              <v:textbox inset="20pt,0,,0">
                <w:txbxContent>
                  <w:p w14:paraId="19DCD31B" w14:textId="77777777" w:rsidR="007E31C0" w:rsidRPr="001C1DBD" w:rsidRDefault="007E31C0"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84590" w14:textId="6C374695" w:rsidR="00A545BA" w:rsidRPr="0021384F" w:rsidRDefault="00BC3DBB" w:rsidP="00314307">
    <w:pPr>
      <w:pStyle w:val="Footer"/>
    </w:pPr>
    <w:r>
      <w:rPr>
        <w:noProof/>
      </w:rPr>
      <mc:AlternateContent>
        <mc:Choice Requires="wps">
          <w:drawing>
            <wp:anchor distT="0" distB="0" distL="114300" distR="114300" simplePos="0" relativeHeight="251658260" behindDoc="0" locked="0" layoutInCell="0" allowOverlap="1" wp14:anchorId="4DF97D77" wp14:editId="73E97656">
              <wp:simplePos x="0" y="0"/>
              <wp:positionH relativeFrom="page">
                <wp:align>left</wp:align>
              </wp:positionH>
              <wp:positionV relativeFrom="page">
                <wp:align>bottom</wp:align>
              </wp:positionV>
              <wp:extent cx="7772400" cy="463550"/>
              <wp:effectExtent l="0" t="0" r="0" b="0"/>
              <wp:wrapNone/>
              <wp:docPr id="7974385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63CFDD67" w14:textId="3CD7192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F97D77" id="_x0000_t202" coordsize="21600,21600" o:spt="202" path="m,l,21600r21600,l21600,xe">
              <v:stroke joinstyle="miter"/>
              <v:path gradientshapeok="t" o:connecttype="rect"/>
            </v:shapetype>
            <v:shape id="Text Box 24" o:spid="_x0000_s1064" type="#_x0000_t202" style="position:absolute;margin-left:0;margin-top:0;width:612pt;height:36.5pt;z-index:2516582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" o:allowincell="f" filled="f" stroked="f" strokeweight=".5pt">
              <v:textbox inset="20pt,0,,0">
                <w:txbxContent>
                  <w:p w14:paraId="63CFDD67" w14:textId="3CD7192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fldSimple w:instr="STYLEREF  Title  \* MERGEFORMAT">
      <w:r w:rsidR="002D4B83">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E4337" w14:textId="350F33EB" w:rsidR="00A545BA" w:rsidRDefault="00860F91">
    <w:pPr>
      <w:pStyle w:val="Footer"/>
    </w:pPr>
    <w:r>
      <w:fldChar w:fldCharType="begin"/>
    </w:r>
    <w:r>
      <w:instrText xml:space="preserve"> PAGE   \* MERGEFORMAT </w:instrText>
    </w:r>
    <w:r>
      <w:fldChar w:fldCharType="separate"/>
    </w:r>
    <w:r>
      <w:rPr>
        <w:noProof/>
      </w:rPr>
      <w:t>165</w:t>
    </w:r>
    <w:r>
      <w:fldChar w:fldCharType="end"/>
    </w:r>
    <w:r w:rsidR="00BC3DBB">
      <w:rPr>
        <w:noProof/>
      </w:rPr>
      <mc:AlternateContent>
        <mc:Choice Requires="wps">
          <w:drawing>
            <wp:anchor distT="0" distB="0" distL="114300" distR="114300" simplePos="0" relativeHeight="251658261" behindDoc="0" locked="0" layoutInCell="0" allowOverlap="1" wp14:anchorId="68FC91B3" wp14:editId="26421FAC">
              <wp:simplePos x="0" y="0"/>
              <wp:positionH relativeFrom="page">
                <wp:align>left</wp:align>
              </wp:positionH>
              <wp:positionV relativeFrom="page">
                <wp:align>bottom</wp:align>
              </wp:positionV>
              <wp:extent cx="7772400" cy="463550"/>
              <wp:effectExtent l="0" t="0" r="0" b="0"/>
              <wp:wrapNone/>
              <wp:docPr id="4968701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121D6161" w14:textId="631F7E7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FC91B3" id="_x0000_t202" coordsize="21600,21600" o:spt="202" path="m,l,21600r21600,l21600,xe">
              <v:stroke joinstyle="miter"/>
              <v:path gradientshapeok="t" o:connecttype="rect"/>
            </v:shapetype>
            <v:shape id="Text Box 23" o:spid="_x0000_s1065" type="#_x0000_t202" style="position:absolute;margin-left:0;margin-top:0;width:612pt;height:36.5pt;z-index:25165826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" o:allowincell="f" filled="f" stroked="f" strokeweight=".5pt">
              <v:textbox inset="20pt,0,,0">
                <w:txbxContent>
                  <w:p w14:paraId="121D6161" w14:textId="631F7E7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r>
      <w:tab/>
    </w:r>
    <w:fldSimple w:instr="STYLEREF  Title  \* MERGEFORMAT">
      <w:r w:rsidR="002D4B83">
        <w:rPr>
          <w:noProof/>
        </w:rPr>
        <w:t>Model Report for Victorian Government Departments</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5345A" w14:textId="23078A7E" w:rsidR="00A545BA" w:rsidRDefault="00D26320">
    <w:pPr>
      <w:pStyle w:val="Footer"/>
    </w:pPr>
    <w:fldSimple w:instr="STYLEREF  Title  \* MERGEFORMAT">
      <w:r w:rsidR="002D4B83">
        <w:rPr>
          <w:noProof/>
        </w:rPr>
        <w:t>Model Report for Victorian Government Departments</w:t>
      </w:r>
    </w:fldSimple>
    <w:r w:rsidR="00A545BA">
      <w:tab/>
    </w:r>
    <w:r w:rsidR="001E2839" w:rsidRPr="00D332B9">
      <w:fldChar w:fldCharType="begin"/>
    </w:r>
    <w:r w:rsidR="001E2839" w:rsidRPr="00D332B9">
      <w:instrText xml:space="preserve"> PAGE   \* MERGEFORMAT </w:instrText>
    </w:r>
    <w:r w:rsidR="001E2839" w:rsidRPr="00D332B9">
      <w:fldChar w:fldCharType="separate"/>
    </w:r>
    <w:r w:rsidR="001E2839">
      <w:t>101</w:t>
    </w:r>
    <w:r w:rsidR="001E2839" w:rsidRPr="00D332B9">
      <w:fldChar w:fldCharType="end"/>
    </w:r>
    <w:r w:rsidR="001E2839">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D8DD" w14:textId="7411BD25" w:rsidR="00FF47D4" w:rsidRDefault="00FF47D4" w:rsidP="00A84AAB">
    <w:pPr>
      <w:pStyle w:val="Footer"/>
      <w:pBdr>
        <w:top w:val="none" w:sz="0" w:space="0" w:color="auto"/>
      </w:pBd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ECD3" w14:textId="40EFFA01" w:rsidR="00A545BA" w:rsidRPr="00462796" w:rsidRDefault="00BC3DBB" w:rsidP="00462796">
    <w:r>
      <w:rPr>
        <w:noProof/>
      </w:rPr>
      <mc:AlternateContent>
        <mc:Choice Requires="wps">
          <w:drawing>
            <wp:anchor distT="0" distB="0" distL="114300" distR="114300" simplePos="0" relativeHeight="251658262" behindDoc="0" locked="0" layoutInCell="0" allowOverlap="1" wp14:anchorId="6F5D239D" wp14:editId="787F265F">
              <wp:simplePos x="0" y="0"/>
              <wp:positionH relativeFrom="page">
                <wp:align>left</wp:align>
              </wp:positionH>
              <wp:positionV relativeFrom="page">
                <wp:align>bottom</wp:align>
              </wp:positionV>
              <wp:extent cx="7772400" cy="463550"/>
              <wp:effectExtent l="0" t="0" r="0" b="0"/>
              <wp:wrapNone/>
              <wp:docPr id="146149584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59B88EF4" w14:textId="138DB1A5"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5D239D" id="_x0000_t202" coordsize="21600,21600" o:spt="202" path="m,l,21600r21600,l21600,xe">
              <v:stroke joinstyle="miter"/>
              <v:path gradientshapeok="t" o:connecttype="rect"/>
            </v:shapetype>
            <v:shape id="Text Box 18" o:spid="_x0000_s1070" type="#_x0000_t202" style="position:absolute;margin-left:0;margin-top:0;width:612pt;height:36.5pt;z-index:25165826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" o:allowincell="f" filled="f" stroked="f" strokeweight=".5pt">
              <v:textbox inset="20pt,0,,0">
                <w:txbxContent>
                  <w:p w14:paraId="59B88EF4" w14:textId="138DB1A5"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7E4C" w14:textId="0764C617" w:rsidR="00A545BA" w:rsidRDefault="00BC3DBB">
    <w:pPr>
      <w:pStyle w:val="Footer"/>
    </w:pPr>
    <w:r>
      <w:rPr>
        <w:noProof/>
      </w:rPr>
      <mc:AlternateContent>
        <mc:Choice Requires="wps">
          <w:drawing>
            <wp:anchor distT="0" distB="0" distL="114300" distR="114300" simplePos="0" relativeHeight="251658263" behindDoc="0" locked="0" layoutInCell="0" allowOverlap="1" wp14:anchorId="1D581BA7" wp14:editId="33EF88ED">
              <wp:simplePos x="0" y="0"/>
              <wp:positionH relativeFrom="page">
                <wp:align>left</wp:align>
              </wp:positionH>
              <wp:positionV relativeFrom="page">
                <wp:align>bottom</wp:align>
              </wp:positionV>
              <wp:extent cx="7772400" cy="463550"/>
              <wp:effectExtent l="0" t="0" r="0" b="0"/>
              <wp:wrapNone/>
              <wp:docPr id="11073356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5E273839" w14:textId="32ECE18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581BA7" id="_x0000_t202" coordsize="21600,21600" o:spt="202" path="m,l,21600r21600,l21600,xe">
              <v:stroke joinstyle="miter"/>
              <v:path gradientshapeok="t" o:connecttype="rect"/>
            </v:shapetype>
            <v:shape id="Text Box 17" o:spid="_x0000_s1071" type="#_x0000_t202" style="position:absolute;margin-left:0;margin-top:0;width:612pt;height:36.5pt;z-index:25165826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" o:allowincell="f" filled="f" stroked="f" strokeweight=".5pt">
              <v:textbox inset="20pt,0,,0">
                <w:txbxContent>
                  <w:p w14:paraId="5E273839" w14:textId="32ECE18C"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1E4A8" w14:textId="26C28020"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STYLEREF  Title  \* MERGEFORMAT">
      <w:r w:rsidR="002D4B83">
        <w:rPr>
          <w:noProof/>
        </w:rPr>
        <w:t>Model Report for Victorian Government Departments</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E75C3" w14:textId="04B3A665" w:rsidR="00A545BA" w:rsidRPr="0021384F" w:rsidRDefault="00D26320" w:rsidP="00314307">
    <w:pPr>
      <w:pStyle w:val="Footer"/>
    </w:pPr>
    <w:fldSimple w:instr="STYLEREF  Title  \* MERGEFORMAT">
      <w:r w:rsidR="002D4B83">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E4D47" w14:textId="7958AD45" w:rsidR="00A545BA" w:rsidRDefault="00A545BA">
    <w:pPr>
      <w:pStyle w:val="Footer"/>
    </w:pPr>
    <w:r w:rsidRPr="00D332B9">
      <w:fldChar w:fldCharType="begin"/>
    </w:r>
    <w:r w:rsidRPr="00D332B9">
      <w:instrText xml:space="preserve"> PAGE   \* MERGEFORMAT </w:instrText>
    </w:r>
    <w:r w:rsidRPr="00D332B9">
      <w:fldChar w:fldCharType="separate"/>
    </w:r>
    <w:r>
      <w:t>114</w:t>
    </w:r>
    <w:r w:rsidRPr="00D332B9">
      <w:fldChar w:fldCharType="end"/>
    </w:r>
    <w:r>
      <w:tab/>
    </w:r>
    <w:fldSimple w:instr="STYLEREF  Title  \* MERGEFORMAT">
      <w:r w:rsidR="00D26320">
        <w:rPr>
          <w:noProof/>
        </w:rPr>
        <w:t>Model Report for Victorian Government Departments</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FDB47" w14:textId="5111A6E3" w:rsidR="00A545BA" w:rsidRDefault="00BC3DBB" w:rsidP="007D536F">
    <w:pPr>
      <w:pStyle w:val="Spacer"/>
    </w:pPr>
    <w:r>
      <w:rPr>
        <w:noProof/>
      </w:rPr>
      <mc:AlternateContent>
        <mc:Choice Requires="wps">
          <w:drawing>
            <wp:anchor distT="0" distB="0" distL="114300" distR="114300" simplePos="0" relativeHeight="251658281" behindDoc="0" locked="0" layoutInCell="0" allowOverlap="1" wp14:anchorId="2520F495" wp14:editId="49EDF6AD">
              <wp:simplePos x="0" y="0"/>
              <wp:positionH relativeFrom="page">
                <wp:align>left</wp:align>
              </wp:positionH>
              <wp:positionV relativeFrom="page">
                <wp:align>bottom</wp:align>
              </wp:positionV>
              <wp:extent cx="7772400" cy="463550"/>
              <wp:effectExtent l="0" t="0" r="0" b="0"/>
              <wp:wrapNone/>
              <wp:docPr id="20035613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6DD3D6EB" w14:textId="1BFB8C1A" w:rsidR="00A72378" w:rsidRPr="000B2686" w:rsidRDefault="00A72378" w:rsidP="000B2686">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520F495" id="_x0000_t202" coordsize="21600,21600" o:spt="202" path="m,l,21600r21600,l21600,xe">
              <v:stroke joinstyle="miter"/>
              <v:path gradientshapeok="t" o:connecttype="rect"/>
            </v:shapetype>
            <v:shape id="Text Box 67" o:spid="_x0000_s1050" type="#_x0000_t202" style="position:absolute;margin-left:0;margin-top:0;width:612pt;height:36.5pt;z-index:25165828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CgKQ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CruIjMeb&#10;HVQnnNvBWRLe8rXCHjbMh2fmUAPYNuo6POEiNWAt6C1KanA//3Yf45Ea9FLSoqZK6n8cmBOU6K8G&#10;SZvMEI2ownRCwyXj03g6xcNuuDWH5h5Qr2P8OpYnM8YGPZjSQfOKul/FcuhihmPRkvLghsN9OIsc&#10;fw4Xq1UKQ8VZFjZma/nAdAT3pXtlzvYMBOTuEQbhseINEefYMxWrQwCpEktXQHvkUa2JvP5nxe/w&#10;+zlFXf//8hcA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CIqACgKQIAAEcEAAAOAAAAAAAAAAAAAAAAAC4CAABkcnMvZTJvRG9j&#10;LnhtbFBLAQItABQABgAIAAAAIQD+9Y2b2gAAAAUBAAAPAAAAAAAAAAAAAAAAAIMEAABkcnMvZG93&#10;bnJldi54bWxQSwUGAAAAAAQABADzAAAAigUAAAAA&#10;" o:allowincell="f" filled="f" stroked="f" strokeweight=".5pt">
              <v:textbox inset="20pt,0,,0">
                <w:txbxContent>
                  <w:p w14:paraId="6DD3D6EB" w14:textId="1BFB8C1A" w:rsidR="00A72378" w:rsidRPr="000B2686" w:rsidRDefault="00A72378" w:rsidP="000B2686">
                    <w:pPr>
                      <w:spacing w:before="0" w:after="0"/>
                      <w:rPr>
                        <w:rFonts w:ascii="Calibri" w:hAnsi="Calibri" w:cs="Calibri"/>
                        <w:color w:val="000000"/>
                        <w:sz w:val="22"/>
                      </w:rPr>
                    </w:pPr>
                  </w:p>
                </w:txbxContent>
              </v:textbox>
              <w10:wrap anchorx="page" anchory="page"/>
            </v:shape>
          </w:pict>
        </mc:Fallback>
      </mc:AlternateContent>
    </w:r>
    <w:r>
      <w:rPr>
        <w:noProof/>
      </w:rPr>
      <mc:AlternateContent>
        <mc:Choice Requires="wps">
          <w:drawing>
            <wp:anchor distT="0" distB="0" distL="114300" distR="114300" simplePos="0" relativeHeight="251658274" behindDoc="0" locked="0" layoutInCell="0" allowOverlap="1" wp14:anchorId="5B2E44CF" wp14:editId="44BAF920">
              <wp:simplePos x="0" y="0"/>
              <wp:positionH relativeFrom="page">
                <wp:align>left</wp:align>
              </wp:positionH>
              <wp:positionV relativeFrom="page">
                <wp:align>bottom</wp:align>
              </wp:positionV>
              <wp:extent cx="7772400" cy="463550"/>
              <wp:effectExtent l="0" t="0" r="0" b="0"/>
              <wp:wrapNone/>
              <wp:docPr id="9071248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199C77E8" w14:textId="140F057A"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2E44CF" id="Text Box 66" o:spid="_x0000_s1051" type="#_x0000_t202" style="position:absolute;margin-left:0;margin-top:0;width:612pt;height:36.5pt;z-index:25165827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AzKQ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qqSzyHi8&#10;2UF1wrkdnCXhLV8r7GHDfHhmDjWAbaOuwxMuUgPWgt6ipAb382/3MR6pQS8lLWqqpP7HgTlBif5q&#10;kLTJDNGIKkwnNFwyPo2nUzzshltzaO4B9TrGr2N5MmNs0IMpHTSvqPtVLIcuZjgWLSkPbjjch7PI&#10;8edwsVqlMFScZWFjtpYPTEdwX7pX5mzPQEDuHmEQHiveEHGOPVOxOgSQKrF0BbRHHtWayOt/VvwO&#10;v59T1PX/L38B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Di7GAzKQIAAEcEAAAOAAAAAAAAAAAAAAAAAC4CAABkcnMvZTJvRG9j&#10;LnhtbFBLAQItABQABgAIAAAAIQD+9Y2b2gAAAAUBAAAPAAAAAAAAAAAAAAAAAIMEAABkcnMvZG93&#10;bnJldi54bWxQSwUGAAAAAAQABADzAAAAigUAAAAA&#10;" o:allowincell="f" filled="f" stroked="f" strokeweight=".5pt">
              <v:textbox inset="20pt,0,,0">
                <w:txbxContent>
                  <w:p w14:paraId="199C77E8" w14:textId="140F057A"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73" behindDoc="0" locked="0" layoutInCell="0" allowOverlap="1" wp14:anchorId="6EDA2DD0" wp14:editId="53300125">
              <wp:simplePos x="0" y="0"/>
              <wp:positionH relativeFrom="page">
                <wp:align>left</wp:align>
              </wp:positionH>
              <wp:positionV relativeFrom="page">
                <wp:align>bottom</wp:align>
              </wp:positionV>
              <wp:extent cx="7772400" cy="463550"/>
              <wp:effectExtent l="0" t="0" r="0" b="0"/>
              <wp:wrapNone/>
              <wp:docPr id="7793500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3FD86CEF" w14:textId="409D246E" w:rsidR="00FE7DFF" w:rsidRPr="00FE7DFF" w:rsidRDefault="00FE7DFF" w:rsidP="00FE7DFF">
                          <w:pPr>
                            <w:spacing w:before="0" w:after="0"/>
                            <w:rPr>
                              <w:rFonts w:ascii="Calibri" w:hAnsi="Calibri" w:cs="Calibri"/>
                              <w:color w:val="000000"/>
                              <w:sz w:val="22"/>
                            </w:rPr>
                          </w:pPr>
                          <w:r w:rsidRPr="00FE7DF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DA2DD0" id="Text Box 65" o:spid="_x0000_s1052" type="#_x0000_t202" style="position:absolute;margin-left:0;margin-top:0;width:612pt;height:36.5pt;z-index:25165827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FdKA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" o:allowincell="f" filled="f" stroked="f" strokeweight=".5pt">
              <v:textbox inset="20pt,0,,0">
                <w:txbxContent>
                  <w:p w14:paraId="3FD86CEF" w14:textId="409D246E" w:rsidR="00FE7DFF" w:rsidRPr="00FE7DFF" w:rsidRDefault="00FE7DFF" w:rsidP="00FE7DFF">
                    <w:pPr>
                      <w:spacing w:before="0" w:after="0"/>
                      <w:rPr>
                        <w:rFonts w:ascii="Calibri" w:hAnsi="Calibri" w:cs="Calibri"/>
                        <w:color w:val="000000"/>
                        <w:sz w:val="22"/>
                      </w:rPr>
                    </w:pPr>
                    <w:r w:rsidRPr="00FE7DFF">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70" behindDoc="0" locked="0" layoutInCell="0" allowOverlap="1" wp14:anchorId="305704D8" wp14:editId="774D850F">
              <wp:simplePos x="0" y="0"/>
              <wp:positionH relativeFrom="page">
                <wp:align>left</wp:align>
              </wp:positionH>
              <wp:positionV relativeFrom="page">
                <wp:align>bottom</wp:align>
              </wp:positionV>
              <wp:extent cx="7772400" cy="463550"/>
              <wp:effectExtent l="0" t="0" r="0" b="0"/>
              <wp:wrapNone/>
              <wp:docPr id="106845130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45DDB86B" w14:textId="1B2BE370"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5704D8" id="Text Box 64" o:spid="_x0000_s1053" type="#_x0000_t202" style="position:absolute;margin-left:0;margin-top:0;width:612pt;height:36.5pt;z-index:25165827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B3YtHOKQIAAEcEAAAOAAAAAAAAAAAAAAAAAC4CAABkcnMvZTJvRG9j&#10;LnhtbFBLAQItABQABgAIAAAAIQD+9Y2b2gAAAAUBAAAPAAAAAAAAAAAAAAAAAIMEAABkcnMvZG93&#10;bnJldi54bWxQSwUGAAAAAAQABADzAAAAigUAAAAA&#10;" o:allowincell="f" filled="f" stroked="f" strokeweight=".5pt">
              <v:textbox inset="20pt,0,,0">
                <w:txbxContent>
                  <w:p w14:paraId="45DDB86B" w14:textId="1B2BE370"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sidR="00A545BA">
      <w:rPr>
        <w:noProof/>
      </w:rPr>
      <w:drawing>
        <wp:anchor distT="0" distB="0" distL="114300" distR="114300" simplePos="0" relativeHeight="251658269" behindDoc="0" locked="0" layoutInCell="1" allowOverlap="1" wp14:anchorId="5EB60B27" wp14:editId="272B7848">
          <wp:simplePos x="0" y="0"/>
          <wp:positionH relativeFrom="page">
            <wp:posOffset>5314820</wp:posOffset>
          </wp:positionH>
          <wp:positionV relativeFrom="page">
            <wp:posOffset>9811910</wp:posOffset>
          </wp:positionV>
          <wp:extent cx="1536192" cy="457200"/>
          <wp:effectExtent l="0" t="0" r="6985" b="0"/>
          <wp:wrapNone/>
          <wp:docPr id="2006284377" name="Picture 2006284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14:paraId="7E5C2E45" w14:textId="77777777" w:rsidR="00A545BA" w:rsidRDefault="00A545BA" w:rsidP="00F6022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C2A53" w14:textId="772245F0" w:rsidR="00B50EB6" w:rsidRDefault="00C84604">
    <w:pPr>
      <w:pStyle w:val="Footer"/>
    </w:pPr>
    <w:r w:rsidRPr="00D332B9">
      <w:fldChar w:fldCharType="begin"/>
    </w:r>
    <w:r w:rsidRPr="00D332B9">
      <w:instrText xml:space="preserve"> PAGE   \* MERGEFORMAT </w:instrText>
    </w:r>
    <w:r w:rsidRPr="00D332B9">
      <w:fldChar w:fldCharType="separate"/>
    </w:r>
    <w:r>
      <w:t>114</w:t>
    </w:r>
    <w:r w:rsidRPr="00D332B9">
      <w:fldChar w:fldCharType="end"/>
    </w:r>
    <w:r>
      <w:tab/>
    </w:r>
    <w:fldSimple w:instr="STYLEREF  Title  \* MERGEFORMAT">
      <w:r w:rsidR="002D4B83">
        <w:rPr>
          <w:noProof/>
        </w:rPr>
        <w:t>Model Report for Victorian Government Departments</w:t>
      </w:r>
    </w:fldSimple>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4C664" w14:textId="42A2EDB7" w:rsidR="00A545BA" w:rsidRPr="007D63C8" w:rsidRDefault="00A545BA" w:rsidP="007D63C8"/>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4774E" w14:textId="7323F380" w:rsidR="00A545BA" w:rsidRPr="00335923" w:rsidRDefault="00A545BA" w:rsidP="00335923"/>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89503" w14:textId="77777777" w:rsidR="00A545BA" w:rsidRDefault="00A545B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D63FF" w14:textId="1BCE012D" w:rsidR="00A545BA" w:rsidRPr="007D63C8" w:rsidRDefault="00A545BA" w:rsidP="00335923">
    <w:pPr>
      <w:pStyle w:val="Footer"/>
    </w:pPr>
    <w:r w:rsidRPr="00D332B9">
      <w:fldChar w:fldCharType="begin"/>
    </w:r>
    <w:r w:rsidRPr="00D332B9">
      <w:instrText xml:space="preserve"> PAGE   \* MERGEFORMAT </w:instrText>
    </w:r>
    <w:r w:rsidRPr="00D332B9">
      <w:fldChar w:fldCharType="separate"/>
    </w:r>
    <w:r>
      <w:t>120</w:t>
    </w:r>
    <w:r w:rsidRPr="00D332B9">
      <w:fldChar w:fldCharType="end"/>
    </w:r>
    <w:r>
      <w:tab/>
    </w:r>
    <w:fldSimple w:instr="STYLEREF  Title  \* MERGEFORMAT">
      <w:r w:rsidR="00D26320" w:rsidRPr="00D26320">
        <w:rPr>
          <w:b/>
          <w:bCs/>
          <w:noProof/>
          <w:lang w:val="en-US"/>
        </w:rPr>
        <w:t>Model Report for Victorian Government Departments</w:t>
      </w:r>
    </w:fldSimple>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FFD1C" w14:textId="78FFD30E" w:rsidR="007C31F8" w:rsidRDefault="00D26320" w:rsidP="007C31F8">
    <w:pPr>
      <w:pStyle w:val="Footer"/>
    </w:pPr>
    <w:fldSimple w:instr="STYLEREF  Title  \* MERGEFORMAT">
      <w:r w:rsidR="002D4B83">
        <w:rPr>
          <w:noProof/>
        </w:rPr>
        <w:t>Model Report for Victorian Government Departments</w:t>
      </w:r>
    </w:fldSimple>
    <w:r w:rsidR="007C31F8">
      <w:rPr>
        <w:noProof/>
      </w:rPr>
      <w:tab/>
    </w:r>
    <w:r w:rsidR="007C31F8" w:rsidRPr="00D332B9">
      <w:fldChar w:fldCharType="begin"/>
    </w:r>
    <w:r w:rsidR="007C31F8" w:rsidRPr="00D332B9">
      <w:instrText xml:space="preserve"> PAGE   \* MERGEFORMAT </w:instrText>
    </w:r>
    <w:r w:rsidR="007C31F8" w:rsidRPr="00D332B9">
      <w:fldChar w:fldCharType="separate"/>
    </w:r>
    <w:r w:rsidR="007C31F8">
      <w:t>119</w:t>
    </w:r>
    <w:r w:rsidR="007C31F8" w:rsidRPr="00D332B9">
      <w:fldChar w:fldCharType="end"/>
    </w:r>
  </w:p>
  <w:p w14:paraId="6BE5A519" w14:textId="77777777" w:rsidR="00FF47D4" w:rsidRDefault="00FF47D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1DD83" w14:textId="77777777" w:rsidR="00A545BA" w:rsidRDefault="00A545B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0954" w14:textId="55662455" w:rsidR="00A545BA" w:rsidRPr="007D07FE" w:rsidRDefault="00A545BA" w:rsidP="007D07FE"/>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C23C0" w14:textId="27FD3B09" w:rsidR="00A545BA" w:rsidRPr="007D07FE" w:rsidRDefault="00A545BA" w:rsidP="007D07FE"/>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7C173" w14:textId="77777777" w:rsidR="00A545BA" w:rsidRDefault="00A545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6377" w14:textId="3D0D2DF6" w:rsidR="00A545BA" w:rsidRDefault="00BC3DBB">
    <w:pPr>
      <w:pStyle w:val="Footer"/>
    </w:pPr>
    <w:r>
      <w:rPr>
        <w:noProof/>
      </w:rPr>
      <mc:AlternateContent>
        <mc:Choice Requires="wps">
          <w:drawing>
            <wp:anchor distT="0" distB="0" distL="114300" distR="114300" simplePos="0" relativeHeight="251658282" behindDoc="0" locked="0" layoutInCell="0" allowOverlap="1" wp14:anchorId="54D4C104" wp14:editId="6C776FE9">
              <wp:simplePos x="0" y="0"/>
              <wp:positionH relativeFrom="page">
                <wp:align>left</wp:align>
              </wp:positionH>
              <wp:positionV relativeFrom="page">
                <wp:align>bottom</wp:align>
              </wp:positionV>
              <wp:extent cx="7772400" cy="463550"/>
              <wp:effectExtent l="0" t="0" r="0" b="0"/>
              <wp:wrapNone/>
              <wp:docPr id="12906071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BC0F247" w14:textId="78487754" w:rsidR="00A72378"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D4C104" id="_x0000_t202" coordsize="21600,21600" o:spt="202" path="m,l,21600r21600,l21600,xe">
              <v:stroke joinstyle="miter"/>
              <v:path gradientshapeok="t" o:connecttype="rect"/>
            </v:shapetype>
            <v:shape id="Text Box 63" o:spid="_x0000_s1054" type="#_x0000_t202" style="position:absolute;margin-left:0;margin-top:0;width:612pt;height:36.5pt;z-index:25165828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A1hTbAKQIAAEcEAAAOAAAAAAAAAAAAAAAAAC4CAABkcnMvZTJvRG9j&#10;LnhtbFBLAQItABQABgAIAAAAIQD+9Y2b2gAAAAUBAAAPAAAAAAAAAAAAAAAAAIMEAABkcnMvZG93&#10;bnJldi54bWxQSwUGAAAAAAQABADzAAAAigUAAAAA&#10;" o:allowincell="f" filled="f" stroked="f" strokeweight=".5pt">
              <v:textbox inset="20pt,0,,0">
                <w:txbxContent>
                  <w:p w14:paraId="0BC0F247" w14:textId="78487754" w:rsidR="00A72378" w:rsidRPr="000B2686" w:rsidRDefault="000B2686" w:rsidP="000B2686">
                    <w:pPr>
                      <w:spacing w:before="0" w:after="0"/>
                      <w:rPr>
                        <w:rFonts w:ascii="Calibri" w:hAnsi="Calibri" w:cs="Calibri"/>
                        <w:color w:val="000000"/>
                        <w:sz w:val="22"/>
                      </w:rPr>
                    </w:pPr>
                    <w:r w:rsidRPr="000B2686">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75" behindDoc="0" locked="0" layoutInCell="0" allowOverlap="1" wp14:anchorId="5A4F6BDD" wp14:editId="31CB24E4">
              <wp:simplePos x="0" y="0"/>
              <wp:positionH relativeFrom="page">
                <wp:align>left</wp:align>
              </wp:positionH>
              <wp:positionV relativeFrom="page">
                <wp:align>bottom</wp:align>
              </wp:positionV>
              <wp:extent cx="7772400" cy="463550"/>
              <wp:effectExtent l="0" t="0" r="0" b="0"/>
              <wp:wrapNone/>
              <wp:docPr id="129919064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37D79814" w14:textId="1D21E93E"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4F6BDD" id="Text Box 62" o:spid="_x0000_s1055" type="#_x0000_t202" style="position:absolute;margin-left:0;margin-top:0;width:612pt;height:36.5pt;z-index:25165827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BfwVZTKQIAAEcEAAAOAAAAAAAAAAAAAAAAAC4CAABkcnMvZTJvRG9j&#10;LnhtbFBLAQItABQABgAIAAAAIQD+9Y2b2gAAAAUBAAAPAAAAAAAAAAAAAAAAAIMEAABkcnMvZG93&#10;bnJldi54bWxQSwUGAAAAAAQABADzAAAAigUAAAAA&#10;" o:allowincell="f" filled="f" stroked="f" strokeweight=".5pt">
              <v:textbox inset="20pt,0,,0">
                <w:txbxContent>
                  <w:p w14:paraId="37D79814" w14:textId="1D21E93E" w:rsidR="00B24EF5" w:rsidRPr="00641B5C" w:rsidRDefault="00641B5C" w:rsidP="00641B5C">
                    <w:pPr>
                      <w:spacing w:before="0" w:after="0"/>
                      <w:rPr>
                        <w:rFonts w:ascii="Calibri" w:hAnsi="Calibri" w:cs="Calibri"/>
                        <w:color w:val="000000"/>
                        <w:sz w:val="22"/>
                      </w:rPr>
                    </w:pPr>
                    <w:r w:rsidRPr="00641B5C">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71" behindDoc="0" locked="0" layoutInCell="0" allowOverlap="1" wp14:anchorId="198A5879" wp14:editId="6A0CC153">
              <wp:simplePos x="0" y="0"/>
              <wp:positionH relativeFrom="page">
                <wp:align>left</wp:align>
              </wp:positionH>
              <wp:positionV relativeFrom="page">
                <wp:align>bottom</wp:align>
              </wp:positionV>
              <wp:extent cx="7772400" cy="463550"/>
              <wp:effectExtent l="0" t="0" r="0" b="0"/>
              <wp:wrapNone/>
              <wp:docPr id="80069830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5B30D883" w14:textId="7A8CC152"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8A5879" id="Text Box 61" o:spid="_x0000_s1056" type="#_x0000_t202" style="position:absolute;margin-left:0;margin-top:0;width:612pt;height:36.5pt;z-index:25165827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" o:allowincell="f" filled="f" stroked="f" strokeweight=".5pt">
              <v:textbox inset="20pt,0,,0">
                <w:txbxContent>
                  <w:p w14:paraId="5B30D883" w14:textId="7A8CC152" w:rsidR="0024405E" w:rsidRPr="00764024" w:rsidRDefault="00764024" w:rsidP="00764024">
                    <w:pPr>
                      <w:spacing w:before="0" w:after="0"/>
                      <w:rPr>
                        <w:rFonts w:ascii="Calibri" w:hAnsi="Calibri" w:cs="Calibri"/>
                        <w:color w:val="000000"/>
                        <w:sz w:val="22"/>
                      </w:rPr>
                    </w:pPr>
                    <w:r w:rsidRPr="00764024">
                      <w:rPr>
                        <w:rFonts w:ascii="Calibri" w:hAnsi="Calibri" w:cs="Calibri"/>
                        <w:color w:val="000000"/>
                        <w:sz w:val="22"/>
                      </w:rPr>
                      <w:t>OFFICIAL</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21C7330F" wp14:editId="59C2BB74">
              <wp:simplePos x="0" y="0"/>
              <wp:positionH relativeFrom="page">
                <wp:align>left</wp:align>
              </wp:positionH>
              <wp:positionV relativeFrom="page">
                <wp:align>bottom</wp:align>
              </wp:positionV>
              <wp:extent cx="7772400" cy="463550"/>
              <wp:effectExtent l="0" t="0" r="0" b="0"/>
              <wp:wrapNone/>
              <wp:docPr id="8632276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188F3FA1" w14:textId="75A63E4D"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C7330F" id="Text Box 60" o:spid="_x0000_s1057" type="#_x0000_t202" style="position:absolute;margin-left:0;margin-top:0;width:612pt;height:36.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" o:allowincell="f" filled="f" stroked="f" strokeweight=".5pt">
              <v:textbox inset="20pt,0,,0">
                <w:txbxContent>
                  <w:p w14:paraId="188F3FA1" w14:textId="75A63E4D" w:rsidR="00A545BA" w:rsidRPr="00F50F7E" w:rsidRDefault="00F50F7E" w:rsidP="00F50F7E">
                    <w:pPr>
                      <w:spacing w:before="0" w:after="0"/>
                      <w:rPr>
                        <w:rFonts w:ascii="Calibri" w:hAnsi="Calibri" w:cs="Calibri"/>
                        <w:color w:val="000000"/>
                        <w:sz w:val="22"/>
                      </w:rPr>
                    </w:pPr>
                    <w:r w:rsidRPr="00F50F7E">
                      <w:rPr>
                        <w:rFonts w:ascii="Calibri" w:hAnsi="Calibri" w:cs="Calibri"/>
                        <w:color w:val="000000"/>
                        <w:sz w:val="22"/>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D99C6" w14:textId="32795CC8"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STYLEREF  Title  \* MERGEFORMAT">
      <w:r w:rsidR="002D4B83">
        <w:rPr>
          <w:noProof/>
        </w:rPr>
        <w:t>Model Report for Victorian Government Departments</w:t>
      </w:r>
    </w:fldSimple>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1653F" w14:textId="114C63BE" w:rsidR="00A545BA" w:rsidRPr="0021384F" w:rsidRDefault="00D26320" w:rsidP="00314307">
    <w:pPr>
      <w:pStyle w:val="Footer"/>
    </w:pPr>
    <w:fldSimple w:instr="STYLEREF  Title  \* MERGEFORMAT">
      <w:r w:rsidR="002D4B83">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01868" w14:textId="23CE1DAD" w:rsidR="00A545BA" w:rsidRDefault="00A545BA">
    <w:pPr>
      <w:pStyle w:val="Footer"/>
    </w:pPr>
    <w:r w:rsidRPr="00D332B9">
      <w:fldChar w:fldCharType="begin"/>
    </w:r>
    <w:r w:rsidRPr="00D332B9">
      <w:instrText xml:space="preserve"> PAGE   \* MERGEFORMAT </w:instrText>
    </w:r>
    <w:r w:rsidRPr="00D332B9">
      <w:fldChar w:fldCharType="separate"/>
    </w:r>
    <w:r>
      <w:t>128</w:t>
    </w:r>
    <w:r w:rsidRPr="00D332B9">
      <w:fldChar w:fldCharType="end"/>
    </w:r>
    <w:r>
      <w:tab/>
    </w:r>
    <w:fldSimple w:instr="STYLEREF  Title  \* MERGEFORMAT">
      <w:r w:rsidR="00D26320">
        <w:rPr>
          <w:noProof/>
        </w:rPr>
        <w:t>Model Report for Victorian Government Departments</w:t>
      </w:r>
    </w:fldSimple>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16555" w14:textId="6C1B1DC4" w:rsidR="00A545BA" w:rsidRDefault="00D26320">
    <w:pPr>
      <w:pStyle w:val="Footer"/>
    </w:pPr>
    <w:fldSimple w:instr="STYLEREF  Title  \* MERGEFORMAT">
      <w:r w:rsidR="002D4B83">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129</w:t>
    </w:r>
    <w:r w:rsidR="00A545BA" w:rsidRPr="00D332B9">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15ACC" w14:textId="437FB3C8" w:rsidR="00C70938" w:rsidRPr="00C70938" w:rsidRDefault="00D26320" w:rsidP="00860F91">
    <w:pPr>
      <w:pStyle w:val="Footer"/>
    </w:pPr>
    <w:fldSimple w:instr="STYLEREF  Title  \* MERGEFORMAT">
      <w:r w:rsidR="002D4B83">
        <w:rPr>
          <w:noProof/>
        </w:rPr>
        <w:t>Model Report for Victorian Government Departments</w:t>
      </w:r>
    </w:fldSimple>
    <w:r w:rsidR="00860F91">
      <w:rPr>
        <w:noProof/>
      </w:rPr>
      <w:tab/>
    </w:r>
    <w:r w:rsidR="00860F91" w:rsidRPr="00D332B9">
      <w:fldChar w:fldCharType="begin"/>
    </w:r>
    <w:r w:rsidR="00860F91" w:rsidRPr="00D332B9">
      <w:instrText xml:space="preserve"> PAGE   \* MERGEFORMAT </w:instrText>
    </w:r>
    <w:r w:rsidR="00860F91" w:rsidRPr="00D332B9">
      <w:fldChar w:fldCharType="separate"/>
    </w:r>
    <w:r w:rsidR="00860F91">
      <w:t>127</w:t>
    </w:r>
    <w:r w:rsidR="00860F91" w:rsidRPr="00D332B9">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F96F0" w14:textId="77777777" w:rsidR="00617B7D" w:rsidRPr="007D07FE" w:rsidRDefault="00617B7D" w:rsidP="007D07FE"/>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5D149" w14:textId="77777777" w:rsidR="00860F91" w:rsidRPr="00C70938" w:rsidRDefault="00860F91" w:rsidP="00C70938"/>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7A8D6" w14:textId="5794A33F"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STYLEREF  Title  \* MERGEFORMAT">
      <w:r w:rsidR="002D4B83">
        <w:rPr>
          <w:noProof/>
        </w:rPr>
        <w:t>Model Report for Victorian Government Departments</w:t>
      </w:r>
    </w:fldSimple>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00A4" w14:textId="1FB1539D" w:rsidR="00A545BA" w:rsidRPr="0021384F" w:rsidRDefault="00D26320" w:rsidP="00314307">
    <w:pPr>
      <w:pStyle w:val="Footer"/>
    </w:pPr>
    <w:fldSimple w:instr="STYLEREF  Title  \* MERGEFORMAT">
      <w:r w:rsidR="002D4B83">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4A8F" w14:textId="121E74B1" w:rsidR="00B50EB6" w:rsidRDefault="00D26320">
    <w:pPr>
      <w:pStyle w:val="Footer"/>
    </w:pPr>
    <w:fldSimple w:instr="STYLEREF  Title  \* MERGEFORMAT">
      <w:r w:rsidR="002D4B83">
        <w:rPr>
          <w:noProof/>
        </w:rPr>
        <w:t>Model Report for Victorian Government Departments</w:t>
      </w:r>
    </w:fldSimple>
    <w:r w:rsidR="00E04999">
      <w:rPr>
        <w:noProof/>
      </w:rPr>
      <w:tab/>
    </w:r>
    <w:r w:rsidR="00E04999" w:rsidRPr="00D332B9">
      <w:fldChar w:fldCharType="begin"/>
    </w:r>
    <w:r w:rsidR="00E04999" w:rsidRPr="00D332B9">
      <w:instrText xml:space="preserve"> PAGE   \* MERGEFORMAT </w:instrText>
    </w:r>
    <w:r w:rsidR="00E04999" w:rsidRPr="00D332B9">
      <w:fldChar w:fldCharType="separate"/>
    </w:r>
    <w:r w:rsidR="00E04999">
      <w:t>149</w:t>
    </w:r>
    <w:r w:rsidR="00E04999" w:rsidRPr="00D332B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8194" w14:textId="3BECE331" w:rsidR="003E14D9" w:rsidRDefault="003E14D9" w:rsidP="003E14D9">
    <w:pPr>
      <w:pStyle w:val="Footer"/>
    </w:pPr>
    <w:r w:rsidRPr="00D332B9">
      <w:rPr>
        <w:rFonts w:eastAsia="Times New Roman" w:cs="Calibri"/>
        <w:color w:val="000000" w:themeColor="text1"/>
        <w:sz w:val="10"/>
        <w:szCs w:val="22"/>
        <w:lang w:eastAsia="en-AU"/>
      </w:rPr>
      <w:fldChar w:fldCharType="begin"/>
    </w:r>
    <w:r w:rsidRPr="00D332B9">
      <w:instrText xml:space="preserve"> PAGE   \* MERGEFORMAT </w:instrText>
    </w:r>
    <w:r w:rsidRPr="00D332B9">
      <w:rPr>
        <w:rFonts w:eastAsia="Times New Roman" w:cs="Calibri"/>
        <w:color w:val="000000" w:themeColor="text1"/>
        <w:sz w:val="10"/>
        <w:szCs w:val="22"/>
        <w:lang w:eastAsia="en-AU"/>
      </w:rPr>
      <w:fldChar w:fldCharType="separate"/>
    </w:r>
    <w:r>
      <w:t>18</w:t>
    </w:r>
    <w:r w:rsidRPr="00D332B9">
      <w:rPr>
        <w:rFonts w:eastAsia="Times New Roman" w:cs="Calibri"/>
        <w:color w:val="000000" w:themeColor="text1"/>
        <w:sz w:val="10"/>
        <w:szCs w:val="22"/>
        <w:lang w:eastAsia="en-AU"/>
      </w:rPr>
      <w:fldChar w:fldCharType="end"/>
    </w:r>
    <w:r>
      <w:tab/>
    </w:r>
    <w:fldSimple w:instr="STYLEREF  Title  \* MERGEFORMAT">
      <w:r w:rsidR="002D4B83">
        <w:rPr>
          <w:noProof/>
        </w:rPr>
        <w:t>Model Report for Victorian Government Departments</w:t>
      </w:r>
    </w:fldSimple>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D15BE" w14:textId="09F8B989" w:rsidR="00A545BA" w:rsidRDefault="00D26320">
    <w:pPr>
      <w:pStyle w:val="Footer"/>
    </w:pPr>
    <w:fldSimple w:instr="STYLEREF  Title  \* MERGEFORMAT">
      <w:r w:rsidR="002D4B83">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128</w:t>
    </w:r>
    <w:r w:rsidR="00A545BA" w:rsidRPr="00D332B9">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596E2" w14:textId="7FACD737" w:rsidR="00A545BA" w:rsidRPr="00D332B9" w:rsidRDefault="00A545BA" w:rsidP="007D07FE"/>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081B0" w14:textId="7EC0358E" w:rsidR="00A545BA" w:rsidRPr="0021384F" w:rsidRDefault="00A545BA" w:rsidP="001C7090"/>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A6FA" w14:textId="05845D40"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STYLEREF  Title  \* MERGEFORMAT">
      <w:r w:rsidR="002D4B83">
        <w:rPr>
          <w:noProof/>
        </w:rPr>
        <w:t>Model Report for Victorian Government Departments</w:t>
      </w:r>
    </w:fldSimple>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3E70" w14:textId="757B9453" w:rsidR="00A545BA" w:rsidRPr="0021384F" w:rsidRDefault="00D26320" w:rsidP="002E099A">
    <w:pPr>
      <w:pStyle w:val="Footer"/>
      <w:pBdr>
        <w:top w:val="single" w:sz="4" w:space="0" w:color="auto"/>
      </w:pBdr>
    </w:pPr>
    <w:fldSimple w:instr="STYLEREF  Title  \* MERGEFORMAT">
      <w:r w:rsidR="002D4B83">
        <w:rPr>
          <w:noProof/>
        </w:rPr>
        <w:t>Model Report for Victorian Government Departments</w:t>
      </w:r>
    </w:fldSimple>
    <w:r w:rsidR="00A545BA">
      <w:rPr>
        <w:noProof/>
      </w:rPr>
      <w:tab/>
    </w:r>
    <w:r w:rsidR="00A545BA" w:rsidRPr="00D332B9">
      <w:fldChar w:fldCharType="begin"/>
    </w:r>
    <w:r w:rsidR="00A545BA" w:rsidRPr="00D332B9">
      <w:instrText xml:space="preserve"> PAGE   \* MERGEFORMAT </w:instrText>
    </w:r>
    <w:r w:rsidR="00A545BA" w:rsidRPr="00D332B9">
      <w:fldChar w:fldCharType="separate"/>
    </w:r>
    <w:r w:rsidR="00A545BA">
      <w:t>95</w:t>
    </w:r>
    <w:r w:rsidR="00A545BA" w:rsidRPr="00D332B9">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FEFBE" w14:textId="31609D6B" w:rsidR="00473D1F" w:rsidRDefault="00473D1F">
    <w:pPr>
      <w:pStyle w:val="Footer"/>
    </w:pPr>
    <w:r>
      <w:fldChar w:fldCharType="begin"/>
    </w:r>
    <w:r>
      <w:instrText xml:space="preserve"> PAGE   \* MERGEFORMAT </w:instrText>
    </w:r>
    <w:r>
      <w:fldChar w:fldCharType="separate"/>
    </w:r>
    <w:r>
      <w:rPr>
        <w:noProof/>
      </w:rPr>
      <w:t>245</w:t>
    </w:r>
    <w:r>
      <w:fldChar w:fldCharType="end"/>
    </w:r>
    <w:r>
      <w:tab/>
    </w:r>
    <w:fldSimple w:instr="STYLEREF  Title  \* MERGEFORMAT">
      <w:r w:rsidR="002D4B83">
        <w:rPr>
          <w:noProof/>
        </w:rPr>
        <w:t>Model Report for Victorian Government Departments</w:t>
      </w:r>
    </w:fldSimple>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6A8E" w14:textId="6AAF0AC6" w:rsidR="00A545BA" w:rsidRPr="002E099A"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STYLEREF  Title  \* MERGEFORMAT">
      <w:r w:rsidR="002D4B83">
        <w:rPr>
          <w:noProof/>
        </w:rPr>
        <w:t>Model Report for Victorian Government Departments</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7880" w14:textId="6AF17CA7" w:rsidR="003E14D9" w:rsidRDefault="003E14D9" w:rsidP="007D536F">
    <w:pPr>
      <w:pStyle w:val="Spacer"/>
    </w:pPr>
  </w:p>
  <w:p w14:paraId="48C0AC1A" w14:textId="413F64A7" w:rsidR="003E14D9" w:rsidRDefault="003E14D9" w:rsidP="00400856">
    <w:pPr>
      <w:pStyle w:val="Footer"/>
    </w:pPr>
    <w:r w:rsidRPr="00D332B9">
      <w:fldChar w:fldCharType="begin"/>
    </w:r>
    <w:r w:rsidRPr="00D332B9">
      <w:instrText xml:space="preserve"> PAGE   \* MERGEFORMAT </w:instrText>
    </w:r>
    <w:r w:rsidRPr="00D332B9">
      <w:fldChar w:fldCharType="separate"/>
    </w:r>
    <w:r>
      <w:t>18</w:t>
    </w:r>
    <w:r w:rsidRPr="00D332B9">
      <w:fldChar w:fldCharType="end"/>
    </w:r>
    <w:r>
      <w:tab/>
    </w:r>
    <w:fldSimple w:instr="STYLEREF  Title  \* MERGEFORMAT">
      <w:r w:rsidR="002D4B83">
        <w:rPr>
          <w:noProof/>
        </w:rPr>
        <w:t>Model Report for Victorian Government Departments</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956A9" w14:textId="4ABF7813" w:rsidR="00A545BA" w:rsidRDefault="00D26320">
    <w:pPr>
      <w:pStyle w:val="Footer"/>
    </w:pPr>
    <w:fldSimple w:instr="STYLEREF  Title  \* MERGEFORMAT">
      <w:r w:rsidR="002D4B83">
        <w:rPr>
          <w:noProof/>
        </w:rPr>
        <w:t>Model Report for Victorian Government Departments</w:t>
      </w:r>
    </w:fldSimple>
    <w:r w:rsidR="00A545BA" w:rsidRPr="00D332B9">
      <w:tab/>
    </w:r>
    <w:r w:rsidR="00A545BA" w:rsidRPr="00D332B9">
      <w:fldChar w:fldCharType="begin"/>
    </w:r>
    <w:r w:rsidR="00A545BA" w:rsidRPr="00D332B9">
      <w:instrText xml:space="preserve"> PAGE   \* MERGEFORMAT </w:instrText>
    </w:r>
    <w:r w:rsidR="00A545BA" w:rsidRPr="00D332B9">
      <w:fldChar w:fldCharType="separate"/>
    </w:r>
    <w:r w:rsidR="00A545BA">
      <w:t>77</w:t>
    </w:r>
    <w:r w:rsidR="00A545BA" w:rsidRPr="00D332B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593F5" w14:textId="42646184" w:rsidR="007B5F82" w:rsidRPr="007B5F82" w:rsidRDefault="007B5F82" w:rsidP="007B5F8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EF541" w14:textId="0FCA648E" w:rsidR="00A545BA" w:rsidRPr="0021384F" w:rsidRDefault="00BC3DBB" w:rsidP="0021384F">
    <w:r>
      <w:rPr>
        <w:noProof/>
      </w:rPr>
      <mc:AlternateContent>
        <mc:Choice Requires="wps">
          <w:drawing>
            <wp:anchor distT="0" distB="0" distL="114300" distR="114300" simplePos="0" relativeHeight="251658259" behindDoc="0" locked="0" layoutInCell="0" allowOverlap="1" wp14:anchorId="30FA5275" wp14:editId="5138EC34">
              <wp:simplePos x="0" y="0"/>
              <wp:positionH relativeFrom="page">
                <wp:align>left</wp:align>
              </wp:positionH>
              <wp:positionV relativeFrom="page">
                <wp:align>bottom</wp:align>
              </wp:positionV>
              <wp:extent cx="7772400" cy="463550"/>
              <wp:effectExtent l="0" t="0" r="0" b="0"/>
              <wp:wrapNone/>
              <wp:docPr id="2404720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884D84C" w14:textId="0144DDD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FA5275" id="_x0000_t202" coordsize="21600,21600" o:spt="202" path="m,l,21600r21600,l21600,xe">
              <v:stroke joinstyle="miter"/>
              <v:path gradientshapeok="t" o:connecttype="rect"/>
            </v:shapetype>
            <v:shape id="Text Box 26" o:spid="_x0000_s1062" type="#_x0000_t202" style="position:absolute;margin-left:0;margin-top:0;width:612pt;height:36.5pt;z-index:25165825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" o:allowincell="f" filled="f" stroked="f" strokeweight=".5pt">
              <v:textbox inset="20pt,0,,0">
                <w:txbxContent>
                  <w:p w14:paraId="0884D84C" w14:textId="0144DDDA" w:rsidR="00A545BA" w:rsidRPr="001C1DBD" w:rsidRDefault="00A545BA" w:rsidP="001C1DBD">
                    <w:pPr>
                      <w:spacing w:before="0" w:after="0"/>
                      <w:rPr>
                        <w:rFonts w:ascii="Calibri" w:hAnsi="Calibri" w:cs="Calibri"/>
                        <w:color w:val="000000"/>
                        <w:sz w:val="22"/>
                      </w:rPr>
                    </w:pPr>
                    <w:r w:rsidRPr="001C1DBD">
                      <w:rPr>
                        <w:rFonts w:ascii="Calibri" w:hAnsi="Calibri" w:cs="Calibri"/>
                        <w:color w:val="000000"/>
                        <w:sz w:val="22"/>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C451F" w14:textId="02A95256" w:rsidR="00A545BA" w:rsidRPr="00D332B9" w:rsidRDefault="00A545BA" w:rsidP="007D536F">
    <w:pPr>
      <w:pStyle w:val="Footer"/>
    </w:pPr>
    <w:r w:rsidRPr="00D332B9">
      <w:fldChar w:fldCharType="begin"/>
    </w:r>
    <w:r w:rsidRPr="00D332B9">
      <w:instrText xml:space="preserve"> PAGE   \* MERGEFORMAT </w:instrText>
    </w:r>
    <w:r w:rsidRPr="00D332B9">
      <w:fldChar w:fldCharType="separate"/>
    </w:r>
    <w:r>
      <w:t>40</w:t>
    </w:r>
    <w:r w:rsidRPr="00D332B9">
      <w:fldChar w:fldCharType="end"/>
    </w:r>
    <w:r>
      <w:tab/>
    </w:r>
    <w:fldSimple w:instr="STYLEREF  Title  \* MERGEFORMAT">
      <w:r w:rsidR="002D4B83">
        <w:rPr>
          <w:noProof/>
        </w:rPr>
        <w:t>Model Report for Victorian Government Departments</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7592E" w14:textId="77777777" w:rsidR="008B1BB6" w:rsidRDefault="008B1BB6" w:rsidP="00F51427">
      <w:pPr>
        <w:spacing w:before="0" w:after="0" w:line="240" w:lineRule="auto"/>
      </w:pPr>
      <w:r>
        <w:separator/>
      </w:r>
    </w:p>
  </w:footnote>
  <w:footnote w:type="continuationSeparator" w:id="0">
    <w:p w14:paraId="49734AD6" w14:textId="77777777" w:rsidR="008B1BB6" w:rsidRDefault="008B1BB6" w:rsidP="00F51427">
      <w:pPr>
        <w:spacing w:before="0" w:after="0" w:line="240" w:lineRule="auto"/>
      </w:pPr>
      <w:r>
        <w:continuationSeparator/>
      </w:r>
    </w:p>
  </w:footnote>
  <w:footnote w:type="continuationNotice" w:id="1">
    <w:p w14:paraId="24D6BACB" w14:textId="77777777" w:rsidR="008B1BB6" w:rsidRDefault="008B1BB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4A32" w14:textId="63C044F6" w:rsidR="00A545BA" w:rsidRDefault="00BC3DBB" w:rsidP="007D536F">
    <w:pPr>
      <w:pStyle w:val="Header"/>
    </w:pPr>
    <w:r>
      <w:rPr>
        <w:noProof/>
      </w:rPr>
      <mc:AlternateContent>
        <mc:Choice Requires="wpg">
          <w:drawing>
            <wp:anchor distT="0" distB="0" distL="114300" distR="114300" simplePos="0" relativeHeight="251658242" behindDoc="1" locked="1" layoutInCell="1" allowOverlap="1" wp14:anchorId="76618185" wp14:editId="7E7EDBB9">
              <wp:simplePos x="0" y="0"/>
              <wp:positionH relativeFrom="page">
                <wp:posOffset>-19050</wp:posOffset>
              </wp:positionH>
              <wp:positionV relativeFrom="page">
                <wp:posOffset>1110615</wp:posOffset>
              </wp:positionV>
              <wp:extent cx="7077075" cy="7292340"/>
              <wp:effectExtent l="0" t="5715" r="9525" b="7620"/>
              <wp:wrapNone/>
              <wp:docPr id="151028779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075" cy="7292340"/>
                        <a:chOff x="9144" y="9096"/>
                        <a:chExt cx="52970" cy="54490"/>
                      </a:xfrm>
                    </wpg:grpSpPr>
                    <wps:wsp>
                      <wps:cNvPr id="1011810459" name="Freeform: Shape 21"/>
                      <wps:cNvSpPr>
                        <a:spLocks/>
                      </wps:cNvSpPr>
                      <wps:spPr bwMode="auto">
                        <a:xfrm>
                          <a:off x="9239" y="9096"/>
                          <a:ext cx="50108" cy="54453"/>
                        </a:xfrm>
                        <a:custGeom>
                          <a:avLst/>
                          <a:gdLst>
                            <a:gd name="T0" fmla="*/ 5010817 w 5010816"/>
                            <a:gd name="T1" fmla="*/ 0 h 5445251"/>
                            <a:gd name="T2" fmla="*/ 943165 w 5010816"/>
                            <a:gd name="T3" fmla="*/ 0 h 5445251"/>
                            <a:gd name="T4" fmla="*/ 0 w 5010816"/>
                            <a:gd name="T5" fmla="*/ 1995297 h 5445251"/>
                            <a:gd name="T6" fmla="*/ 0 w 5010816"/>
                            <a:gd name="T7" fmla="*/ 5445252 h 5445251"/>
                            <a:gd name="T8" fmla="*/ 2436876 w 5010816"/>
                            <a:gd name="T9" fmla="*/ 5445252 h 54452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10816" h="5445251">
                              <a:moveTo>
                                <a:pt x="5010817" y="0"/>
                              </a:moveTo>
                              <a:lnTo>
                                <a:pt x="943165" y="0"/>
                              </a:lnTo>
                              <a:lnTo>
                                <a:pt x="0" y="1995297"/>
                              </a:lnTo>
                              <a:lnTo>
                                <a:pt x="0" y="5445252"/>
                              </a:lnTo>
                              <a:lnTo>
                                <a:pt x="2436876" y="5445252"/>
                              </a:lnTo>
                              <a:lnTo>
                                <a:pt x="5010817" y="0"/>
                              </a:lnTo>
                              <a:close/>
                            </a:path>
                          </a:pathLst>
                        </a:custGeom>
                        <a:solidFill>
                          <a:srgbClr val="232B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8360173" name="Freeform: Shape 22"/>
                      <wps:cNvSpPr>
                        <a:spLocks/>
                      </wps:cNvSpPr>
                      <wps:spPr bwMode="auto">
                        <a:xfrm>
                          <a:off x="9239" y="21423"/>
                          <a:ext cx="52875" cy="42163"/>
                        </a:xfrm>
                        <a:custGeom>
                          <a:avLst/>
                          <a:gdLst>
                            <a:gd name="T0" fmla="*/ 5287518 w 5287517"/>
                            <a:gd name="T1" fmla="*/ 4216337 h 4216336"/>
                            <a:gd name="T2" fmla="*/ 3294507 w 5287517"/>
                            <a:gd name="T3" fmla="*/ 0 h 4216336"/>
                            <a:gd name="T4" fmla="*/ 0 w 5287517"/>
                            <a:gd name="T5" fmla="*/ 0 h 4216336"/>
                            <a:gd name="T6" fmla="*/ 0 w 5287517"/>
                            <a:gd name="T7" fmla="*/ 4216337 h 42163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287517" h="4216336">
                              <a:moveTo>
                                <a:pt x="5287518" y="4216337"/>
                              </a:moveTo>
                              <a:lnTo>
                                <a:pt x="3294507" y="0"/>
                              </a:lnTo>
                              <a:lnTo>
                                <a:pt x="0" y="0"/>
                              </a:lnTo>
                              <a:lnTo>
                                <a:pt x="0" y="4216337"/>
                              </a:lnTo>
                              <a:lnTo>
                                <a:pt x="5287518" y="4216337"/>
                              </a:lnTo>
                              <a:close/>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49335294" name="Freeform: Shape 23"/>
                      <wps:cNvSpPr>
                        <a:spLocks/>
                      </wps:cNvSpPr>
                      <wps:spPr bwMode="auto">
                        <a:xfrm>
                          <a:off x="9144" y="14682"/>
                          <a:ext cx="38612" cy="41109"/>
                        </a:xfrm>
                        <a:custGeom>
                          <a:avLst/>
                          <a:gdLst>
                            <a:gd name="T0" fmla="*/ 0 w 3861244"/>
                            <a:gd name="T1" fmla="*/ 0 h 4110894"/>
                            <a:gd name="T2" fmla="*/ 0 w 3861244"/>
                            <a:gd name="T3" fmla="*/ 2650712 h 4110894"/>
                            <a:gd name="T4" fmla="*/ 690182 w 3861244"/>
                            <a:gd name="T5" fmla="*/ 4110895 h 4110894"/>
                            <a:gd name="T6" fmla="*/ 3861245 w 3861244"/>
                            <a:gd name="T7" fmla="*/ 4110895 h 4110894"/>
                            <a:gd name="T8" fmla="*/ 3861245 w 3861244"/>
                            <a:gd name="T9" fmla="*/ 0 h 4110894"/>
                            <a:gd name="T10" fmla="*/ 0 w 3861244"/>
                            <a:gd name="T11" fmla="*/ 0 h 4110894"/>
                            <a:gd name="T12" fmla="*/ 3590925 w 3861244"/>
                            <a:gd name="T13" fmla="*/ 3055144 h 4110894"/>
                            <a:gd name="T14" fmla="*/ 3038475 w 3861244"/>
                            <a:gd name="T15" fmla="*/ 3055144 h 4110894"/>
                            <a:gd name="T16" fmla="*/ 3038475 w 3861244"/>
                            <a:gd name="T17" fmla="*/ 3026569 h 4110894"/>
                            <a:gd name="T18" fmla="*/ 3590925 w 3861244"/>
                            <a:gd name="T19" fmla="*/ 3026569 h 4110894"/>
                            <a:gd name="T20" fmla="*/ 3590925 w 3861244"/>
                            <a:gd name="T21" fmla="*/ 3055144 h 41108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CC569D" id="Group 20" o:spid="_x0000_s1026" alt="&quot;&quot;" style="position:absolute;margin-left:-1.5pt;margin-top:87.45pt;width:557.25pt;height:574.2pt;z-index:-251658238;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">
              <v:shape id="Freeform: Shape 21"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" path="m5010817,l943165,,,1995297,,5445252r2436876,l5010817,xe" fillcolor="#232b39" stroked="f">
                <v:stroke joinstyle="miter"/>
                <v:path arrowok="t" o:connecttype="custom" o:connectlocs="50108,0;9432,0;0,19953;0,54453;24369,54453" o:connectangles="0,0,0,0,0"/>
              </v:shape>
              <v:shape id="Freeform: Shape 22"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" path="m5287518,4216337l3294507,,,,,4216337r5287518,xe" fillcolor="#4472c4 [3204]" stroked="f">
                <v:stroke joinstyle="miter"/>
                <v:path arrowok="t" o:connecttype="custom" o:connectlocs="52875,42163;32945,0;0,0;0,42163" o:connectangles="0,0,0,0"/>
              </v:shape>
              <v:shape id="Freeform: Shape 23"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" path="m,l,2650712,690182,4110895r3171063,l3861245,,,xm3590925,3055144r-552450,l3038475,3026569r552450,l3590925,3055144xe" stroked="f">
                <v:stroke joinstyle="miter"/>
                <v:path arrowok="t" o:connecttype="custom" o:connectlocs="0,0;0,26507;6902,41109;38612,41109;38612,0;0,0;35909,30551;30384,30551;30384,30266;35909,30266;35909,30551" o:connectangles="0,0,0,0,0,0,0,0,0,0,0"/>
              </v:shape>
              <w10:wrap anchorx="page" anchory="page"/>
              <w10:anchorlock/>
            </v:group>
          </w:pict>
        </mc:Fallback>
      </mc:AlternateContent>
    </w:r>
    <w:r w:rsidR="00A545BA">
      <w:rPr>
        <w:noProof/>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2744E" w14:textId="69FB1BC5" w:rsidR="003C2ADC" w:rsidRPr="00860F91" w:rsidRDefault="003C2ADC"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1</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ABOUT THIS REPORT</w:t>
    </w:r>
    <w:r w:rsidRPr="00AD7DA5">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B1685" w14:textId="5CBD555A" w:rsidR="00FF47D4" w:rsidRDefault="00BC3DBB">
    <w:pPr>
      <w:pStyle w:val="Header"/>
    </w:pPr>
    <w:r>
      <w:rPr>
        <w:noProof/>
      </w:rPr>
      <mc:AlternateContent>
        <mc:Choice Requires="wps">
          <w:drawing>
            <wp:anchor distT="0" distB="0" distL="114300" distR="114300" simplePos="0" relativeHeight="251658265" behindDoc="0" locked="0" layoutInCell="1" allowOverlap="1" wp14:anchorId="0B9B7AFB" wp14:editId="3122DCF0">
              <wp:simplePos x="0" y="0"/>
              <wp:positionH relativeFrom="column">
                <wp:posOffset>-496570</wp:posOffset>
              </wp:positionH>
              <wp:positionV relativeFrom="paragraph">
                <wp:posOffset>243205</wp:posOffset>
              </wp:positionV>
              <wp:extent cx="393065" cy="6189980"/>
              <wp:effectExtent l="0" t="0" r="0" b="0"/>
              <wp:wrapNone/>
              <wp:docPr id="3418175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51B82" w14:textId="35F982F0" w:rsidR="00B807CF" w:rsidRPr="00D90086" w:rsidRDefault="00B807CF" w:rsidP="00B807CF">
                          <w:pPr>
                            <w:pStyle w:val="Footereven"/>
                          </w:pPr>
                          <w:r>
                            <w:fldChar w:fldCharType="begin"/>
                          </w:r>
                          <w:r>
                            <w:instrText xml:space="preserve"> PAGE   \* MERGEFORMAT </w:instrText>
                          </w:r>
                          <w:r>
                            <w:fldChar w:fldCharType="separate"/>
                          </w:r>
                          <w:r>
                            <w:rPr>
                              <w:noProof/>
                            </w:rPr>
                            <w:t>43</w:t>
                          </w:r>
                          <w:r>
                            <w:fldChar w:fldCharType="end"/>
                          </w:r>
                          <w:r>
                            <w:tab/>
                          </w:r>
                          <w:fldSimple w:instr="STYLEREF  Title  \* MERGEFORMAT">
                            <w:r w:rsidR="002D4B83">
                              <w:rPr>
                                <w:noProof/>
                              </w:rPr>
                              <w:t>Model Report for Victorian Government Departments</w:t>
                            </w:r>
                          </w:fldSimple>
                        </w:p>
                        <w:p w14:paraId="0BED0DBE" w14:textId="77777777" w:rsidR="00B807CF" w:rsidRPr="00D90086" w:rsidRDefault="00B807CF" w:rsidP="00B807CF">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2034D864" w14:textId="77777777" w:rsidR="00B807CF" w:rsidRPr="00D90086" w:rsidRDefault="00B807CF" w:rsidP="00B807CF">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B7AFB" id="_x0000_t202" coordsize="21600,21600" o:spt="202" path="m,l,21600r21600,l21600,xe">
              <v:stroke joinstyle="miter"/>
              <v:path gradientshapeok="t" o:connecttype="rect"/>
            </v:shapetype>
            <v:shape id="Text Box 22" o:spid="_x0000_s1066" type="#_x0000_t202" style="position:absolute;margin-left:-39.1pt;margin-top:19.15pt;width:30.95pt;height:487.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FnfA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" filled="f" stroked="f" strokeweight=".5pt">
              <v:textbox style="layout-flow:vertical">
                <w:txbxContent>
                  <w:p w14:paraId="31B51B82" w14:textId="35F982F0" w:rsidR="00B807CF" w:rsidRPr="00D90086" w:rsidRDefault="00B807CF" w:rsidP="00B807CF">
                    <w:pPr>
                      <w:pStyle w:val="Footereven"/>
                    </w:pPr>
                    <w:r>
                      <w:fldChar w:fldCharType="begin"/>
                    </w:r>
                    <w:r>
                      <w:instrText xml:space="preserve"> PAGE   \* MERGEFORMAT </w:instrText>
                    </w:r>
                    <w:r>
                      <w:fldChar w:fldCharType="separate"/>
                    </w:r>
                    <w:r>
                      <w:rPr>
                        <w:noProof/>
                      </w:rPr>
                      <w:t>43</w:t>
                    </w:r>
                    <w:r>
                      <w:fldChar w:fldCharType="end"/>
                    </w:r>
                    <w:r>
                      <w:tab/>
                    </w:r>
                    <w:fldSimple w:instr="STYLEREF  Title  \* MERGEFORMAT">
                      <w:r w:rsidR="002D4B83">
                        <w:rPr>
                          <w:noProof/>
                        </w:rPr>
                        <w:t>Model Report for Victorian Government Departments</w:t>
                      </w:r>
                    </w:fldSimple>
                  </w:p>
                  <w:p w14:paraId="0BED0DBE" w14:textId="77777777" w:rsidR="00B807CF" w:rsidRPr="00D90086" w:rsidRDefault="00B807CF" w:rsidP="00B807CF">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2034D864" w14:textId="77777777" w:rsidR="00B807CF" w:rsidRPr="00D90086" w:rsidRDefault="00B807CF" w:rsidP="00B807CF">
                    <w:pPr>
                      <w:pStyle w:val="Footereven"/>
                    </w:pPr>
                    <w:r>
                      <w:rPr>
                        <w:rStyle w:val="PageNumber"/>
                      </w:rPr>
                      <w:tab/>
                    </w:r>
                  </w:p>
                </w:txbxContent>
              </v:textbox>
            </v:shape>
          </w:pict>
        </mc:Fallback>
      </mc:AlternateContent>
    </w:r>
    <w:r>
      <w:rPr>
        <w:noProof/>
      </w:rPr>
      <mc:AlternateContent>
        <mc:Choice Requires="wps">
          <w:drawing>
            <wp:anchor distT="0" distB="0" distL="114300" distR="114300" simplePos="0" relativeHeight="251658266" behindDoc="0" locked="0" layoutInCell="1" allowOverlap="1" wp14:anchorId="179D015A" wp14:editId="119E70F9">
              <wp:simplePos x="0" y="0"/>
              <wp:positionH relativeFrom="page">
                <wp:posOffset>10006965</wp:posOffset>
              </wp:positionH>
              <wp:positionV relativeFrom="paragraph">
                <wp:posOffset>250825</wp:posOffset>
              </wp:positionV>
              <wp:extent cx="393065" cy="6189980"/>
              <wp:effectExtent l="0" t="0" r="0" b="0"/>
              <wp:wrapNone/>
              <wp:docPr id="9750481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E27CE" w14:textId="263FA0F3" w:rsidR="00B807CF" w:rsidRPr="002B10EE" w:rsidRDefault="00705C8B" w:rsidP="00B807CF">
                          <w:pPr>
                            <w:pStyle w:val="Header"/>
                          </w:pPr>
                          <w:r w:rsidRPr="002B10EE">
                            <w:fldChar w:fldCharType="begin"/>
                          </w:r>
                          <w:r w:rsidRPr="002B10EE">
                            <w:instrText xml:space="preserve">STYLEREF  </w:instrText>
                          </w:r>
                          <w:r w:rsidR="00AD7DA5" w:rsidRPr="002B10EE">
                            <w:instrText>“HEADING 1 numbered”</w:instrText>
                          </w:r>
                          <w:r w:rsidRPr="002B10EE">
                            <w:instrText xml:space="preserve"> \n  \* MERGEFORMAT</w:instrText>
                          </w:r>
                          <w:r w:rsidRPr="002B10EE">
                            <w:fldChar w:fldCharType="separate"/>
                          </w:r>
                          <w:r w:rsidR="002D4B83" w:rsidRPr="002D4B83">
                            <w:rPr>
                              <w:noProof/>
                              <w:lang w:val="en-US"/>
                            </w:rPr>
                            <w:t>2</w:t>
                          </w:r>
                          <w:r w:rsidRPr="002B10EE">
                            <w:fldChar w:fldCharType="end"/>
                          </w:r>
                          <w:r w:rsidR="00B807CF" w:rsidRPr="002B10EE">
                            <w:t xml:space="preserve">. </w:t>
                          </w:r>
                          <w:r w:rsidRPr="002B10EE">
                            <w:fldChar w:fldCharType="begin"/>
                          </w:r>
                          <w:r w:rsidRPr="002B10EE">
                            <w:instrText xml:space="preserve">STYLEREF  </w:instrText>
                          </w:r>
                          <w:r w:rsidR="00AD7DA5" w:rsidRPr="002B10EE">
                            <w:instrText>“HEADING 1 numbered”</w:instrText>
                          </w:r>
                          <w:r w:rsidRPr="002B10EE">
                            <w:instrText xml:space="preserve">  \* MERGEFORMAT</w:instrText>
                          </w:r>
                          <w:r w:rsidRPr="002B10EE">
                            <w:fldChar w:fldCharType="separate"/>
                          </w:r>
                          <w:r w:rsidR="002D4B83" w:rsidRPr="002D4B83">
                            <w:rPr>
                              <w:noProof/>
                              <w:lang w:val="en-US"/>
                            </w:rPr>
                            <w:t>FUNDING DELIVERY OF OUR SERVICES</w:t>
                          </w:r>
                          <w:r w:rsidRPr="002B10EE">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D015A" id="Text Box 21" o:spid="_x0000_s1067" type="#_x0000_t202" style="position:absolute;margin-left:787.95pt;margin-top:19.75pt;width:30.95pt;height:487.4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" filled="f" stroked="f" strokeweight=".5pt">
              <v:textbox style="layout-flow:vertical">
                <w:txbxContent>
                  <w:p w14:paraId="265E27CE" w14:textId="263FA0F3" w:rsidR="00B807CF" w:rsidRPr="002B10EE" w:rsidRDefault="00705C8B" w:rsidP="00B807CF">
                    <w:pPr>
                      <w:pStyle w:val="Header"/>
                    </w:pPr>
                    <w:r w:rsidRPr="002B10EE">
                      <w:fldChar w:fldCharType="begin"/>
                    </w:r>
                    <w:r w:rsidRPr="002B10EE">
                      <w:instrText xml:space="preserve">STYLEREF  </w:instrText>
                    </w:r>
                    <w:r w:rsidR="00AD7DA5" w:rsidRPr="002B10EE">
                      <w:instrText>“HEADING 1 numbered”</w:instrText>
                    </w:r>
                    <w:r w:rsidRPr="002B10EE">
                      <w:instrText xml:space="preserve"> \n  \* MERGEFORMAT</w:instrText>
                    </w:r>
                    <w:r w:rsidRPr="002B10EE">
                      <w:fldChar w:fldCharType="separate"/>
                    </w:r>
                    <w:r w:rsidR="002D4B83" w:rsidRPr="002D4B83">
                      <w:rPr>
                        <w:noProof/>
                        <w:lang w:val="en-US"/>
                      </w:rPr>
                      <w:t>2</w:t>
                    </w:r>
                    <w:r w:rsidRPr="002B10EE">
                      <w:fldChar w:fldCharType="end"/>
                    </w:r>
                    <w:r w:rsidR="00B807CF" w:rsidRPr="002B10EE">
                      <w:t xml:space="preserve">. </w:t>
                    </w:r>
                    <w:r w:rsidRPr="002B10EE">
                      <w:fldChar w:fldCharType="begin"/>
                    </w:r>
                    <w:r w:rsidRPr="002B10EE">
                      <w:instrText xml:space="preserve">STYLEREF  </w:instrText>
                    </w:r>
                    <w:r w:rsidR="00AD7DA5" w:rsidRPr="002B10EE">
                      <w:instrText>“HEADING 1 numbered”</w:instrText>
                    </w:r>
                    <w:r w:rsidRPr="002B10EE">
                      <w:instrText xml:space="preserve">  \* MERGEFORMAT</w:instrText>
                    </w:r>
                    <w:r w:rsidRPr="002B10EE">
                      <w:fldChar w:fldCharType="separate"/>
                    </w:r>
                    <w:r w:rsidR="002D4B83" w:rsidRPr="002D4B83">
                      <w:rPr>
                        <w:noProof/>
                        <w:lang w:val="en-US"/>
                      </w:rPr>
                      <w:t>FUNDING DELIVERY OF OUR SERVICES</w:t>
                    </w:r>
                    <w:r w:rsidRPr="002B10EE">
                      <w:fldChar w:fldCharType="end"/>
                    </w:r>
                  </w:p>
                </w:txbxContent>
              </v:textbox>
              <w10:wrap anchorx="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8E128" w14:textId="67C97D01" w:rsidR="00A545BA" w:rsidRPr="002136A7" w:rsidRDefault="00BC3DBB" w:rsidP="002136A7">
    <w:pPr>
      <w:pStyle w:val="Header"/>
    </w:pPr>
    <w:r>
      <w:rPr>
        <w:noProof/>
      </w:rPr>
      <mc:AlternateContent>
        <mc:Choice Requires="wps">
          <w:drawing>
            <wp:anchor distT="0" distB="0" distL="114300" distR="114300" simplePos="0" relativeHeight="251658246" behindDoc="0" locked="0" layoutInCell="1" allowOverlap="1" wp14:anchorId="07F9DD98" wp14:editId="47E2EDCC">
              <wp:simplePos x="0" y="0"/>
              <wp:positionH relativeFrom="column">
                <wp:posOffset>9341485</wp:posOffset>
              </wp:positionH>
              <wp:positionV relativeFrom="paragraph">
                <wp:posOffset>240665</wp:posOffset>
              </wp:positionV>
              <wp:extent cx="393065" cy="6189980"/>
              <wp:effectExtent l="0" t="0" r="0" b="0"/>
              <wp:wrapNone/>
              <wp:docPr id="165482030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BD45C" w14:textId="352018F1" w:rsidR="00A545BA" w:rsidRPr="0021248D"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D26320">
                            <w:rPr>
                              <w:noProof/>
                            </w:rPr>
                            <w:t>2</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D26320">
                            <w:rPr>
                              <w:noProof/>
                            </w:rPr>
                            <w:t>FUNDING DELIVERY OF OUR SERVICES</w:t>
                          </w:r>
                          <w:r w:rsidRPr="00AD7DA5">
                            <w:fldChar w:fldCharType="end"/>
                          </w:r>
                        </w:p>
                        <w:p w14:paraId="7422B7E6" w14:textId="3363DEEC" w:rsidR="00A545BA" w:rsidRPr="00D90086" w:rsidRDefault="00A545BA" w:rsidP="00860F91">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9DD98" id="_x0000_t202" coordsize="21600,21600" o:spt="202" path="m,l,21600r21600,l21600,xe">
              <v:stroke joinstyle="miter"/>
              <v:path gradientshapeok="t" o:connecttype="rect"/>
            </v:shapetype>
            <v:shape id="Text Box 20" o:spid="_x0000_s1068" type="#_x0000_t202" style="position:absolute;margin-left:735.55pt;margin-top:18.95pt;width:30.95pt;height:487.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" filled="f" stroked="f" strokeweight=".5pt">
              <v:textbox style="layout-flow:vertical">
                <w:txbxContent>
                  <w:p w14:paraId="196BD45C" w14:textId="352018F1" w:rsidR="00A545BA" w:rsidRPr="0021248D"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D26320">
                      <w:rPr>
                        <w:noProof/>
                      </w:rPr>
                      <w:t>2</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D26320">
                      <w:rPr>
                        <w:noProof/>
                      </w:rPr>
                      <w:t>FUNDING DELIVERY OF OUR SERVICES</w:t>
                    </w:r>
                    <w:r w:rsidRPr="00AD7DA5">
                      <w:fldChar w:fldCharType="end"/>
                    </w:r>
                  </w:p>
                  <w:p w14:paraId="7422B7E6" w14:textId="3363DEEC" w:rsidR="00A545BA" w:rsidRPr="00D90086" w:rsidRDefault="00A545BA" w:rsidP="00860F91">
                    <w:pPr>
                      <w:pStyle w:val="Header"/>
                      <w:jc w:val="right"/>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3F304285" wp14:editId="4CE113D0">
              <wp:simplePos x="0" y="0"/>
              <wp:positionH relativeFrom="column">
                <wp:posOffset>-516255</wp:posOffset>
              </wp:positionH>
              <wp:positionV relativeFrom="paragraph">
                <wp:posOffset>241300</wp:posOffset>
              </wp:positionV>
              <wp:extent cx="393065" cy="6189980"/>
              <wp:effectExtent l="0" t="0" r="0" b="0"/>
              <wp:wrapNone/>
              <wp:docPr id="10955904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BD59B" w14:textId="0EF65276" w:rsidR="00A545BA" w:rsidRPr="00D90086" w:rsidRDefault="00D26320" w:rsidP="002136A7">
                          <w:pPr>
                            <w:pStyle w:val="Footereven"/>
                            <w:jc w:val="both"/>
                          </w:pPr>
                          <w:fldSimple w:instr="STYLEREF  Title  \* MERGEFORMAT">
                            <w:r w:rsidRPr="00D26320">
                              <w:rPr>
                                <w:b/>
                                <w:bCs/>
                                <w:noProof/>
                                <w:lang w:val="en-US"/>
                              </w:rPr>
                              <w:t>Model Report for Victorian Government Departments</w:t>
                            </w:r>
                          </w:fldSimple>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4B8E7E4A" w14:textId="77777777" w:rsidR="00A545BA" w:rsidRPr="00D90086" w:rsidRDefault="00A545BA" w:rsidP="002136A7">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04285" id="Text Box 19" o:spid="_x0000_s1069" type="#_x0000_t202" style="position:absolute;margin-left:-40.65pt;margin-top:19pt;width:30.95pt;height:487.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" filled="f" stroked="f" strokeweight=".5pt">
              <v:textbox style="layout-flow:vertical">
                <w:txbxContent>
                  <w:p w14:paraId="6C8BD59B" w14:textId="0EF65276" w:rsidR="00A545BA" w:rsidRPr="00D90086" w:rsidRDefault="00D26320" w:rsidP="002136A7">
                    <w:pPr>
                      <w:pStyle w:val="Footereven"/>
                      <w:jc w:val="both"/>
                    </w:pPr>
                    <w:fldSimple w:instr="STYLEREF  Title  \* MERGEFORMAT">
                      <w:r w:rsidRPr="00D26320">
                        <w:rPr>
                          <w:b/>
                          <w:bCs/>
                          <w:noProof/>
                          <w:lang w:val="en-US"/>
                        </w:rPr>
                        <w:t>Model Report for Victorian Government Departments</w:t>
                      </w:r>
                    </w:fldSimple>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4B8E7E4A" w14:textId="77777777" w:rsidR="00A545BA" w:rsidRPr="00D90086" w:rsidRDefault="00A545BA" w:rsidP="002136A7">
                    <w:pPr>
                      <w:pStyle w:val="Footereven"/>
                    </w:pPr>
                    <w:r>
                      <w:rPr>
                        <w:rStyle w:val="PageNumber"/>
                      </w:rPr>
                      <w:tab/>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7BE7A" w14:textId="77777777" w:rsidR="00A545BA" w:rsidRDefault="00A545B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746D" w14:textId="0F563949"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2</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FUNDING DELIVERY OF OUR SERVICES</w:t>
    </w:r>
    <w:r w:rsidRPr="00AD7DA5">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A7256" w14:textId="0C6EFC15"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3</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THE COST OF DELIVERING SERVICES</w:t>
    </w:r>
    <w:r w:rsidRPr="00AD7DA5">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B7B58" w14:textId="5AF502D7"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D26320" w:rsidRPr="00D26320">
      <w:rPr>
        <w:b w:val="0"/>
        <w:bCs/>
        <w:noProof/>
        <w:lang w:val="en-US"/>
      </w:rPr>
      <w:t>2</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D26320" w:rsidRPr="00D26320">
      <w:rPr>
        <w:b w:val="0"/>
        <w:bCs/>
        <w:noProof/>
        <w:lang w:val="en-US"/>
      </w:rPr>
      <w:t>FUNDING DELIVERY OF OUR SERVICES</w:t>
    </w:r>
    <w:r>
      <w:fldChar w:fldCharType="end"/>
    </w:r>
  </w:p>
  <w:p w14:paraId="6C58D2D6" w14:textId="77777777" w:rsidR="00A545BA" w:rsidRDefault="00A545B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D5428" w14:textId="77777777" w:rsidR="00A545BA" w:rsidRDefault="00A545B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92458" w14:textId="4228AEDF" w:rsidR="00FF47D4"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4</w:t>
    </w:r>
    <w:r w:rsidRPr="00AD7DA5">
      <w:fldChar w:fldCharType="end"/>
    </w:r>
    <w:r w:rsidR="00D8764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DISAGGREGATED FINANCIAL INFORMATION BY OUTPUT</w:t>
    </w:r>
    <w:r w:rsidRPr="00AD7DA5">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F8126" w14:textId="57E81A54" w:rsidR="00A545BA" w:rsidRPr="0021248D" w:rsidRDefault="00BC3DBB" w:rsidP="00FA4323">
    <w:pPr>
      <w:pStyle w:val="Header"/>
    </w:pPr>
    <w:r>
      <w:rPr>
        <w:noProof/>
      </w:rPr>
      <mc:AlternateContent>
        <mc:Choice Requires="wps">
          <w:drawing>
            <wp:anchor distT="0" distB="0" distL="114300" distR="114300" simplePos="0" relativeHeight="251658248" behindDoc="0" locked="0" layoutInCell="1" allowOverlap="1" wp14:anchorId="049DA260" wp14:editId="6B87E84F">
              <wp:simplePos x="0" y="0"/>
              <wp:positionH relativeFrom="column">
                <wp:posOffset>9288145</wp:posOffset>
              </wp:positionH>
              <wp:positionV relativeFrom="paragraph">
                <wp:posOffset>240665</wp:posOffset>
              </wp:positionV>
              <wp:extent cx="393065" cy="6189980"/>
              <wp:effectExtent l="0" t="0" r="0" b="0"/>
              <wp:wrapNone/>
              <wp:docPr id="187478407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38C88" w14:textId="1C48D908"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DISAGGREGATED FINANCIAL INFORMATION BY OUTPUT</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DA260" id="_x0000_t202" coordsize="21600,21600" o:spt="202" path="m,l,21600r21600,l21600,xe">
              <v:stroke joinstyle="miter"/>
              <v:path gradientshapeok="t" o:connecttype="rect"/>
            </v:shapetype>
            <v:shape id="Text Box 16" o:spid="_x0000_s1072" type="#_x0000_t202" style="position:absolute;margin-left:731.35pt;margin-top:18.95pt;width:30.95pt;height:487.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" filled="f" stroked="f" strokeweight=".5pt">
              <v:textbox style="layout-flow:vertical">
                <w:txbxContent>
                  <w:p w14:paraId="32638C88" w14:textId="1C48D908"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DISAGGREGATED FINANCIAL INFORMATION BY OUTPUT</w:t>
                    </w:r>
                    <w:r w:rsidRPr="00AD7DA5">
                      <w:fldChar w:fldCharType="end"/>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09FB3DBA" wp14:editId="46E3E9E5">
              <wp:simplePos x="0" y="0"/>
              <wp:positionH relativeFrom="column">
                <wp:posOffset>-528320</wp:posOffset>
              </wp:positionH>
              <wp:positionV relativeFrom="paragraph">
                <wp:posOffset>240665</wp:posOffset>
              </wp:positionV>
              <wp:extent cx="393065" cy="6189980"/>
              <wp:effectExtent l="0" t="0" r="0" b="0"/>
              <wp:wrapNone/>
              <wp:docPr id="16291767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7461DE" w14:textId="6351B4AB" w:rsidR="00A545BA" w:rsidRPr="00335923" w:rsidRDefault="00A545BA" w:rsidP="00335923">
                          <w:pPr>
                            <w:pStyle w:val="Footereven"/>
                          </w:pPr>
                          <w:r w:rsidRPr="00335923">
                            <w:fldChar w:fldCharType="begin"/>
                          </w:r>
                          <w:r w:rsidRPr="00335923">
                            <w:instrText xml:space="preserve"> PAGE   \* MERGEFORMAT </w:instrText>
                          </w:r>
                          <w:r w:rsidRPr="00335923">
                            <w:fldChar w:fldCharType="separate"/>
                          </w:r>
                          <w:r w:rsidRPr="00335923">
                            <w:t>118</w:t>
                          </w:r>
                          <w:r w:rsidRPr="00335923">
                            <w:fldChar w:fldCharType="end"/>
                          </w:r>
                          <w:r w:rsidRPr="00335923">
                            <w:tab/>
                          </w:r>
                          <w:fldSimple w:instr="STYLEREF  Title  \* MERGEFORMAT">
                            <w:r w:rsidR="002D4B83">
                              <w:rPr>
                                <w:noProof/>
                              </w:rPr>
                              <w:t>Model Report for Victorian Government Departments</w:t>
                            </w:r>
                          </w:fldSimple>
                        </w:p>
                        <w:p w14:paraId="53DB69B9" w14:textId="77777777" w:rsidR="00A545BA" w:rsidRPr="00335923" w:rsidRDefault="00A545BA" w:rsidP="00335923">
                          <w:pPr>
                            <w:pStyle w:val="Footereven"/>
                          </w:pPr>
                          <w:r w:rsidRPr="00335923">
                            <w:rPr>
                              <w:rStyle w:val="PageNumber"/>
                              <w:rFonts w:asciiTheme="majorHAnsi" w:hAnsiTheme="majorHAnsi"/>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B3DBA" id="Text Box 15" o:spid="_x0000_s1073" type="#_x0000_t202" style="position:absolute;margin-left:-41.6pt;margin-top:18.95pt;width:30.95pt;height:487.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" filled="f" stroked="f" strokeweight=".5pt">
              <v:textbox style="layout-flow:vertical">
                <w:txbxContent>
                  <w:p w14:paraId="687461DE" w14:textId="6351B4AB" w:rsidR="00A545BA" w:rsidRPr="00335923" w:rsidRDefault="00A545BA" w:rsidP="00335923">
                    <w:pPr>
                      <w:pStyle w:val="Footereven"/>
                    </w:pPr>
                    <w:r w:rsidRPr="00335923">
                      <w:fldChar w:fldCharType="begin"/>
                    </w:r>
                    <w:r w:rsidRPr="00335923">
                      <w:instrText xml:space="preserve"> PAGE   \* MERGEFORMAT </w:instrText>
                    </w:r>
                    <w:r w:rsidRPr="00335923">
                      <w:fldChar w:fldCharType="separate"/>
                    </w:r>
                    <w:r w:rsidRPr="00335923">
                      <w:t>118</w:t>
                    </w:r>
                    <w:r w:rsidRPr="00335923">
                      <w:fldChar w:fldCharType="end"/>
                    </w:r>
                    <w:r w:rsidRPr="00335923">
                      <w:tab/>
                    </w:r>
                    <w:fldSimple w:instr="STYLEREF  Title  \* MERGEFORMAT">
                      <w:r w:rsidR="002D4B83">
                        <w:rPr>
                          <w:noProof/>
                        </w:rPr>
                        <w:t>Model Report for Victorian Government Departments</w:t>
                      </w:r>
                    </w:fldSimple>
                  </w:p>
                  <w:p w14:paraId="53DB69B9" w14:textId="77777777" w:rsidR="00A545BA" w:rsidRPr="00335923" w:rsidRDefault="00A545BA" w:rsidP="00335923">
                    <w:pPr>
                      <w:pStyle w:val="Footereven"/>
                    </w:pPr>
                    <w:r w:rsidRPr="00335923">
                      <w:rPr>
                        <w:rStyle w:val="PageNumber"/>
                        <w:rFonts w:asciiTheme="majorHAnsi" w:hAnsiTheme="majorHAnsi"/>
                      </w:rPr>
                      <w:tab/>
                    </w:r>
                  </w:p>
                </w:txbxContent>
              </v:textbox>
            </v:shape>
          </w:pict>
        </mc:Fallback>
      </mc:AlternateContent>
    </w:r>
    <w:r w:rsidR="00A545BA" w:rsidRPr="0021248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5475" w14:textId="1E114123" w:rsidR="00A545BA" w:rsidRPr="0051263F" w:rsidRDefault="00A545BA" w:rsidP="0051263F">
    <w:pPr>
      <w:pStyle w:val="Header"/>
    </w:pPr>
    <w:r w:rsidRPr="00C6270B">
      <w:t xml:space="preserve">Department of Technology – Model </w:t>
    </w:r>
    <w:r>
      <w:t>Financial Statements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57DC" w14:textId="4482C0D5" w:rsidR="00A545BA" w:rsidRPr="007D63C8" w:rsidRDefault="00BC3DBB" w:rsidP="007D63C8">
    <w:pPr>
      <w:pStyle w:val="Header"/>
    </w:pPr>
    <w:r>
      <w:rPr>
        <w:noProof/>
      </w:rPr>
      <mc:AlternateContent>
        <mc:Choice Requires="wps">
          <w:drawing>
            <wp:anchor distT="0" distB="0" distL="114300" distR="114300" simplePos="0" relativeHeight="251658250" behindDoc="0" locked="0" layoutInCell="1" allowOverlap="1" wp14:anchorId="1109F4AA" wp14:editId="7FCBB243">
              <wp:simplePos x="0" y="0"/>
              <wp:positionH relativeFrom="column">
                <wp:posOffset>9349740</wp:posOffset>
              </wp:positionH>
              <wp:positionV relativeFrom="paragraph">
                <wp:posOffset>243205</wp:posOffset>
              </wp:positionV>
              <wp:extent cx="393065" cy="6189980"/>
              <wp:effectExtent l="0" t="0" r="0" b="0"/>
              <wp:wrapNone/>
              <wp:docPr id="13832922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360CA" w14:textId="4ED09429"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DISAGGREGATED FINANCIAL INFORMATION BY OUTPUT</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9F4AA" id="_x0000_t202" coordsize="21600,21600" o:spt="202" path="m,l,21600r21600,l21600,xe">
              <v:stroke joinstyle="miter"/>
              <v:path gradientshapeok="t" o:connecttype="rect"/>
            </v:shapetype>
            <v:shape id="Text Box 14" o:spid="_x0000_s1074" type="#_x0000_t202" style="position:absolute;margin-left:736.2pt;margin-top:19.15pt;width:30.95pt;height:487.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" filled="f" stroked="f" strokeweight=".5pt">
              <v:textbox style="layout-flow:vertical">
                <w:txbxContent>
                  <w:p w14:paraId="4D0360CA" w14:textId="4ED09429"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DISAGGREGATED FINANCIAL INFORMATION BY OUTPUT</w:t>
                    </w:r>
                    <w:r w:rsidRPr="00AD7DA5">
                      <w:fldChar w:fldCharType="end"/>
                    </w:r>
                  </w:p>
                </w:txbxContent>
              </v:textbox>
            </v:shape>
          </w:pict>
        </mc:Fallback>
      </mc:AlternateContent>
    </w:r>
    <w:r>
      <w:rPr>
        <w:noProof/>
      </w:rPr>
      <mc:AlternateContent>
        <mc:Choice Requires="wps">
          <w:drawing>
            <wp:anchor distT="0" distB="0" distL="114300" distR="114300" simplePos="0" relativeHeight="251658249" behindDoc="0" locked="0" layoutInCell="1" allowOverlap="1" wp14:anchorId="741CEB2B" wp14:editId="73D0FB1E">
              <wp:simplePos x="0" y="0"/>
              <wp:positionH relativeFrom="column">
                <wp:posOffset>-523240</wp:posOffset>
              </wp:positionH>
              <wp:positionV relativeFrom="paragraph">
                <wp:posOffset>243840</wp:posOffset>
              </wp:positionV>
              <wp:extent cx="393065" cy="6189980"/>
              <wp:effectExtent l="0" t="0" r="0" b="0"/>
              <wp:wrapNone/>
              <wp:docPr id="11874747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15636" w14:textId="0C5B8887" w:rsidR="00A545BA" w:rsidRPr="00D90086" w:rsidRDefault="00D26320" w:rsidP="007D63C8">
                          <w:pPr>
                            <w:pStyle w:val="Footereven"/>
                            <w:jc w:val="both"/>
                          </w:pPr>
                          <w:fldSimple w:instr="STYLEREF  Title  \* MERGEFORMAT">
                            <w:r w:rsidR="002D4B83">
                              <w:rPr>
                                <w:noProof/>
                              </w:rPr>
                              <w:t>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3E953154" w14:textId="77777777" w:rsidR="00A545BA" w:rsidRPr="00D90086" w:rsidRDefault="00A545BA" w:rsidP="007D63C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CEB2B" id="Text Box 13" o:spid="_x0000_s1075" type="#_x0000_t202" style="position:absolute;margin-left:-41.2pt;margin-top:19.2pt;width:30.95pt;height:487.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" filled="f" stroked="f" strokeweight=".5pt">
              <v:textbox style="layout-flow:vertical">
                <w:txbxContent>
                  <w:p w14:paraId="2D415636" w14:textId="0C5B8887" w:rsidR="00A545BA" w:rsidRPr="00D90086" w:rsidRDefault="00D26320" w:rsidP="007D63C8">
                    <w:pPr>
                      <w:pStyle w:val="Footereven"/>
                      <w:jc w:val="both"/>
                    </w:pPr>
                    <w:fldSimple w:instr="STYLEREF  Title  \* MERGEFORMAT">
                      <w:r w:rsidR="002D4B83">
                        <w:rPr>
                          <w:noProof/>
                        </w:rPr>
                        <w:t>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3E953154" w14:textId="77777777" w:rsidR="00A545BA" w:rsidRPr="00D90086" w:rsidRDefault="00A545BA" w:rsidP="007D63C8">
                    <w:pPr>
                      <w:pStyle w:val="Footereven"/>
                    </w:pPr>
                    <w:r>
                      <w:rPr>
                        <w:rStyle w:val="PageNumber"/>
                      </w:rPr>
                      <w:tab/>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357A" w14:textId="311365DD"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D26320" w:rsidRPr="00D26320">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D26320" w:rsidRPr="00D26320">
      <w:rPr>
        <w:b w:val="0"/>
        <w:bCs/>
        <w:noProof/>
        <w:lang w:val="en-US"/>
      </w:rPr>
      <w:t>DISAGGREGATED FINANCIAL INFORMATION BY OUTPUT</w:t>
    </w:r>
    <w:r>
      <w:fldChar w:fldCharType="end"/>
    </w:r>
  </w:p>
  <w:p w14:paraId="0E294112" w14:textId="77777777" w:rsidR="00A545BA" w:rsidRDefault="00A545B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58F2E" w14:textId="5801AA6C"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D26320">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D26320">
      <w:rPr>
        <w:noProof/>
      </w:rPr>
      <w:t>DISAGGREGATED FINANCIAL INFORMATION BY OUTPUT</w:t>
    </w:r>
    <w:r w:rsidRPr="00AD7DA5">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50435" w14:textId="29DE83EA" w:rsidR="007C31F8" w:rsidRDefault="00705C8B" w:rsidP="007C31F8">
    <w:pPr>
      <w:pStyle w:val="Header"/>
      <w:jc w:val="right"/>
    </w:pPr>
    <w:r>
      <w:fldChar w:fldCharType="begin"/>
    </w:r>
    <w:r>
      <w:instrText xml:space="preserve">STYLEREF  </w:instrText>
    </w:r>
    <w:r w:rsidR="00AD7DA5">
      <w:instrText>“HEADING 1 numbered”</w:instrText>
    </w:r>
    <w:r>
      <w:instrText xml:space="preserve"> \n  \* MERGEFORMAT</w:instrText>
    </w:r>
    <w:r>
      <w:fldChar w:fldCharType="separate"/>
    </w:r>
    <w:r w:rsidR="002D4B83" w:rsidRPr="002D4B83">
      <w:rPr>
        <w:b w:val="0"/>
        <w:bCs/>
        <w:noProof/>
        <w:lang w:val="en-US"/>
      </w:rPr>
      <w:t>4</w:t>
    </w:r>
    <w:r>
      <w:fldChar w:fldCharType="end"/>
    </w:r>
    <w:r w:rsidR="007C31F8"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2D4B83" w:rsidRPr="002D4B83">
      <w:rPr>
        <w:b w:val="0"/>
        <w:bCs/>
        <w:noProof/>
        <w:lang w:val="en-US"/>
      </w:rPr>
      <w:t>DISAGGREGATED FINANCIAL INFORMATION BY OUTPUT</w:t>
    </w:r>
    <w:r>
      <w:fldChar w:fldCharType="end"/>
    </w:r>
  </w:p>
  <w:p w14:paraId="0F26E198" w14:textId="0C706317" w:rsidR="00FF47D4" w:rsidRDefault="00FF47D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3B097" w14:textId="3E1736B1" w:rsidR="00A545BA"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D26320" w:rsidRPr="00D26320">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D26320" w:rsidRPr="00D26320">
      <w:rPr>
        <w:b w:val="0"/>
        <w:bCs/>
        <w:noProof/>
        <w:lang w:val="en-US"/>
      </w:rPr>
      <w:t>DISAGGREGATED FINANCIAL INFORMATION BY OUTPUT</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9D75" w14:textId="35AB4306" w:rsidR="00A545BA" w:rsidRPr="0021248D" w:rsidRDefault="00BC3DBB" w:rsidP="00FA4323">
    <w:pPr>
      <w:pStyle w:val="Header"/>
    </w:pPr>
    <w:r>
      <w:rPr>
        <w:noProof/>
      </w:rPr>
      <mc:AlternateContent>
        <mc:Choice Requires="wps">
          <w:drawing>
            <wp:anchor distT="0" distB="0" distL="114300" distR="114300" simplePos="0" relativeHeight="251658253" behindDoc="0" locked="0" layoutInCell="1" allowOverlap="1" wp14:anchorId="59240DEE" wp14:editId="6DF6F1E8">
              <wp:simplePos x="0" y="0"/>
              <wp:positionH relativeFrom="column">
                <wp:posOffset>9335135</wp:posOffset>
              </wp:positionH>
              <wp:positionV relativeFrom="paragraph">
                <wp:posOffset>243205</wp:posOffset>
              </wp:positionV>
              <wp:extent cx="393065" cy="6189980"/>
              <wp:effectExtent l="0" t="0" r="0" b="0"/>
              <wp:wrapNone/>
              <wp:docPr id="1262696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FAFED" w14:textId="4EA72B9E"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DISAGGREGATED FINANCIAL INFORMATION BY OUTPUT</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40DEE" id="_x0000_t202" coordsize="21600,21600" o:spt="202" path="m,l,21600r21600,l21600,xe">
              <v:stroke joinstyle="miter"/>
              <v:path gradientshapeok="t" o:connecttype="rect"/>
            </v:shapetype>
            <v:shape id="Text Box 12" o:spid="_x0000_s1076" type="#_x0000_t202" style="position:absolute;margin-left:735.05pt;margin-top:19.15pt;width:30.95pt;height:487.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c6nfA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" filled="f" stroked="f" strokeweight=".5pt">
              <v:textbox style="layout-flow:vertical">
                <w:txbxContent>
                  <w:p w14:paraId="684FAFED" w14:textId="4EA72B9E"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DISAGGREGATED FINANCIAL INFORMATION BY OUTPUT</w:t>
                    </w:r>
                    <w:r w:rsidRPr="00AD7DA5">
                      <w:fldChar w:fldCharType="end"/>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58A11413" wp14:editId="17C59237">
              <wp:simplePos x="0" y="0"/>
              <wp:positionH relativeFrom="column">
                <wp:posOffset>-499745</wp:posOffset>
              </wp:positionH>
              <wp:positionV relativeFrom="paragraph">
                <wp:posOffset>243205</wp:posOffset>
              </wp:positionV>
              <wp:extent cx="393065" cy="6189980"/>
              <wp:effectExtent l="0" t="0" r="0" b="0"/>
              <wp:wrapNone/>
              <wp:docPr id="16212709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7A628" w14:textId="25FFD157" w:rsidR="00A545BA" w:rsidRPr="00D90086" w:rsidRDefault="00A545BA" w:rsidP="007D63C8">
                          <w:pPr>
                            <w:pStyle w:val="Footereven"/>
                            <w:jc w:val="both"/>
                          </w:pPr>
                          <w:r>
                            <w:fldChar w:fldCharType="begin"/>
                          </w:r>
                          <w:r>
                            <w:instrText xml:space="preserve"> PAGE   \* MERGEFORMAT </w:instrText>
                          </w:r>
                          <w:r>
                            <w:fldChar w:fldCharType="separate"/>
                          </w:r>
                          <w:r>
                            <w:rPr>
                              <w:noProof/>
                            </w:rPr>
                            <w:t>120</w:t>
                          </w:r>
                          <w:r>
                            <w:fldChar w:fldCharType="end"/>
                          </w:r>
                          <w:r>
                            <w:tab/>
                          </w:r>
                          <w:fldSimple w:instr="STYLEREF  Title  \* MERGEFORMAT">
                            <w:r w:rsidR="002D4B83">
                              <w:rPr>
                                <w:noProof/>
                              </w:rPr>
                              <w:t>Model Report for Victorian Government Departments</w:t>
                            </w:r>
                          </w:fldSimple>
                        </w:p>
                        <w:p w14:paraId="0EBE0E52" w14:textId="77777777" w:rsidR="00A545BA" w:rsidRPr="00D90086" w:rsidRDefault="00A545BA" w:rsidP="007D63C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11413" id="Text Box 11" o:spid="_x0000_s1077" type="#_x0000_t202" style="position:absolute;margin-left:-39.35pt;margin-top:19.15pt;width:30.95pt;height:487.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Fyew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" filled="f" stroked="f" strokeweight=".5pt">
              <v:textbox style="layout-flow:vertical">
                <w:txbxContent>
                  <w:p w14:paraId="2347A628" w14:textId="25FFD157" w:rsidR="00A545BA" w:rsidRPr="00D90086" w:rsidRDefault="00A545BA" w:rsidP="007D63C8">
                    <w:pPr>
                      <w:pStyle w:val="Footereven"/>
                      <w:jc w:val="both"/>
                    </w:pPr>
                    <w:r>
                      <w:fldChar w:fldCharType="begin"/>
                    </w:r>
                    <w:r>
                      <w:instrText xml:space="preserve"> PAGE   \* MERGEFORMAT </w:instrText>
                    </w:r>
                    <w:r>
                      <w:fldChar w:fldCharType="separate"/>
                    </w:r>
                    <w:r>
                      <w:rPr>
                        <w:noProof/>
                      </w:rPr>
                      <w:t>120</w:t>
                    </w:r>
                    <w:r>
                      <w:fldChar w:fldCharType="end"/>
                    </w:r>
                    <w:r>
                      <w:tab/>
                    </w:r>
                    <w:fldSimple w:instr="STYLEREF  Title  \* MERGEFORMAT">
                      <w:r w:rsidR="002D4B83">
                        <w:rPr>
                          <w:noProof/>
                        </w:rPr>
                        <w:t>Model Report for Victorian Government Departments</w:t>
                      </w:r>
                    </w:fldSimple>
                  </w:p>
                  <w:p w14:paraId="0EBE0E52" w14:textId="77777777" w:rsidR="00A545BA" w:rsidRPr="00D90086" w:rsidRDefault="00A545BA" w:rsidP="007D63C8">
                    <w:pPr>
                      <w:pStyle w:val="Footereven"/>
                    </w:pPr>
                    <w:r>
                      <w:rPr>
                        <w:rStyle w:val="PageNumber"/>
                      </w:rPr>
                      <w:tab/>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AA25F" w14:textId="3BE5BAB3" w:rsidR="00A545BA" w:rsidRPr="007D63C8" w:rsidRDefault="00BC3DBB" w:rsidP="007D63C8">
    <w:pPr>
      <w:pStyle w:val="Header"/>
    </w:pPr>
    <w:r>
      <w:rPr>
        <w:noProof/>
      </w:rPr>
      <mc:AlternateContent>
        <mc:Choice Requires="wps">
          <w:drawing>
            <wp:anchor distT="0" distB="0" distL="114300" distR="114300" simplePos="0" relativeHeight="251658252" behindDoc="0" locked="0" layoutInCell="1" allowOverlap="1" wp14:anchorId="7FC122D3" wp14:editId="682A5AAE">
              <wp:simplePos x="0" y="0"/>
              <wp:positionH relativeFrom="column">
                <wp:posOffset>9323705</wp:posOffset>
              </wp:positionH>
              <wp:positionV relativeFrom="paragraph">
                <wp:posOffset>243205</wp:posOffset>
              </wp:positionV>
              <wp:extent cx="393065" cy="6189980"/>
              <wp:effectExtent l="0" t="0" r="0" b="0"/>
              <wp:wrapNone/>
              <wp:docPr id="17500785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825B3" w14:textId="06A2D761"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DISAGGREGATED FINANCIAL INFORMATION BY OUTPUT</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122D3" id="_x0000_t202" coordsize="21600,21600" o:spt="202" path="m,l,21600r21600,l21600,xe">
              <v:stroke joinstyle="miter"/>
              <v:path gradientshapeok="t" o:connecttype="rect"/>
            </v:shapetype>
            <v:shape id="Text Box 10" o:spid="_x0000_s1078" type="#_x0000_t202" style="position:absolute;margin-left:734.15pt;margin-top:19.15pt;width:30.95pt;height:487.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DW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" filled="f" stroked="f" strokeweight=".5pt">
              <v:textbox style="layout-flow:vertical">
                <w:txbxContent>
                  <w:p w14:paraId="2C3825B3" w14:textId="06A2D761"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DISAGGREGATED FINANCIAL INFORMATION BY OUTPUT</w:t>
                    </w:r>
                    <w:r w:rsidRPr="00AD7DA5">
                      <w:fldChar w:fldCharType="end"/>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575DD6EB" wp14:editId="4D7D9BBC">
              <wp:simplePos x="0" y="0"/>
              <wp:positionH relativeFrom="column">
                <wp:posOffset>-535940</wp:posOffset>
              </wp:positionH>
              <wp:positionV relativeFrom="paragraph">
                <wp:posOffset>243840</wp:posOffset>
              </wp:positionV>
              <wp:extent cx="393065" cy="6189980"/>
              <wp:effectExtent l="0" t="0" r="0" b="0"/>
              <wp:wrapNone/>
              <wp:docPr id="262486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B56C2" w14:textId="58036836" w:rsidR="00A545BA" w:rsidRPr="00D90086" w:rsidRDefault="00D26320" w:rsidP="007D07FE">
                          <w:pPr>
                            <w:pStyle w:val="Footereven"/>
                            <w:jc w:val="both"/>
                          </w:pPr>
                          <w:fldSimple w:instr="STYLEREF  Title  \* MERGEFORMAT">
                            <w:r w:rsidR="002D4B83">
                              <w:rPr>
                                <w:noProof/>
                              </w:rPr>
                              <w:t>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425C4969" w14:textId="77777777" w:rsidR="00A545BA" w:rsidRPr="00D90086" w:rsidRDefault="00A545BA"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DD6EB" id="Text Box 9" o:spid="_x0000_s1079" type="#_x0000_t202" style="position:absolute;margin-left:-42.2pt;margin-top:19.2pt;width:30.95pt;height:487.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8D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" filled="f" stroked="f" strokeweight=".5pt">
              <v:textbox style="layout-flow:vertical">
                <w:txbxContent>
                  <w:p w14:paraId="609B56C2" w14:textId="58036836" w:rsidR="00A545BA" w:rsidRPr="00D90086" w:rsidRDefault="00D26320" w:rsidP="007D07FE">
                    <w:pPr>
                      <w:pStyle w:val="Footereven"/>
                      <w:jc w:val="both"/>
                    </w:pPr>
                    <w:fldSimple w:instr="STYLEREF  Title  \* MERGEFORMAT">
                      <w:r w:rsidR="002D4B83">
                        <w:rPr>
                          <w:noProof/>
                        </w:rPr>
                        <w:t>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43</w:t>
                    </w:r>
                    <w:r w:rsidR="00A545BA">
                      <w:rPr>
                        <w:noProof/>
                      </w:rPr>
                      <w:fldChar w:fldCharType="end"/>
                    </w:r>
                  </w:p>
                  <w:p w14:paraId="425C4969" w14:textId="77777777" w:rsidR="00A545BA" w:rsidRPr="00D90086" w:rsidRDefault="00A545BA" w:rsidP="007D07FE">
                    <w:pPr>
                      <w:pStyle w:val="Footereven"/>
                    </w:pPr>
                    <w:r>
                      <w:rPr>
                        <w:rStyle w:val="PageNumber"/>
                      </w:rPr>
                      <w:tab/>
                    </w:r>
                  </w:p>
                </w:txbxContent>
              </v:textbox>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E2128" w14:textId="34F7312F"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D26320" w:rsidRPr="00D26320">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D26320" w:rsidRPr="00D26320">
      <w:rPr>
        <w:b w:val="0"/>
        <w:bCs/>
        <w:noProof/>
        <w:lang w:val="en-US"/>
      </w:rPr>
      <w:t>DISAGGREGATED FINANCIAL INFORMATION BY OUTPUT</w:t>
    </w:r>
    <w:r>
      <w:fldChar w:fldCharType="end"/>
    </w:r>
  </w:p>
  <w:p w14:paraId="436AE4F5" w14:textId="77777777" w:rsidR="00A545BA" w:rsidRDefault="00A545B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00BF9" w14:textId="28E74D44" w:rsidR="00A545BA" w:rsidRPr="00860F91" w:rsidRDefault="00705C8B" w:rsidP="00860F91">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5</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KEY ASSETS AVAILABLE TO SUPPORT OUTPUT DELIVERY</w:t>
    </w:r>
    <w:r w:rsidRPr="00AD7DA5">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668D4" w14:textId="1B9BC27E" w:rsidR="00A545BA" w:rsidRPr="00860F91" w:rsidRDefault="00705C8B"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4</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DISAGGREGATED FINANCIAL INFORMATION BY OUTPUT</w:t>
    </w:r>
    <w:r w:rsidRPr="00AD7DA5">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E7CE" w14:textId="73BFB385" w:rsidR="00A545BA" w:rsidRPr="0051263F" w:rsidRDefault="00A545BA" w:rsidP="0051263F">
    <w:pPr>
      <w:pStyle w:val="Header"/>
      <w:jc w:val="right"/>
    </w:pPr>
    <w:r w:rsidRPr="00C6270B">
      <w:t xml:space="preserve">Department of Technology – Model </w:t>
    </w:r>
    <w:r>
      <w:t>Financial Statements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52F" w14:textId="70FE3952" w:rsidR="00A545BA" w:rsidRPr="0021384F" w:rsidRDefault="00F37403" w:rsidP="00462796">
    <w:pPr>
      <w:pStyle w:val="Header"/>
      <w:jc w:val="right"/>
    </w:pPr>
    <w:r>
      <w:fldChar w:fldCharType="begin"/>
    </w:r>
    <w:r>
      <w:instrText xml:space="preserve"> STYLEREF  </w:instrText>
    </w:r>
    <w:r w:rsidR="00AD7DA5">
      <w:instrText>“HEADING 1 numbered”</w:instrText>
    </w:r>
    <w:r>
      <w:instrText xml:space="preserve"> \n  \* MERGEFORMAT </w:instrText>
    </w:r>
    <w:r>
      <w:fldChar w:fldCharType="separate"/>
    </w:r>
    <w:r w:rsidR="00D26320" w:rsidRPr="00D26320">
      <w:rPr>
        <w:b w:val="0"/>
        <w:bCs/>
        <w:noProof/>
        <w:lang w:val="en-US"/>
      </w:rPr>
      <w:t>4</w:t>
    </w:r>
    <w:r>
      <w:fldChar w:fldCharType="end"/>
    </w:r>
    <w:r w:rsidR="00A545BA" w:rsidRPr="0021248D">
      <w:t xml:space="preserve">. </w:t>
    </w:r>
    <w:r>
      <w:fldChar w:fldCharType="begin"/>
    </w:r>
    <w:r>
      <w:instrText xml:space="preserve"> STYLEREF  </w:instrText>
    </w:r>
    <w:r w:rsidR="00AD7DA5">
      <w:instrText>“HEADING 1 numbered”</w:instrText>
    </w:r>
    <w:r>
      <w:instrText xml:space="preserve">  \* MERGEFORMAT </w:instrText>
    </w:r>
    <w:r>
      <w:fldChar w:fldCharType="separate"/>
    </w:r>
    <w:r w:rsidR="00D26320" w:rsidRPr="00D26320">
      <w:rPr>
        <w:b w:val="0"/>
        <w:bCs/>
        <w:noProof/>
        <w:lang w:val="en-US"/>
      </w:rPr>
      <w:t>DISAGGREGATED FINANCIAL INFORMATION BY OUTPUT</w:t>
    </w:r>
    <w:r>
      <w:fldChar w:fldCharType="end"/>
    </w:r>
  </w:p>
  <w:p w14:paraId="4456EE60" w14:textId="77777777" w:rsidR="00A545BA" w:rsidRDefault="00A545B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030E7" w14:textId="77777777" w:rsidR="00A545BA" w:rsidRDefault="00A545B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CCDB3" w14:textId="1A44F948" w:rsidR="00C70938" w:rsidRPr="00860F91" w:rsidRDefault="00860F91" w:rsidP="00860F91">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5</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KEY ASSETS AVAILABLE TO SUPPORT OUTPUT DELIVERY</w:t>
    </w:r>
    <w:r w:rsidRPr="00AD7DA5">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17C9" w14:textId="57A506A7" w:rsidR="00617B7D" w:rsidRPr="0021248D" w:rsidRDefault="00BC3DBB" w:rsidP="00FA4323">
    <w:pPr>
      <w:pStyle w:val="Header"/>
    </w:pPr>
    <w:r>
      <w:rPr>
        <w:noProof/>
      </w:rPr>
      <mc:AlternateContent>
        <mc:Choice Requires="wps">
          <w:drawing>
            <wp:anchor distT="0" distB="0" distL="114300" distR="114300" simplePos="0" relativeHeight="251658268" behindDoc="0" locked="0" layoutInCell="1" allowOverlap="1" wp14:anchorId="07E4B497" wp14:editId="3A292609">
              <wp:simplePos x="0" y="0"/>
              <wp:positionH relativeFrom="column">
                <wp:posOffset>9343390</wp:posOffset>
              </wp:positionH>
              <wp:positionV relativeFrom="paragraph">
                <wp:posOffset>243205</wp:posOffset>
              </wp:positionV>
              <wp:extent cx="393065" cy="6189980"/>
              <wp:effectExtent l="0" t="0" r="0" b="0"/>
              <wp:wrapNone/>
              <wp:docPr id="11988962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95700" w14:textId="6E105850" w:rsidR="00617B7D" w:rsidRPr="0021384F" w:rsidRDefault="00705C8B" w:rsidP="007D07FE">
                          <w:pPr>
                            <w:pStyle w:val="Header"/>
                          </w:pPr>
                          <w:r>
                            <w:fldChar w:fldCharType="begin"/>
                          </w:r>
                          <w:r>
                            <w:instrText xml:space="preserve">STYLEREF  </w:instrText>
                          </w:r>
                          <w:r w:rsidR="00AD7DA5">
                            <w:instrText>“HEADING 1 numbered”</w:instrText>
                          </w:r>
                          <w:r>
                            <w:instrText xml:space="preserve"> \n  \* MERGEFORMAT</w:instrText>
                          </w:r>
                          <w:r>
                            <w:fldChar w:fldCharType="separate"/>
                          </w:r>
                          <w:r w:rsidR="002D4B83" w:rsidRPr="002D4B83">
                            <w:rPr>
                              <w:b w:val="0"/>
                              <w:bCs/>
                              <w:noProof/>
                              <w:lang w:val="en-US"/>
                            </w:rPr>
                            <w:t>5</w:t>
                          </w:r>
                          <w:r>
                            <w:fldChar w:fldCharType="end"/>
                          </w:r>
                          <w:r w:rsidR="00617B7D"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2D4B83" w:rsidRPr="002D4B83">
                            <w:rPr>
                              <w:b w:val="0"/>
                              <w:bCs/>
                              <w:noProof/>
                              <w:lang w:val="en-US"/>
                            </w:rPr>
                            <w:t>KEY ASSETS AVAILABLE TO SUPPORT OUTPUT DELIVERY</w:t>
                          </w:r>
                          <w:r>
                            <w:fldChar w:fldCharType="end"/>
                          </w:r>
                        </w:p>
                        <w:p w14:paraId="76BB7476" w14:textId="77777777" w:rsidR="00617B7D" w:rsidRPr="00D90086" w:rsidRDefault="00617B7D" w:rsidP="007D07FE">
                          <w:pPr>
                            <w:jc w:val="both"/>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4B497" id="_x0000_t202" coordsize="21600,21600" o:spt="202" path="m,l,21600r21600,l21600,xe">
              <v:stroke joinstyle="miter"/>
              <v:path gradientshapeok="t" o:connecttype="rect"/>
            </v:shapetype>
            <v:shape id="Text Box 8" o:spid="_x0000_s1080" type="#_x0000_t202" style="position:absolute;margin-left:735.7pt;margin-top:19.15pt;width:30.95pt;height:487.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JE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" filled="f" stroked="f" strokeweight=".5pt">
              <v:textbox style="layout-flow:vertical">
                <w:txbxContent>
                  <w:p w14:paraId="34E95700" w14:textId="6E105850" w:rsidR="00617B7D" w:rsidRPr="0021384F" w:rsidRDefault="00705C8B" w:rsidP="007D07FE">
                    <w:pPr>
                      <w:pStyle w:val="Header"/>
                    </w:pPr>
                    <w:r>
                      <w:fldChar w:fldCharType="begin"/>
                    </w:r>
                    <w:r>
                      <w:instrText xml:space="preserve">STYLEREF  </w:instrText>
                    </w:r>
                    <w:r w:rsidR="00AD7DA5">
                      <w:instrText>“HEADING 1 numbered”</w:instrText>
                    </w:r>
                    <w:r>
                      <w:instrText xml:space="preserve"> \n  \* MERGEFORMAT</w:instrText>
                    </w:r>
                    <w:r>
                      <w:fldChar w:fldCharType="separate"/>
                    </w:r>
                    <w:r w:rsidR="002D4B83" w:rsidRPr="002D4B83">
                      <w:rPr>
                        <w:b w:val="0"/>
                        <w:bCs/>
                        <w:noProof/>
                        <w:lang w:val="en-US"/>
                      </w:rPr>
                      <w:t>5</w:t>
                    </w:r>
                    <w:r>
                      <w:fldChar w:fldCharType="end"/>
                    </w:r>
                    <w:r w:rsidR="00617B7D" w:rsidRPr="0021248D">
                      <w:t xml:space="preserve">. </w:t>
                    </w:r>
                    <w:r>
                      <w:fldChar w:fldCharType="begin"/>
                    </w:r>
                    <w:r>
                      <w:instrText xml:space="preserve">STYLEREF  </w:instrText>
                    </w:r>
                    <w:r w:rsidR="00AD7DA5">
                      <w:instrText>“HEADING 1 numbered”</w:instrText>
                    </w:r>
                    <w:r>
                      <w:instrText xml:space="preserve">  \* MERGEFORMAT</w:instrText>
                    </w:r>
                    <w:r>
                      <w:fldChar w:fldCharType="separate"/>
                    </w:r>
                    <w:r w:rsidR="002D4B83" w:rsidRPr="002D4B83">
                      <w:rPr>
                        <w:b w:val="0"/>
                        <w:bCs/>
                        <w:noProof/>
                        <w:lang w:val="en-US"/>
                      </w:rPr>
                      <w:t>KEY ASSETS AVAILABLE TO SUPPORT OUTPUT DELIVERY</w:t>
                    </w:r>
                    <w:r>
                      <w:fldChar w:fldCharType="end"/>
                    </w:r>
                  </w:p>
                  <w:p w14:paraId="76BB7476" w14:textId="77777777" w:rsidR="00617B7D" w:rsidRPr="00D90086" w:rsidRDefault="00617B7D" w:rsidP="007D07FE">
                    <w:pPr>
                      <w:jc w:val="both"/>
                    </w:pPr>
                  </w:p>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1C99D299" wp14:editId="048D485B">
              <wp:simplePos x="0" y="0"/>
              <wp:positionH relativeFrom="column">
                <wp:posOffset>-559435</wp:posOffset>
              </wp:positionH>
              <wp:positionV relativeFrom="paragraph">
                <wp:posOffset>243205</wp:posOffset>
              </wp:positionV>
              <wp:extent cx="393065" cy="6189980"/>
              <wp:effectExtent l="0" t="0" r="0" b="0"/>
              <wp:wrapNone/>
              <wp:docPr id="16124859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EF34E" w14:textId="4B161401" w:rsidR="00617B7D" w:rsidRPr="00D90086" w:rsidRDefault="00617B7D" w:rsidP="007D07FE">
                          <w:pPr>
                            <w:pStyle w:val="Footereven"/>
                          </w:pPr>
                          <w:r>
                            <w:fldChar w:fldCharType="begin"/>
                          </w:r>
                          <w:r>
                            <w:instrText xml:space="preserve"> PAGE   \* MERGEFORMAT </w:instrText>
                          </w:r>
                          <w:r>
                            <w:fldChar w:fldCharType="separate"/>
                          </w:r>
                          <w:r>
                            <w:rPr>
                              <w:noProof/>
                            </w:rPr>
                            <w:t>43</w:t>
                          </w:r>
                          <w:r>
                            <w:fldChar w:fldCharType="end"/>
                          </w:r>
                          <w:r>
                            <w:tab/>
                          </w:r>
                          <w:fldSimple w:instr="STYLEREF  Title  \* MERGEFORMAT">
                            <w:r w:rsidR="002D4B83">
                              <w:rPr>
                                <w:noProof/>
                              </w:rPr>
                              <w:t>Model Report for Victorian Government Departments</w:t>
                            </w:r>
                          </w:fldSimple>
                        </w:p>
                        <w:p w14:paraId="6BD8CAA7" w14:textId="77777777" w:rsidR="00617B7D" w:rsidRPr="00D90086" w:rsidRDefault="00617B7D"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6E36845" w14:textId="77777777" w:rsidR="00617B7D" w:rsidRPr="00D90086" w:rsidRDefault="00617B7D"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D299" id="Text Box 7" o:spid="_x0000_s1081" type="#_x0000_t202" style="position:absolute;margin-left:-44.05pt;margin-top:19.15pt;width:30.95pt;height:487.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2R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" filled="f" stroked="f" strokeweight=".5pt">
              <v:textbox style="layout-flow:vertical">
                <w:txbxContent>
                  <w:p w14:paraId="2C4EF34E" w14:textId="4B161401" w:rsidR="00617B7D" w:rsidRPr="00D90086" w:rsidRDefault="00617B7D" w:rsidP="007D07FE">
                    <w:pPr>
                      <w:pStyle w:val="Footereven"/>
                    </w:pPr>
                    <w:r>
                      <w:fldChar w:fldCharType="begin"/>
                    </w:r>
                    <w:r>
                      <w:instrText xml:space="preserve"> PAGE   \* MERGEFORMAT </w:instrText>
                    </w:r>
                    <w:r>
                      <w:fldChar w:fldCharType="separate"/>
                    </w:r>
                    <w:r>
                      <w:rPr>
                        <w:noProof/>
                      </w:rPr>
                      <w:t>43</w:t>
                    </w:r>
                    <w:r>
                      <w:fldChar w:fldCharType="end"/>
                    </w:r>
                    <w:r>
                      <w:tab/>
                    </w:r>
                    <w:fldSimple w:instr="STYLEREF  Title  \* MERGEFORMAT">
                      <w:r w:rsidR="002D4B83">
                        <w:rPr>
                          <w:noProof/>
                        </w:rPr>
                        <w:t>Model Report for Victorian Government Departments</w:t>
                      </w:r>
                    </w:fldSimple>
                  </w:p>
                  <w:p w14:paraId="6BD8CAA7" w14:textId="77777777" w:rsidR="00617B7D" w:rsidRPr="00D90086" w:rsidRDefault="00617B7D"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6E36845" w14:textId="77777777" w:rsidR="00617B7D" w:rsidRPr="00D90086" w:rsidRDefault="00617B7D" w:rsidP="007D07FE">
                    <w:pPr>
                      <w:pStyle w:val="Footereven"/>
                    </w:pPr>
                    <w:r>
                      <w:rPr>
                        <w:rStyle w:val="PageNumber"/>
                      </w:rPr>
                      <w:tab/>
                    </w:r>
                  </w:p>
                </w:txbxContent>
              </v:textbox>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4EF47" w14:textId="761904B2" w:rsidR="00860F91" w:rsidRPr="00C70938" w:rsidRDefault="00BC3DBB" w:rsidP="00C70938">
    <w:pPr>
      <w:pStyle w:val="Header"/>
    </w:pPr>
    <w:r>
      <w:rPr>
        <w:noProof/>
      </w:rPr>
      <mc:AlternateContent>
        <mc:Choice Requires="wps">
          <w:drawing>
            <wp:anchor distT="0" distB="0" distL="114300" distR="114300" simplePos="0" relativeHeight="251658279" behindDoc="0" locked="0" layoutInCell="1" allowOverlap="1" wp14:anchorId="3FFDC006" wp14:editId="17E2E287">
              <wp:simplePos x="0" y="0"/>
              <wp:positionH relativeFrom="column">
                <wp:posOffset>9323705</wp:posOffset>
              </wp:positionH>
              <wp:positionV relativeFrom="paragraph">
                <wp:posOffset>243205</wp:posOffset>
              </wp:positionV>
              <wp:extent cx="393065" cy="6189980"/>
              <wp:effectExtent l="0" t="0" r="0" b="0"/>
              <wp:wrapNone/>
              <wp:docPr id="6437961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05A08" w14:textId="69BE9DAE" w:rsidR="00860F91" w:rsidRPr="00B06BF6" w:rsidRDefault="00860F91" w:rsidP="00B06BF6">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D26320">
                            <w:rPr>
                              <w:noProof/>
                            </w:rPr>
                            <w:t>5</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D26320">
                            <w:rPr>
                              <w:noProof/>
                            </w:rPr>
                            <w:t>KEY ASSETS AVAILABLE TO SUPPORT OUTPUT DELIVERY</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DC006" id="_x0000_t202" coordsize="21600,21600" o:spt="202" path="m,l,21600r21600,l21600,xe">
              <v:stroke joinstyle="miter"/>
              <v:path gradientshapeok="t" o:connecttype="rect"/>
            </v:shapetype>
            <v:shape id="Text Box 6" o:spid="_x0000_s1082" type="#_x0000_t202" style="position:absolute;margin-left:734.15pt;margin-top:19.15pt;width:30.95pt;height:487.4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w1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" filled="f" stroked="f" strokeweight=".5pt">
              <v:textbox style="layout-flow:vertical">
                <w:txbxContent>
                  <w:p w14:paraId="6A205A08" w14:textId="69BE9DAE" w:rsidR="00860F91" w:rsidRPr="00B06BF6" w:rsidRDefault="00860F91" w:rsidP="00B06BF6">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D26320">
                      <w:rPr>
                        <w:noProof/>
                      </w:rPr>
                      <w:t>5</w:t>
                    </w:r>
                    <w:r w:rsidRPr="00AD7DA5">
                      <w:fldChar w:fldCharType="end"/>
                    </w:r>
                    <w:r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D26320">
                      <w:rPr>
                        <w:noProof/>
                      </w:rPr>
                      <w:t>KEY ASSETS AVAILABLE TO SUPPORT OUTPUT DELIVERY</w:t>
                    </w:r>
                    <w:r w:rsidRPr="00AD7DA5">
                      <w:fldChar w:fldCharType="end"/>
                    </w:r>
                  </w:p>
                </w:txbxContent>
              </v:textbox>
            </v:shape>
          </w:pict>
        </mc:Fallback>
      </mc:AlternateContent>
    </w:r>
    <w:r>
      <w:rPr>
        <w:noProof/>
      </w:rPr>
      <mc:AlternateContent>
        <mc:Choice Requires="wps">
          <w:drawing>
            <wp:anchor distT="0" distB="0" distL="114300" distR="114300" simplePos="0" relativeHeight="251658280" behindDoc="0" locked="0" layoutInCell="1" allowOverlap="1" wp14:anchorId="151BED9D" wp14:editId="4918E38F">
              <wp:simplePos x="0" y="0"/>
              <wp:positionH relativeFrom="column">
                <wp:posOffset>-535940</wp:posOffset>
              </wp:positionH>
              <wp:positionV relativeFrom="paragraph">
                <wp:posOffset>243840</wp:posOffset>
              </wp:positionV>
              <wp:extent cx="393065" cy="6189980"/>
              <wp:effectExtent l="0" t="0" r="0" b="0"/>
              <wp:wrapNone/>
              <wp:docPr id="3358180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26ED6" w14:textId="28F4FD35" w:rsidR="00860F91" w:rsidRPr="00D90086" w:rsidRDefault="00D26320" w:rsidP="00C70938">
                          <w:pPr>
                            <w:pStyle w:val="Footereven"/>
                            <w:jc w:val="both"/>
                          </w:pPr>
                          <w:fldSimple w:instr="STYLEREF  Title  \* MERGEFORMAT">
                            <w:r w:rsidRPr="00D26320">
                              <w:rPr>
                                <w:b/>
                                <w:bCs/>
                                <w:noProof/>
                                <w:lang w:val="en-US"/>
                              </w:rPr>
                              <w:t>Model Report for Victorian Government Departments</w:t>
                            </w:r>
                          </w:fldSimple>
                          <w:r w:rsidR="00860F91">
                            <w:rPr>
                              <w:noProof/>
                            </w:rPr>
                            <w:tab/>
                          </w:r>
                          <w:r w:rsidR="00860F91">
                            <w:rPr>
                              <w:noProof/>
                            </w:rPr>
                            <w:fldChar w:fldCharType="begin"/>
                          </w:r>
                          <w:r w:rsidR="00860F91">
                            <w:rPr>
                              <w:noProof/>
                            </w:rPr>
                            <w:instrText xml:space="preserve"> PAGE   \* MERGEFORMAT </w:instrText>
                          </w:r>
                          <w:r w:rsidR="00860F91">
                            <w:rPr>
                              <w:noProof/>
                            </w:rPr>
                            <w:fldChar w:fldCharType="separate"/>
                          </w:r>
                          <w:r w:rsidR="00860F91">
                            <w:rPr>
                              <w:noProof/>
                            </w:rPr>
                            <w:t>43</w:t>
                          </w:r>
                          <w:r w:rsidR="00860F91">
                            <w:rPr>
                              <w:noProof/>
                            </w:rPr>
                            <w:fldChar w:fldCharType="end"/>
                          </w:r>
                        </w:p>
                        <w:p w14:paraId="2F42F7E9" w14:textId="77777777" w:rsidR="00860F91" w:rsidRPr="00D90086" w:rsidRDefault="00860F91" w:rsidP="00C70938">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BED9D" id="Text Box 5" o:spid="_x0000_s1083" type="#_x0000_t202" style="position:absolute;margin-left:-42.2pt;margin-top:19.2pt;width:30.95pt;height:487.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" filled="f" stroked="f" strokeweight=".5pt">
              <v:textbox style="layout-flow:vertical">
                <w:txbxContent>
                  <w:p w14:paraId="64626ED6" w14:textId="28F4FD35" w:rsidR="00860F91" w:rsidRPr="00D90086" w:rsidRDefault="00D26320" w:rsidP="00C70938">
                    <w:pPr>
                      <w:pStyle w:val="Footereven"/>
                      <w:jc w:val="both"/>
                    </w:pPr>
                    <w:fldSimple w:instr="STYLEREF  Title  \* MERGEFORMAT">
                      <w:r w:rsidRPr="00D26320">
                        <w:rPr>
                          <w:b/>
                          <w:bCs/>
                          <w:noProof/>
                          <w:lang w:val="en-US"/>
                        </w:rPr>
                        <w:t>Model Report for Victorian Government Departments</w:t>
                      </w:r>
                    </w:fldSimple>
                    <w:r w:rsidR="00860F91">
                      <w:rPr>
                        <w:noProof/>
                      </w:rPr>
                      <w:tab/>
                    </w:r>
                    <w:r w:rsidR="00860F91">
                      <w:rPr>
                        <w:noProof/>
                      </w:rPr>
                      <w:fldChar w:fldCharType="begin"/>
                    </w:r>
                    <w:r w:rsidR="00860F91">
                      <w:rPr>
                        <w:noProof/>
                      </w:rPr>
                      <w:instrText xml:space="preserve"> PAGE   \* MERGEFORMAT </w:instrText>
                    </w:r>
                    <w:r w:rsidR="00860F91">
                      <w:rPr>
                        <w:noProof/>
                      </w:rPr>
                      <w:fldChar w:fldCharType="separate"/>
                    </w:r>
                    <w:r w:rsidR="00860F91">
                      <w:rPr>
                        <w:noProof/>
                      </w:rPr>
                      <w:t>43</w:t>
                    </w:r>
                    <w:r w:rsidR="00860F91">
                      <w:rPr>
                        <w:noProof/>
                      </w:rPr>
                      <w:fldChar w:fldCharType="end"/>
                    </w:r>
                  </w:p>
                  <w:p w14:paraId="2F42F7E9" w14:textId="77777777" w:rsidR="00860F91" w:rsidRPr="00D90086" w:rsidRDefault="00860F91" w:rsidP="00C70938">
                    <w:pPr>
                      <w:pStyle w:val="Footereven"/>
                    </w:pPr>
                    <w:r>
                      <w:rPr>
                        <w:rStyle w:val="PageNumber"/>
                      </w:rPr>
                      <w:tab/>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1D46D" w14:textId="10727994" w:rsidR="00A545BA" w:rsidRPr="00B06BF6" w:rsidRDefault="00705C8B" w:rsidP="00B06BF6">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RISKS, CONTINGENCIES AND VALUATION JUDGEMENTS</w:t>
    </w:r>
    <w:r w:rsidRPr="00AD7DA5">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DA69D" w14:textId="5242C8BA" w:rsidR="00A545BA" w:rsidRPr="00B06BF6" w:rsidRDefault="00705C8B" w:rsidP="00B06BF6">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RISKS, CONTINGENCIES AND VALUATION JUDGEMENTS</w:t>
    </w:r>
    <w:r w:rsidRPr="00AD7DA5">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9BEA" w14:textId="40B1BD88" w:rsidR="00A545BA" w:rsidRPr="0021248D" w:rsidRDefault="00BC3DBB" w:rsidP="00FA4323">
    <w:pPr>
      <w:pStyle w:val="Header"/>
    </w:pPr>
    <w:r>
      <w:rPr>
        <w:noProof/>
      </w:rPr>
      <mc:AlternateContent>
        <mc:Choice Requires="wps">
          <w:drawing>
            <wp:anchor distT="0" distB="0" distL="114300" distR="114300" simplePos="0" relativeHeight="251658255" behindDoc="0" locked="0" layoutInCell="1" allowOverlap="1" wp14:anchorId="060557D4" wp14:editId="555BE01E">
              <wp:simplePos x="0" y="0"/>
              <wp:positionH relativeFrom="column">
                <wp:posOffset>-496570</wp:posOffset>
              </wp:positionH>
              <wp:positionV relativeFrom="paragraph">
                <wp:posOffset>243205</wp:posOffset>
              </wp:positionV>
              <wp:extent cx="393065" cy="6189980"/>
              <wp:effectExtent l="0" t="0" r="0" b="0"/>
              <wp:wrapNone/>
              <wp:docPr id="14041886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177C5" w14:textId="108E5D7D" w:rsidR="00A545BA" w:rsidRPr="00D90086" w:rsidRDefault="00A545BA" w:rsidP="007D07FE">
                          <w:pPr>
                            <w:pStyle w:val="Footereven"/>
                          </w:pPr>
                          <w:r>
                            <w:fldChar w:fldCharType="begin"/>
                          </w:r>
                          <w:r>
                            <w:instrText xml:space="preserve"> PAGE   \* MERGEFORMAT </w:instrText>
                          </w:r>
                          <w:r>
                            <w:fldChar w:fldCharType="separate"/>
                          </w:r>
                          <w:r>
                            <w:rPr>
                              <w:noProof/>
                            </w:rPr>
                            <w:t>43</w:t>
                          </w:r>
                          <w:r>
                            <w:fldChar w:fldCharType="end"/>
                          </w:r>
                          <w:r>
                            <w:tab/>
                          </w:r>
                          <w:fldSimple w:instr="STYLEREF  Title  \* MERGEFORMAT">
                            <w:r w:rsidR="002D4B83">
                              <w:rPr>
                                <w:noProof/>
                              </w:rPr>
                              <w:t>Model Report for Victorian Government Departments</w:t>
                            </w:r>
                          </w:fldSimple>
                        </w:p>
                        <w:p w14:paraId="69BCA8B7"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05A160C1" w14:textId="77777777" w:rsidR="00A545BA" w:rsidRPr="00D90086" w:rsidRDefault="00A545BA"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557D4" id="_x0000_t202" coordsize="21600,21600" o:spt="202" path="m,l,21600r21600,l21600,xe">
              <v:stroke joinstyle="miter"/>
              <v:path gradientshapeok="t" o:connecttype="rect"/>
            </v:shapetype>
            <v:shape id="Text Box 4" o:spid="_x0000_s1084" type="#_x0000_t202" style="position:absolute;margin-left:-39.1pt;margin-top:19.15pt;width:30.95pt;height:487.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a7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" filled="f" stroked="f" strokeweight=".5pt">
              <v:textbox style="layout-flow:vertical">
                <w:txbxContent>
                  <w:p w14:paraId="49E177C5" w14:textId="108E5D7D" w:rsidR="00A545BA" w:rsidRPr="00D90086" w:rsidRDefault="00A545BA" w:rsidP="007D07FE">
                    <w:pPr>
                      <w:pStyle w:val="Footereven"/>
                    </w:pPr>
                    <w:r>
                      <w:fldChar w:fldCharType="begin"/>
                    </w:r>
                    <w:r>
                      <w:instrText xml:space="preserve"> PAGE   \* MERGEFORMAT </w:instrText>
                    </w:r>
                    <w:r>
                      <w:fldChar w:fldCharType="separate"/>
                    </w:r>
                    <w:r>
                      <w:rPr>
                        <w:noProof/>
                      </w:rPr>
                      <w:t>43</w:t>
                    </w:r>
                    <w:r>
                      <w:fldChar w:fldCharType="end"/>
                    </w:r>
                    <w:r>
                      <w:tab/>
                    </w:r>
                    <w:fldSimple w:instr="STYLEREF  Title  \* MERGEFORMAT">
                      <w:r w:rsidR="002D4B83">
                        <w:rPr>
                          <w:noProof/>
                        </w:rPr>
                        <w:t>Model Report for Victorian Government Departments</w:t>
                      </w:r>
                    </w:fldSimple>
                  </w:p>
                  <w:p w14:paraId="69BCA8B7"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05A160C1" w14:textId="77777777" w:rsidR="00A545BA" w:rsidRPr="00D90086" w:rsidRDefault="00A545BA" w:rsidP="007D07FE">
                    <w:pPr>
                      <w:pStyle w:val="Footereven"/>
                    </w:pPr>
                    <w:r>
                      <w:rPr>
                        <w:rStyle w:val="PageNumber"/>
                      </w:rPr>
                      <w:tab/>
                    </w:r>
                  </w:p>
                </w:txbxContent>
              </v:textbox>
            </v:shape>
          </w:pict>
        </mc:Fallback>
      </mc:AlternateContent>
    </w:r>
    <w:r>
      <w:rPr>
        <w:noProof/>
      </w:rPr>
      <mc:AlternateContent>
        <mc:Choice Requires="wps">
          <w:drawing>
            <wp:anchor distT="0" distB="0" distL="114300" distR="114300" simplePos="0" relativeHeight="251658257" behindDoc="0" locked="0" layoutInCell="1" allowOverlap="1" wp14:anchorId="44D0115A" wp14:editId="4C5D55E3">
              <wp:simplePos x="0" y="0"/>
              <wp:positionH relativeFrom="page">
                <wp:posOffset>10006965</wp:posOffset>
              </wp:positionH>
              <wp:positionV relativeFrom="paragraph">
                <wp:posOffset>250825</wp:posOffset>
              </wp:positionV>
              <wp:extent cx="393065" cy="6189980"/>
              <wp:effectExtent l="0" t="0" r="0" b="0"/>
              <wp:wrapNone/>
              <wp:docPr id="16779715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071AC" w14:textId="3468F0AD" w:rsidR="00A545BA" w:rsidRPr="00473D1F" w:rsidRDefault="00705C8B" w:rsidP="00473D1F">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RISKS, CONTINGENCIES AND VALUATION JUDGEMENTS</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0115A" id="Text Box 3" o:spid="_x0000_s1085" type="#_x0000_t202" style="position:absolute;margin-left:787.95pt;margin-top:19.75pt;width:30.95pt;height:487.4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" filled="f" stroked="f" strokeweight=".5pt">
              <v:textbox style="layout-flow:vertical">
                <w:txbxContent>
                  <w:p w14:paraId="66F071AC" w14:textId="3468F0AD" w:rsidR="00A545BA" w:rsidRPr="00473D1F" w:rsidRDefault="00705C8B" w:rsidP="00473D1F">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RISKS, CONTINGENCIES AND VALUATION JUDGEMENTS</w:t>
                    </w:r>
                    <w:r w:rsidRPr="00AD7DA5">
                      <w:fldChar w:fldCharType="end"/>
                    </w:r>
                  </w:p>
                </w:txbxContent>
              </v:textbox>
              <w10:wrap anchorx="page"/>
            </v:shape>
          </w:pict>
        </mc:Fallback>
      </mc:AlternateContent>
    </w:r>
    <w:r w:rsidR="00A545BA" w:rsidRPr="0021248D">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5E50" w14:textId="6F240B8F" w:rsidR="00A545BA" w:rsidRPr="0021384F" w:rsidRDefault="00BC3DBB" w:rsidP="00314307">
    <w:pPr>
      <w:pStyle w:val="Header"/>
      <w:jc w:val="right"/>
    </w:pPr>
    <w:r>
      <w:rPr>
        <w:noProof/>
      </w:rPr>
      <mc:AlternateContent>
        <mc:Choice Requires="wps">
          <w:drawing>
            <wp:anchor distT="0" distB="0" distL="114300" distR="114300" simplePos="0" relativeHeight="251658256" behindDoc="0" locked="0" layoutInCell="1" allowOverlap="1" wp14:anchorId="2BC97068" wp14:editId="76DBF3C7">
              <wp:simplePos x="0" y="0"/>
              <wp:positionH relativeFrom="column">
                <wp:posOffset>-535305</wp:posOffset>
              </wp:positionH>
              <wp:positionV relativeFrom="paragraph">
                <wp:posOffset>243205</wp:posOffset>
              </wp:positionV>
              <wp:extent cx="393065" cy="6189980"/>
              <wp:effectExtent l="0" t="0" r="0" b="0"/>
              <wp:wrapNone/>
              <wp:docPr id="1524873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D1341" w14:textId="6133EC9E" w:rsidR="00A545BA" w:rsidRPr="00D90086" w:rsidRDefault="00D26320" w:rsidP="007D07FE">
                          <w:pPr>
                            <w:pStyle w:val="Footereven"/>
                          </w:pPr>
                          <w:fldSimple w:instr="STYLEREF  Title  \* MERGEFORMAT">
                            <w:r w:rsidR="002D4B83">
                              <w:rPr>
                                <w:noProof/>
                              </w:rPr>
                              <w:t>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191</w:t>
                          </w:r>
                          <w:r w:rsidR="00A545BA">
                            <w:rPr>
                              <w:noProof/>
                            </w:rPr>
                            <w:fldChar w:fldCharType="end"/>
                          </w:r>
                        </w:p>
                        <w:p w14:paraId="67D880B3"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7CE35EE" w14:textId="77777777" w:rsidR="00A545BA" w:rsidRPr="00D90086" w:rsidRDefault="00A545BA" w:rsidP="007D07FE">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97068" id="_x0000_t202" coordsize="21600,21600" o:spt="202" path="m,l,21600r21600,l21600,xe">
              <v:stroke joinstyle="miter"/>
              <v:path gradientshapeok="t" o:connecttype="rect"/>
            </v:shapetype>
            <v:shape id="Text Box 2" o:spid="_x0000_s1086" type="#_x0000_t202" style="position:absolute;left:0;text-align:left;margin-left:-42.15pt;margin-top:19.15pt;width:30.95pt;height:487.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" filled="f" stroked="f" strokeweight=".5pt">
              <v:textbox style="layout-flow:vertical">
                <w:txbxContent>
                  <w:p w14:paraId="60FD1341" w14:textId="6133EC9E" w:rsidR="00A545BA" w:rsidRPr="00D90086" w:rsidRDefault="00D26320" w:rsidP="007D07FE">
                    <w:pPr>
                      <w:pStyle w:val="Footereven"/>
                    </w:pPr>
                    <w:fldSimple w:instr="STYLEREF  Title  \* MERGEFORMAT">
                      <w:r w:rsidR="002D4B83">
                        <w:rPr>
                          <w:noProof/>
                        </w:rPr>
                        <w:t>Model Report for Victorian Government Departments</w:t>
                      </w:r>
                    </w:fldSimple>
                    <w:r w:rsidR="00A545BA">
                      <w:rPr>
                        <w:noProof/>
                      </w:rPr>
                      <w:tab/>
                    </w:r>
                    <w:r w:rsidR="00A545BA">
                      <w:rPr>
                        <w:noProof/>
                      </w:rPr>
                      <w:fldChar w:fldCharType="begin"/>
                    </w:r>
                    <w:r w:rsidR="00A545BA">
                      <w:rPr>
                        <w:noProof/>
                      </w:rPr>
                      <w:instrText xml:space="preserve"> PAGE   \* MERGEFORMAT </w:instrText>
                    </w:r>
                    <w:r w:rsidR="00A545BA">
                      <w:rPr>
                        <w:noProof/>
                      </w:rPr>
                      <w:fldChar w:fldCharType="separate"/>
                    </w:r>
                    <w:r w:rsidR="00A545BA">
                      <w:rPr>
                        <w:noProof/>
                      </w:rPr>
                      <w:t>191</w:t>
                    </w:r>
                    <w:r w:rsidR="00A545BA">
                      <w:rPr>
                        <w:noProof/>
                      </w:rPr>
                      <w:fldChar w:fldCharType="end"/>
                    </w:r>
                  </w:p>
                  <w:p w14:paraId="67D880B3" w14:textId="77777777" w:rsidR="00A545BA" w:rsidRPr="00D90086" w:rsidRDefault="00A545BA" w:rsidP="007D07FE">
                    <w:pPr>
                      <w:pStyle w:val="Footereven"/>
                      <w:jc w:val="both"/>
                    </w:pPr>
                    <w:r>
                      <w:tab/>
                    </w:r>
                    <w:r>
                      <w:fldChar w:fldCharType="begin"/>
                    </w:r>
                    <w:r>
                      <w:instrText xml:space="preserve"> PAGE   \* MERGEFORMAT </w:instrText>
                    </w:r>
                    <w:r>
                      <w:fldChar w:fldCharType="separate"/>
                    </w:r>
                    <w:r>
                      <w:rPr>
                        <w:noProof/>
                      </w:rPr>
                      <w:t>120</w:t>
                    </w:r>
                    <w:r>
                      <w:fldChar w:fldCharType="end"/>
                    </w:r>
                    <w:r>
                      <w:tab/>
                    </w:r>
                  </w:p>
                  <w:p w14:paraId="77CE35EE" w14:textId="77777777" w:rsidR="00A545BA" w:rsidRPr="00D90086" w:rsidRDefault="00A545BA" w:rsidP="007D07FE">
                    <w:pPr>
                      <w:pStyle w:val="Footereven"/>
                    </w:pPr>
                    <w:r>
                      <w:rPr>
                        <w:rStyle w:val="PageNumber"/>
                      </w:rPr>
                      <w:tab/>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542CDB34" wp14:editId="7D6D38D1">
              <wp:simplePos x="0" y="0"/>
              <wp:positionH relativeFrom="page">
                <wp:posOffset>9997440</wp:posOffset>
              </wp:positionH>
              <wp:positionV relativeFrom="paragraph">
                <wp:posOffset>243205</wp:posOffset>
              </wp:positionV>
              <wp:extent cx="393065" cy="6189980"/>
              <wp:effectExtent l="0" t="0" r="0" b="0"/>
              <wp:wrapNone/>
              <wp:docPr id="4851051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08E1A" w14:textId="63B43A47" w:rsidR="00A545BA" w:rsidRPr="00473D1F" w:rsidRDefault="00705C8B" w:rsidP="00473D1F">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RISKS, CONTINGENCIES AND VALUATION JUDGEMENTS</w:t>
                          </w:r>
                          <w:r w:rsidRPr="00AD7DA5">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CDB34" id="Text Box 1" o:spid="_x0000_s1087" type="#_x0000_t202" style="position:absolute;left:0;text-align:left;margin-left:787.2pt;margin-top:19.15pt;width:30.95pt;height:487.4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" filled="f" stroked="f" strokeweight=".5pt">
              <v:textbox style="layout-flow:vertical">
                <w:txbxContent>
                  <w:p w14:paraId="5F508E1A" w14:textId="63B43A47" w:rsidR="00A545BA" w:rsidRPr="00473D1F" w:rsidRDefault="00705C8B" w:rsidP="00473D1F">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RISKS, CONTINGENCIES AND VALUATION JUDGEMENTS</w:t>
                    </w:r>
                    <w:r w:rsidRPr="00AD7DA5">
                      <w:fldChar w:fldCharType="end"/>
                    </w:r>
                  </w:p>
                </w:txbxContent>
              </v:textbox>
              <w10:wrap anchorx="page"/>
            </v:shape>
          </w:pict>
        </mc:Fallback>
      </mc:AlternateContent>
    </w:r>
    <w:r w:rsidR="00A545BA" w:rsidRPr="0021384F">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ADDF0" w14:textId="64C88217" w:rsidR="00A545BA" w:rsidRPr="00473D1F" w:rsidRDefault="00705C8B" w:rsidP="00473D1F">
    <w:pPr>
      <w:pStyle w:val="Header"/>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8</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RISKS, CONTINGENCIES AND VALUATION JUDGEMENTS</w:t>
    </w:r>
    <w:r w:rsidRPr="00AD7DA5">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FD579" w14:textId="7ED0101D" w:rsidR="007B5F82" w:rsidRPr="007B5F82" w:rsidRDefault="00BC3DBB" w:rsidP="007B5F82">
    <w:pPr>
      <w:pStyle w:val="Header"/>
    </w:pPr>
    <w:r>
      <w:rPr>
        <w:noProof/>
      </w:rPr>
      <mc:AlternateContent>
        <mc:Choice Requires="wps">
          <w:drawing>
            <wp:anchor distT="0" distB="0" distL="114300" distR="114300" simplePos="0" relativeHeight="251658278" behindDoc="0" locked="0" layoutInCell="1" allowOverlap="1" wp14:anchorId="3DBACB91" wp14:editId="700B5BDD">
              <wp:simplePos x="0" y="0"/>
              <wp:positionH relativeFrom="column">
                <wp:posOffset>9335135</wp:posOffset>
              </wp:positionH>
              <wp:positionV relativeFrom="paragraph">
                <wp:posOffset>243205</wp:posOffset>
              </wp:positionV>
              <wp:extent cx="393065" cy="6189980"/>
              <wp:effectExtent l="0" t="0" r="0" b="0"/>
              <wp:wrapNone/>
              <wp:docPr id="2810277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6BA64" w14:textId="77777777" w:rsidR="007B5F82" w:rsidRPr="0051263F" w:rsidRDefault="007B5F82" w:rsidP="007B5F82">
                          <w:pPr>
                            <w:pStyle w:val="Header"/>
                          </w:pPr>
                          <w:r w:rsidRPr="00C6270B">
                            <w:t xml:space="preserve">Department of Technology – Model </w:t>
                          </w:r>
                          <w:r>
                            <w:t>Financial Statements</w:t>
                          </w:r>
                        </w:p>
                        <w:p w14:paraId="7E495009" w14:textId="77777777" w:rsidR="007B5F82" w:rsidRDefault="007B5F82" w:rsidP="007B5F82">
                          <w:pPr>
                            <w:pStyle w:val="Header"/>
                          </w:pPr>
                        </w:p>
                        <w:p w14:paraId="4B4BCEDD" w14:textId="23AE5387" w:rsidR="007B5F82" w:rsidRPr="00D90086" w:rsidRDefault="007B5F82" w:rsidP="007B5F82">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ACB91" id="_x0000_t202" coordsize="21600,21600" o:spt="202" path="m,l,21600r21600,l21600,xe">
              <v:stroke joinstyle="miter"/>
              <v:path gradientshapeok="t" o:connecttype="rect"/>
            </v:shapetype>
            <v:shape id="Text Box 30" o:spid="_x0000_s1058" type="#_x0000_t202" style="position:absolute;margin-left:735.05pt;margin-top:19.15pt;width:30.95pt;height:487.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4+N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" filled="f" stroked="f" strokeweight=".5pt">
              <v:textbox style="layout-flow:vertical">
                <w:txbxContent>
                  <w:p w14:paraId="13A6BA64" w14:textId="77777777" w:rsidR="007B5F82" w:rsidRPr="0051263F" w:rsidRDefault="007B5F82" w:rsidP="007B5F82">
                    <w:pPr>
                      <w:pStyle w:val="Header"/>
                    </w:pPr>
                    <w:r w:rsidRPr="00C6270B">
                      <w:t xml:space="preserve">Department of Technology – Model </w:t>
                    </w:r>
                    <w:r>
                      <w:t>Financial Statements</w:t>
                    </w:r>
                  </w:p>
                  <w:p w14:paraId="7E495009" w14:textId="77777777" w:rsidR="007B5F82" w:rsidRDefault="007B5F82" w:rsidP="007B5F82">
                    <w:pPr>
                      <w:pStyle w:val="Header"/>
                    </w:pPr>
                  </w:p>
                  <w:p w14:paraId="4B4BCEDD" w14:textId="23AE5387" w:rsidR="007B5F82" w:rsidRPr="00D90086" w:rsidRDefault="007B5F82" w:rsidP="007B5F82">
                    <w:pPr>
                      <w:pStyle w:val="Header"/>
                    </w:pPr>
                  </w:p>
                </w:txbxContent>
              </v:textbox>
            </v:shape>
          </w:pict>
        </mc:Fallback>
      </mc:AlternateContent>
    </w:r>
    <w:r>
      <w:rPr>
        <w:noProof/>
      </w:rPr>
      <mc:AlternateContent>
        <mc:Choice Requires="wps">
          <w:drawing>
            <wp:anchor distT="0" distB="0" distL="114300" distR="114300" simplePos="0" relativeHeight="251658277" behindDoc="0" locked="0" layoutInCell="1" allowOverlap="1" wp14:anchorId="7366FB4A" wp14:editId="0BFB53D8">
              <wp:simplePos x="0" y="0"/>
              <wp:positionH relativeFrom="column">
                <wp:posOffset>-499745</wp:posOffset>
              </wp:positionH>
              <wp:positionV relativeFrom="paragraph">
                <wp:posOffset>243205</wp:posOffset>
              </wp:positionV>
              <wp:extent cx="393065" cy="6189980"/>
              <wp:effectExtent l="0" t="0" r="0" b="0"/>
              <wp:wrapNone/>
              <wp:docPr id="9007028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BD2EC" w14:textId="2CDFBBE1" w:rsidR="007B5F82" w:rsidRPr="00D90086" w:rsidRDefault="007B5F82" w:rsidP="007B5F82">
                          <w:pPr>
                            <w:pStyle w:val="Footereven"/>
                            <w:jc w:val="both"/>
                          </w:pPr>
                          <w:r>
                            <w:fldChar w:fldCharType="begin"/>
                          </w:r>
                          <w:r>
                            <w:instrText xml:space="preserve"> PAGE   \* MERGEFORMAT </w:instrText>
                          </w:r>
                          <w:r>
                            <w:fldChar w:fldCharType="separate"/>
                          </w:r>
                          <w:r>
                            <w:rPr>
                              <w:noProof/>
                            </w:rPr>
                            <w:t>120</w:t>
                          </w:r>
                          <w:r>
                            <w:fldChar w:fldCharType="end"/>
                          </w:r>
                          <w:r>
                            <w:tab/>
                          </w:r>
                          <w:fldSimple w:instr="STYLEREF  Title  \* MERGEFORMAT">
                            <w:r w:rsidR="00D26320" w:rsidRPr="00D26320">
                              <w:rPr>
                                <w:b/>
                                <w:bCs/>
                                <w:noProof/>
                                <w:lang w:val="en-US"/>
                              </w:rPr>
                              <w:t>Model Report for Victorian Government Departments</w:t>
                            </w:r>
                          </w:fldSimple>
                        </w:p>
                        <w:p w14:paraId="15E76B06" w14:textId="77777777" w:rsidR="007B5F82" w:rsidRPr="00D90086" w:rsidRDefault="007B5F82" w:rsidP="007B5F82">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FB4A" id="Text Box 29" o:spid="_x0000_s1059" type="#_x0000_t202" style="position:absolute;margin-left:-39.35pt;margin-top:19.15pt;width:30.95pt;height:487.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BY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" filled="f" stroked="f" strokeweight=".5pt">
              <v:textbox style="layout-flow:vertical">
                <w:txbxContent>
                  <w:p w14:paraId="364BD2EC" w14:textId="2CDFBBE1" w:rsidR="007B5F82" w:rsidRPr="00D90086" w:rsidRDefault="007B5F82" w:rsidP="007B5F82">
                    <w:pPr>
                      <w:pStyle w:val="Footereven"/>
                      <w:jc w:val="both"/>
                    </w:pPr>
                    <w:r>
                      <w:fldChar w:fldCharType="begin"/>
                    </w:r>
                    <w:r>
                      <w:instrText xml:space="preserve"> PAGE   \* MERGEFORMAT </w:instrText>
                    </w:r>
                    <w:r>
                      <w:fldChar w:fldCharType="separate"/>
                    </w:r>
                    <w:r>
                      <w:rPr>
                        <w:noProof/>
                      </w:rPr>
                      <w:t>120</w:t>
                    </w:r>
                    <w:r>
                      <w:fldChar w:fldCharType="end"/>
                    </w:r>
                    <w:r>
                      <w:tab/>
                    </w:r>
                    <w:fldSimple w:instr="STYLEREF  Title  \* MERGEFORMAT">
                      <w:r w:rsidR="00D26320" w:rsidRPr="00D26320">
                        <w:rPr>
                          <w:b/>
                          <w:bCs/>
                          <w:noProof/>
                          <w:lang w:val="en-US"/>
                        </w:rPr>
                        <w:t>Model Report for Victorian Government Departments</w:t>
                      </w:r>
                    </w:fldSimple>
                  </w:p>
                  <w:p w14:paraId="15E76B06" w14:textId="77777777" w:rsidR="007B5F82" w:rsidRPr="00D90086" w:rsidRDefault="007B5F82" w:rsidP="007B5F82">
                    <w:pPr>
                      <w:pStyle w:val="Footereven"/>
                    </w:pPr>
                    <w:r>
                      <w:rPr>
                        <w:rStyle w:val="PageNumber"/>
                      </w:rPr>
                      <w:tab/>
                    </w:r>
                  </w:p>
                </w:txbxContent>
              </v:textbox>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B8DAD" w14:textId="0A51F442" w:rsidR="00A545BA" w:rsidRPr="00473D1F" w:rsidRDefault="00705C8B" w:rsidP="00473D1F">
    <w:pPr>
      <w:pStyle w:val="Header"/>
      <w:jc w:val="right"/>
    </w:pPr>
    <w:r w:rsidRPr="00AD7DA5">
      <w:fldChar w:fldCharType="begin"/>
    </w:r>
    <w:r w:rsidRPr="00AD7DA5">
      <w:instrText xml:space="preserve"> STYLEREF  </w:instrText>
    </w:r>
    <w:r w:rsidR="00AD7DA5" w:rsidRPr="00AD7DA5">
      <w:instrText>“HEADING 1 numbered”</w:instrText>
    </w:r>
    <w:r w:rsidRPr="00AD7DA5">
      <w:instrText xml:space="preserve"> \n  \* MERGEFORMAT </w:instrText>
    </w:r>
    <w:r w:rsidRPr="00AD7DA5">
      <w:fldChar w:fldCharType="separate"/>
    </w:r>
    <w:r w:rsidR="002D4B83">
      <w:rPr>
        <w:noProof/>
      </w:rPr>
      <w:t>9</w:t>
    </w:r>
    <w:r w:rsidRPr="00AD7DA5">
      <w:fldChar w:fldCharType="end"/>
    </w:r>
    <w:r w:rsidR="00A545BA" w:rsidRPr="00AD7DA5">
      <w:t xml:space="preserve">. </w:t>
    </w:r>
    <w:r w:rsidRPr="00AD7DA5">
      <w:fldChar w:fldCharType="begin"/>
    </w:r>
    <w:r w:rsidRPr="00AD7DA5">
      <w:instrText xml:space="preserve"> STYLEREF  </w:instrText>
    </w:r>
    <w:r w:rsidR="00AD7DA5" w:rsidRPr="00AD7DA5">
      <w:instrText>“HEADING 1 numbered”</w:instrText>
    </w:r>
    <w:r w:rsidRPr="00AD7DA5">
      <w:instrText xml:space="preserve">  \* MERGEFORMAT </w:instrText>
    </w:r>
    <w:r w:rsidRPr="00AD7DA5">
      <w:fldChar w:fldCharType="separate"/>
    </w:r>
    <w:r w:rsidR="002D4B83">
      <w:rPr>
        <w:noProof/>
      </w:rPr>
      <w:t>OTHER DISCLOSURES</w:t>
    </w:r>
    <w:r w:rsidRPr="00AD7DA5">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9292B" w14:textId="0B911FEB" w:rsidR="00A545BA" w:rsidRPr="00D372E9" w:rsidRDefault="00A545BA" w:rsidP="00D372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3D09" w14:textId="56CDF401" w:rsidR="00A545BA" w:rsidRPr="0021384F" w:rsidRDefault="00BC3DBB" w:rsidP="0021384F">
    <w:pPr>
      <w:pStyle w:val="Header"/>
    </w:pPr>
    <w:r>
      <w:rPr>
        <w:noProof/>
      </w:rPr>
      <mc:AlternateContent>
        <mc:Choice Requires="wps">
          <w:drawing>
            <wp:anchor distT="0" distB="0" distL="114300" distR="114300" simplePos="0" relativeHeight="251658243" behindDoc="0" locked="0" layoutInCell="1" allowOverlap="1" wp14:anchorId="13107D4C" wp14:editId="51D79723">
              <wp:simplePos x="0" y="0"/>
              <wp:positionH relativeFrom="column">
                <wp:posOffset>-488315</wp:posOffset>
              </wp:positionH>
              <wp:positionV relativeFrom="paragraph">
                <wp:posOffset>240665</wp:posOffset>
              </wp:positionV>
              <wp:extent cx="393065" cy="6189980"/>
              <wp:effectExtent l="0" t="0" r="0" b="0"/>
              <wp:wrapNone/>
              <wp:docPr id="2631270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6189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6C21B" w14:textId="3C0C07A2" w:rsidR="00A545BA" w:rsidRPr="00D90086" w:rsidRDefault="00D26320" w:rsidP="00B150FE">
                          <w:pPr>
                            <w:pStyle w:val="Footereven"/>
                            <w:jc w:val="both"/>
                          </w:pPr>
                          <w:fldSimple w:instr="STYLEREF  Title  \* MERGEFORMAT">
                            <w:r w:rsidR="002D4B83">
                              <w:rPr>
                                <w:noProof/>
                              </w:rPr>
                              <w:t>Model Report for Victorian Government Departments</w:t>
                            </w:r>
                          </w:fldSimple>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0EEC23ED" w14:textId="46082F58" w:rsidR="00A545BA" w:rsidRPr="00D90086" w:rsidRDefault="00A545BA" w:rsidP="0021384F">
                          <w:pPr>
                            <w:pStyle w:val="Footereven"/>
                          </w:pPr>
                          <w:r>
                            <w:rPr>
                              <w:rStyle w:val="PageNumber"/>
                            </w:rPr>
                            <w:tab/>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07D4C" id="_x0000_t202" coordsize="21600,21600" o:spt="202" path="m,l,21600r21600,l21600,xe">
              <v:stroke joinstyle="miter"/>
              <v:path gradientshapeok="t" o:connecttype="rect"/>
            </v:shapetype>
            <v:shape id="Text Box 28" o:spid="_x0000_s1060" type="#_x0000_t202" style="position:absolute;margin-left:-38.45pt;margin-top:18.95pt;width:30.95pt;height:487.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" filled="f" stroked="f" strokeweight=".5pt">
              <v:textbox style="layout-flow:vertical">
                <w:txbxContent>
                  <w:p w14:paraId="07C6C21B" w14:textId="3C0C07A2" w:rsidR="00A545BA" w:rsidRPr="00D90086" w:rsidRDefault="00D26320" w:rsidP="00B150FE">
                    <w:pPr>
                      <w:pStyle w:val="Footereven"/>
                      <w:jc w:val="both"/>
                    </w:pPr>
                    <w:fldSimple w:instr="STYLEREF  Title  \* MERGEFORMAT">
                      <w:r w:rsidR="002D4B83">
                        <w:rPr>
                          <w:noProof/>
                        </w:rPr>
                        <w:t>Model Report for Victorian Government Departments</w:t>
                      </w:r>
                    </w:fldSimple>
                    <w:r w:rsidR="00A545BA">
                      <w:rPr>
                        <w:noProof/>
                      </w:rPr>
                      <w:tab/>
                    </w:r>
                    <w:r w:rsidR="00A545BA">
                      <w:fldChar w:fldCharType="begin"/>
                    </w:r>
                    <w:r w:rsidR="00A545BA">
                      <w:instrText xml:space="preserve"> PAGE   \* MERGEFORMAT </w:instrText>
                    </w:r>
                    <w:r w:rsidR="00A545BA">
                      <w:fldChar w:fldCharType="separate"/>
                    </w:r>
                    <w:r w:rsidR="00A545BA">
                      <w:t>93</w:t>
                    </w:r>
                    <w:r w:rsidR="00A545BA">
                      <w:fldChar w:fldCharType="end"/>
                    </w:r>
                  </w:p>
                  <w:p w14:paraId="0EEC23ED" w14:textId="46082F58" w:rsidR="00A545BA" w:rsidRPr="00D90086" w:rsidRDefault="00A545BA" w:rsidP="0021384F">
                    <w:pPr>
                      <w:pStyle w:val="Footereven"/>
                    </w:pPr>
                    <w:r>
                      <w:rPr>
                        <w:rStyle w:val="PageNumber"/>
                      </w:rPr>
                      <w:tab/>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182B7BFB" wp14:editId="40636C43">
              <wp:simplePos x="0" y="0"/>
              <wp:positionH relativeFrom="column">
                <wp:posOffset>9276715</wp:posOffset>
              </wp:positionH>
              <wp:positionV relativeFrom="paragraph">
                <wp:posOffset>288925</wp:posOffset>
              </wp:positionV>
              <wp:extent cx="391795" cy="6188075"/>
              <wp:effectExtent l="0" t="0" r="0" b="0"/>
              <wp:wrapNone/>
              <wp:docPr id="71618867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795" cy="618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4C607" w14:textId="018084EE" w:rsidR="00A545BA" w:rsidRPr="00C6270B" w:rsidRDefault="00A545BA" w:rsidP="0051263F">
                          <w:pPr>
                            <w:pStyle w:val="Header"/>
                            <w:jc w:val="right"/>
                          </w:pPr>
                          <w:r w:rsidRPr="00C6270B">
                            <w:t xml:space="preserve">Department of Technology – Model </w:t>
                          </w:r>
                          <w:r>
                            <w:t>Financial Statements</w:t>
                          </w:r>
                        </w:p>
                        <w:p w14:paraId="3D54919D" w14:textId="1B8451E4" w:rsidR="00A545BA" w:rsidRDefault="00A545BA" w:rsidP="0051263F">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B7BFB" id="Text Box 27" o:spid="_x0000_s1061" type="#_x0000_t202" style="position:absolute;margin-left:730.45pt;margin-top:22.75pt;width:30.85pt;height:48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" filled="f" stroked="f" strokeweight=".5pt">
              <v:textbox style="layout-flow:vertical">
                <w:txbxContent>
                  <w:p w14:paraId="39F4C607" w14:textId="018084EE" w:rsidR="00A545BA" w:rsidRPr="00C6270B" w:rsidRDefault="00A545BA" w:rsidP="0051263F">
                    <w:pPr>
                      <w:pStyle w:val="Header"/>
                      <w:jc w:val="right"/>
                    </w:pPr>
                    <w:r w:rsidRPr="00C6270B">
                      <w:t xml:space="preserve">Department of Technology – Model </w:t>
                    </w:r>
                    <w:r>
                      <w:t>Financial Statements</w:t>
                    </w:r>
                  </w:p>
                  <w:p w14:paraId="3D54919D" w14:textId="1B8451E4" w:rsidR="00A545BA" w:rsidRDefault="00A545BA" w:rsidP="0051263F">
                    <w:pPr>
                      <w:pStyle w:val="Header"/>
                    </w:pP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8CDE" w14:textId="77777777" w:rsidR="00473C0C" w:rsidRPr="0051263F" w:rsidRDefault="00473C0C" w:rsidP="00473C0C">
    <w:pPr>
      <w:pStyle w:val="Header"/>
    </w:pPr>
    <w:r w:rsidRPr="00C6270B">
      <w:t xml:space="preserve">Department of Technology – Model </w:t>
    </w:r>
    <w:r>
      <w:t>Financial Statements</w:t>
    </w:r>
  </w:p>
  <w:p w14:paraId="27E6095C" w14:textId="49076BF2" w:rsidR="006F39D9" w:rsidRDefault="006F39D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4E663" w14:textId="77777777" w:rsidR="007E31C0" w:rsidRPr="0051263F" w:rsidRDefault="007E31C0" w:rsidP="007E31C0">
    <w:pPr>
      <w:pStyle w:val="Header"/>
    </w:pPr>
    <w:r w:rsidRPr="00C6270B">
      <w:t xml:space="preserve">Department of Technology – Model </w:t>
    </w:r>
    <w:r>
      <w:t>Financial Statements</w:t>
    </w:r>
  </w:p>
  <w:p w14:paraId="20DAF114" w14:textId="08178F62" w:rsidR="00FF47D4" w:rsidRDefault="00FF47D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C16F" w14:textId="63BC85EE" w:rsidR="00A545BA" w:rsidRPr="00860F91" w:rsidRDefault="00705C8B" w:rsidP="00860F91">
    <w:pPr>
      <w:pStyle w:val="Header"/>
      <w:jc w:val="right"/>
    </w:pPr>
    <w:r w:rsidRPr="00860F91">
      <w:fldChar w:fldCharType="begin"/>
    </w:r>
    <w:r w:rsidRPr="00860F91">
      <w:instrText xml:space="preserve"> STYLEREF  </w:instrText>
    </w:r>
    <w:r w:rsidR="00AD7DA5">
      <w:instrText>“HEADING 1 numbered”</w:instrText>
    </w:r>
    <w:r w:rsidRPr="00860F91">
      <w:instrText xml:space="preserve"> \n  \* MERGEFORMAT </w:instrText>
    </w:r>
    <w:r w:rsidRPr="00860F91">
      <w:fldChar w:fldCharType="separate"/>
    </w:r>
    <w:r w:rsidR="002D4B83">
      <w:rPr>
        <w:noProof/>
      </w:rPr>
      <w:t>2</w:t>
    </w:r>
    <w:r w:rsidRPr="00860F91">
      <w:fldChar w:fldCharType="end"/>
    </w:r>
    <w:r w:rsidR="00A545BA" w:rsidRPr="00860F91">
      <w:t xml:space="preserve">. </w:t>
    </w:r>
    <w:r w:rsidRPr="00860F91">
      <w:fldChar w:fldCharType="begin"/>
    </w:r>
    <w:r w:rsidRPr="00860F91">
      <w:instrText xml:space="preserve"> STYLEREF  </w:instrText>
    </w:r>
    <w:r w:rsidR="00AD7DA5">
      <w:instrText>“HEADING 1 numbered”</w:instrText>
    </w:r>
    <w:r w:rsidRPr="00860F91">
      <w:instrText xml:space="preserve">  \* MERGEFORMAT </w:instrText>
    </w:r>
    <w:r w:rsidRPr="00860F91">
      <w:fldChar w:fldCharType="separate"/>
    </w:r>
    <w:r w:rsidR="002D4B83">
      <w:rPr>
        <w:noProof/>
      </w:rPr>
      <w:t>FUNDING DELIVERY OF OUR SERVICES</w:t>
    </w:r>
    <w:r w:rsidRPr="00860F91">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C9771" w14:textId="77777777" w:rsidR="00FF47D4" w:rsidRDefault="00FF4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028AAE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A444A"/>
    <w:multiLevelType w:val="hybridMultilevel"/>
    <w:tmpl w:val="F9EC83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DC5DE5"/>
    <w:multiLevelType w:val="multilevel"/>
    <w:tmpl w:val="8F2041B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decimal"/>
      <w:pStyle w:val="ListNumber4"/>
      <w:lvlText w:val="%4."/>
      <w:lvlJc w:val="left"/>
      <w:pPr>
        <w:ind w:left="1588" w:hanging="397"/>
      </w:pPr>
      <w:rPr>
        <w:rFonts w:hint="default"/>
      </w:rPr>
    </w:lvl>
    <w:lvl w:ilvl="4">
      <w:start w:val="1"/>
      <w:numFmt w:val="lowerLetter"/>
      <w:pStyle w:val="ListNumber5"/>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3" w15:restartNumberingAfterBreak="0">
    <w:nsid w:val="077137DA"/>
    <w:multiLevelType w:val="hybridMultilevel"/>
    <w:tmpl w:val="DA0A5F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675CF"/>
    <w:multiLevelType w:val="hybridMultilevel"/>
    <w:tmpl w:val="9502D7D0"/>
    <w:lvl w:ilvl="0" w:tplc="BEF8E9DA">
      <w:numFmt w:val="bullet"/>
      <w:lvlText w:val=""/>
      <w:lvlJc w:val="left"/>
      <w:pPr>
        <w:ind w:left="405"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465E37"/>
    <w:multiLevelType w:val="hybridMultilevel"/>
    <w:tmpl w:val="5B8A2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7545E2"/>
    <w:multiLevelType w:val="multilevel"/>
    <w:tmpl w:val="6298CC6A"/>
    <w:styleLink w:val="BulletListStyle"/>
    <w:lvl w:ilvl="0">
      <w:start w:val="1"/>
      <w:numFmt w:val="bullet"/>
      <w:lvlText w:val=""/>
      <w:lvlJc w:val="left"/>
      <w:pPr>
        <w:ind w:left="397" w:hanging="397"/>
      </w:pPr>
      <w:rPr>
        <w:rFonts w:ascii="Symbol" w:hAnsi="Symbol" w:hint="default"/>
      </w:rPr>
    </w:lvl>
    <w:lvl w:ilvl="1">
      <w:start w:val="1"/>
      <w:numFmt w:val="none"/>
      <w:lvlText w:val="–"/>
      <w:lvlJc w:val="left"/>
      <w:pPr>
        <w:ind w:left="794" w:hanging="397"/>
      </w:pPr>
      <w:rPr>
        <w:rFonts w:hint="default"/>
      </w:rPr>
    </w:lvl>
    <w:lvl w:ilvl="2">
      <w:start w:val="1"/>
      <w:numFmt w:val="bullet"/>
      <w:lvlText w:val=""/>
      <w:lvlJc w:val="left"/>
      <w:pPr>
        <w:ind w:left="1191" w:hanging="397"/>
      </w:pPr>
      <w:rPr>
        <w:rFonts w:ascii="Wingdings" w:hAnsi="Wingding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7" w15:restartNumberingAfterBreak="0">
    <w:nsid w:val="0D6A4162"/>
    <w:multiLevelType w:val="multilevel"/>
    <w:tmpl w:val="C024DAA4"/>
    <w:styleLink w:val="ListBulletAlphaStyle"/>
    <w:lvl w:ilvl="0">
      <w:start w:val="1"/>
      <w:numFmt w:val="lowerLetter"/>
      <w:pStyle w:val="ListAlpha"/>
      <w:lvlText w:val="(%1)"/>
      <w:lvlJc w:val="left"/>
      <w:pPr>
        <w:tabs>
          <w:tab w:val="num" w:pos="284"/>
        </w:tabs>
        <w:ind w:left="284" w:hanging="284"/>
      </w:pPr>
      <w:rPr>
        <w:rFonts w:hint="default"/>
      </w:rPr>
    </w:lvl>
    <w:lvl w:ilvl="1">
      <w:start w:val="1"/>
      <w:numFmt w:val="lowerRoman"/>
      <w:pStyle w:val="ListAlpha2"/>
      <w:lvlText w:val="(%2)"/>
      <w:lvlJc w:val="left"/>
      <w:pPr>
        <w:tabs>
          <w:tab w:val="num" w:pos="568"/>
        </w:tabs>
        <w:ind w:left="568" w:hanging="284"/>
      </w:pPr>
      <w:rPr>
        <w:rFonts w:hint="default"/>
      </w:rPr>
    </w:lvl>
    <w:lvl w:ilvl="2">
      <w:start w:val="1"/>
      <w:numFmt w:val="upperLetter"/>
      <w:pStyle w:val="ListAlpha3"/>
      <w:lvlText w:val="(%3)"/>
      <w:lvlJc w:val="left"/>
      <w:pPr>
        <w:tabs>
          <w:tab w:val="num" w:pos="852"/>
        </w:tabs>
        <w:ind w:left="852" w:hanging="284"/>
      </w:pPr>
      <w:rPr>
        <w:rFont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8" w15:restartNumberingAfterBreak="0">
    <w:nsid w:val="0DFF17FE"/>
    <w:multiLevelType w:val="hybridMultilevel"/>
    <w:tmpl w:val="4B0C8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D4061B"/>
    <w:multiLevelType w:val="hybridMultilevel"/>
    <w:tmpl w:val="15BEA2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21F675F"/>
    <w:multiLevelType w:val="hybridMultilevel"/>
    <w:tmpl w:val="E738F22C"/>
    <w:lvl w:ilvl="0" w:tplc="F462E6B8">
      <w:start w:val="1"/>
      <w:numFmt w:val="lowerLetter"/>
      <w:lvlText w:val="(%1)"/>
      <w:lvlJc w:val="left"/>
      <w:pPr>
        <w:ind w:left="758" w:hanging="39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0048EC"/>
    <w:multiLevelType w:val="hybridMultilevel"/>
    <w:tmpl w:val="95402DB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5656B82"/>
    <w:multiLevelType w:val="hybridMultilevel"/>
    <w:tmpl w:val="63C4C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8FB0646"/>
    <w:multiLevelType w:val="hybridMultilevel"/>
    <w:tmpl w:val="D6AAE2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513927"/>
    <w:multiLevelType w:val="hybridMultilevel"/>
    <w:tmpl w:val="7C22BC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DA2842"/>
    <w:multiLevelType w:val="hybridMultilevel"/>
    <w:tmpl w:val="6DA4B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E32651"/>
    <w:multiLevelType w:val="hybridMultilevel"/>
    <w:tmpl w:val="365CB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D42166"/>
    <w:multiLevelType w:val="hybridMultilevel"/>
    <w:tmpl w:val="DF2A0DF2"/>
    <w:lvl w:ilvl="0" w:tplc="EAEE4C9A">
      <w:start w:val="1"/>
      <w:numFmt w:val="bullet"/>
      <w:lvlText w:val="-"/>
      <w:lvlJc w:val="left"/>
      <w:pPr>
        <w:ind w:left="720" w:hanging="360"/>
      </w:pPr>
      <w:rPr>
        <w:rFonts w:ascii="Courier New" w:hAnsi="Courier New" w:hint="default"/>
      </w:rPr>
    </w:lvl>
    <w:lvl w:ilvl="1" w:tplc="EAEE4C9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A807FA"/>
    <w:multiLevelType w:val="hybridMultilevel"/>
    <w:tmpl w:val="651C79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4C4243B"/>
    <w:multiLevelType w:val="multilevel"/>
    <w:tmpl w:val="32A07AB2"/>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6FC5CCB"/>
    <w:multiLevelType w:val="hybridMultilevel"/>
    <w:tmpl w:val="4928D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CB4264"/>
    <w:multiLevelType w:val="multilevel"/>
    <w:tmpl w:val="AA66B3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28C1281B"/>
    <w:multiLevelType w:val="hybridMultilevel"/>
    <w:tmpl w:val="A6D611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A331E8F"/>
    <w:multiLevelType w:val="hybridMultilevel"/>
    <w:tmpl w:val="8166B7D8"/>
    <w:lvl w:ilvl="0" w:tplc="527CE2EE">
      <w:start w:val="1"/>
      <w:numFmt w:val="lowerLetter"/>
      <w:lvlText w:val="(%1)"/>
      <w:lvlJc w:val="left"/>
      <w:pPr>
        <w:ind w:left="758" w:hanging="39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AA53BEA"/>
    <w:multiLevelType w:val="multilevel"/>
    <w:tmpl w:val="B6509240"/>
    <w:numStyleLink w:val="ListBulletStyle"/>
  </w:abstractNum>
  <w:abstractNum w:abstractNumId="25" w15:restartNumberingAfterBreak="0">
    <w:nsid w:val="2C6E3048"/>
    <w:multiLevelType w:val="hybridMultilevel"/>
    <w:tmpl w:val="E488B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CEF19D7"/>
    <w:multiLevelType w:val="hybridMultilevel"/>
    <w:tmpl w:val="FC945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E42640B"/>
    <w:multiLevelType w:val="hybridMultilevel"/>
    <w:tmpl w:val="28800884"/>
    <w:lvl w:ilvl="0" w:tplc="B31CB854">
      <w:start w:val="1"/>
      <w:numFmt w:val="lowerLetter"/>
      <w:lvlText w:val="(%1)"/>
      <w:lvlJc w:val="left"/>
      <w:pPr>
        <w:ind w:left="720" w:hanging="360"/>
      </w:pPr>
      <w:rPr>
        <w:rFonts w:asciiTheme="minorHAnsi" w:hAnsi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2FD5ADE"/>
    <w:multiLevelType w:val="multilevel"/>
    <w:tmpl w:val="6298CC6A"/>
    <w:numStyleLink w:val="BulletListStyle"/>
  </w:abstractNum>
  <w:abstractNum w:abstractNumId="29" w15:restartNumberingAfterBreak="0">
    <w:nsid w:val="345B3509"/>
    <w:multiLevelType w:val="multilevel"/>
    <w:tmpl w:val="9E328A70"/>
    <w:lvl w:ilvl="0">
      <w:start w:val="1"/>
      <w:numFmt w:val="decimal"/>
      <w:lvlText w:val="%1."/>
      <w:lvlJc w:val="left"/>
      <w:pPr>
        <w:ind w:left="397" w:hanging="397"/>
      </w:pPr>
      <w:rPr>
        <w:rFonts w:hint="default"/>
      </w:rPr>
    </w:lvl>
    <w:lvl w:ilvl="1">
      <w:start w:val="1"/>
      <w:numFmt w:val="decimal"/>
      <w:lvlText w:val="%1.%2"/>
      <w:lvlJc w:val="left"/>
      <w:pPr>
        <w:tabs>
          <w:tab w:val="num" w:pos="1928"/>
        </w:tabs>
        <w:ind w:left="624" w:hanging="624"/>
      </w:pPr>
      <w:rPr>
        <w:rFonts w:hint="default"/>
      </w:rPr>
    </w:lvl>
    <w:lvl w:ilvl="2">
      <w:start w:val="1"/>
      <w:numFmt w:val="decimal"/>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5651FA0"/>
    <w:multiLevelType w:val="hybridMultilevel"/>
    <w:tmpl w:val="E1B43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936E1E"/>
    <w:multiLevelType w:val="hybridMultilevel"/>
    <w:tmpl w:val="A9B2C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6C55121"/>
    <w:multiLevelType w:val="hybridMultilevel"/>
    <w:tmpl w:val="6CB27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7FE42FC"/>
    <w:multiLevelType w:val="multilevel"/>
    <w:tmpl w:val="B6509240"/>
    <w:styleLink w:val="ListBulletStyle"/>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8"/>
        </w:tabs>
        <w:ind w:left="568" w:hanging="284"/>
      </w:pPr>
      <w:rPr>
        <w:rFonts w:ascii="Arial" w:hAnsi="Arial" w:hint="default"/>
      </w:rPr>
    </w:lvl>
    <w:lvl w:ilvl="2">
      <w:start w:val="1"/>
      <w:numFmt w:val="bullet"/>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4" w15:restartNumberingAfterBreak="0">
    <w:nsid w:val="3941226C"/>
    <w:multiLevelType w:val="multilevel"/>
    <w:tmpl w:val="C024DAA4"/>
    <w:numStyleLink w:val="ListBulletAlphaStyle"/>
  </w:abstractNum>
  <w:abstractNum w:abstractNumId="35" w15:restartNumberingAfterBreak="0">
    <w:nsid w:val="3C554919"/>
    <w:multiLevelType w:val="hybridMultilevel"/>
    <w:tmpl w:val="33F21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D2E4856"/>
    <w:multiLevelType w:val="hybridMultilevel"/>
    <w:tmpl w:val="25C6A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F8660C"/>
    <w:multiLevelType w:val="hybridMultilevel"/>
    <w:tmpl w:val="44665C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0D331F5"/>
    <w:multiLevelType w:val="hybridMultilevel"/>
    <w:tmpl w:val="81F2A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10B0C94"/>
    <w:multiLevelType w:val="hybridMultilevel"/>
    <w:tmpl w:val="8FECD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222644D"/>
    <w:multiLevelType w:val="hybridMultilevel"/>
    <w:tmpl w:val="412A6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3A55E38"/>
    <w:multiLevelType w:val="hybridMultilevel"/>
    <w:tmpl w:val="CBBC9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3CB021F"/>
    <w:multiLevelType w:val="hybridMultilevel"/>
    <w:tmpl w:val="FED4D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96D10BA"/>
    <w:multiLevelType w:val="hybridMultilevel"/>
    <w:tmpl w:val="BD585A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B6367C4"/>
    <w:multiLevelType w:val="multilevel"/>
    <w:tmpl w:val="5202B19A"/>
    <w:styleLink w:val="NumberedHeadings"/>
    <w:lvl w:ilvl="0">
      <w:start w:val="1"/>
      <w:numFmt w:val="decimal"/>
      <w:pStyle w:val="Heading1numbered"/>
      <w:lvlText w:val="%1"/>
      <w:lvlJc w:val="left"/>
      <w:pPr>
        <w:ind w:left="397" w:hanging="397"/>
      </w:pPr>
      <w:rPr>
        <w:rFonts w:hint="default"/>
        <w:color w:val="auto"/>
      </w:rPr>
    </w:lvl>
    <w:lvl w:ilvl="1">
      <w:start w:val="1"/>
      <w:numFmt w:val="decimal"/>
      <w:pStyle w:val="Heading2numbered"/>
      <w:lvlText w:val="%1.%2"/>
      <w:lvlJc w:val="left"/>
      <w:pPr>
        <w:ind w:left="624" w:hanging="624"/>
      </w:pPr>
      <w:rPr>
        <w:rFonts w:hint="default"/>
      </w:rPr>
    </w:lvl>
    <w:lvl w:ilvl="2">
      <w:start w:val="1"/>
      <w:numFmt w:val="decimal"/>
      <w:pStyle w:val="Heading3numbered"/>
      <w:lvlText w:val="%1.%2.%3"/>
      <w:lvlJc w:val="left"/>
      <w:pPr>
        <w:ind w:left="964" w:hanging="964"/>
      </w:pPr>
      <w:rPr>
        <w:rFonts w:hint="default"/>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tabs>
          <w:tab w:val="num" w:pos="2666"/>
        </w:tabs>
        <w:ind w:left="2779" w:hanging="397"/>
      </w:pPr>
      <w:rPr>
        <w:rFonts w:ascii="Symbol" w:hAnsi="Symbol" w:hint="default"/>
      </w:rPr>
    </w:lvl>
    <w:lvl w:ilvl="7">
      <w:start w:val="1"/>
      <w:numFmt w:val="bullet"/>
      <w:lvlText w:val="o"/>
      <w:lvlJc w:val="left"/>
      <w:pPr>
        <w:tabs>
          <w:tab w:val="num" w:pos="3063"/>
        </w:tabs>
        <w:ind w:left="3176" w:hanging="397"/>
      </w:pPr>
      <w:rPr>
        <w:rFonts w:ascii="Courier New" w:hAnsi="Courier New" w:cs="Courier New" w:hint="default"/>
      </w:rPr>
    </w:lvl>
    <w:lvl w:ilvl="8">
      <w:start w:val="1"/>
      <w:numFmt w:val="bullet"/>
      <w:lvlText w:val=""/>
      <w:lvlJc w:val="left"/>
      <w:pPr>
        <w:tabs>
          <w:tab w:val="num" w:pos="3460"/>
        </w:tabs>
        <w:ind w:left="3573" w:hanging="397"/>
      </w:pPr>
      <w:rPr>
        <w:rFonts w:ascii="Wingdings" w:hAnsi="Wingdings" w:hint="default"/>
      </w:rPr>
    </w:lvl>
  </w:abstractNum>
  <w:abstractNum w:abstractNumId="45" w15:restartNumberingAfterBreak="0">
    <w:nsid w:val="4CAA6044"/>
    <w:multiLevelType w:val="multilevel"/>
    <w:tmpl w:val="B6509240"/>
    <w:numStyleLink w:val="ListBulletStyle"/>
  </w:abstractNum>
  <w:abstractNum w:abstractNumId="46" w15:restartNumberingAfterBreak="0">
    <w:nsid w:val="522A5260"/>
    <w:multiLevelType w:val="hybridMultilevel"/>
    <w:tmpl w:val="C8EA3D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3FF2B18"/>
    <w:multiLevelType w:val="hybridMultilevel"/>
    <w:tmpl w:val="F1CA6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5492753"/>
    <w:multiLevelType w:val="multilevel"/>
    <w:tmpl w:val="96C80CF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9" w15:restartNumberingAfterBreak="0">
    <w:nsid w:val="572B5795"/>
    <w:multiLevelType w:val="hybridMultilevel"/>
    <w:tmpl w:val="81809D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88C4A93"/>
    <w:multiLevelType w:val="hybridMultilevel"/>
    <w:tmpl w:val="646AD3F2"/>
    <w:lvl w:ilvl="0" w:tplc="EAEE4C9A">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9AF65C2"/>
    <w:multiLevelType w:val="multilevel"/>
    <w:tmpl w:val="95A20B3A"/>
    <w:styleLink w:val="ListContinueStyle"/>
    <w:lvl w:ilvl="0">
      <w:start w:val="1"/>
      <w:numFmt w:val="none"/>
      <w:pStyle w:val="ListContinue"/>
      <w:lvlText w:val=""/>
      <w:lvlJc w:val="left"/>
      <w:pPr>
        <w:tabs>
          <w:tab w:val="num" w:pos="1133"/>
        </w:tabs>
        <w:ind w:left="284" w:hanging="284"/>
      </w:pPr>
      <w:rPr>
        <w:rFonts w:hint="default"/>
      </w:rPr>
    </w:lvl>
    <w:lvl w:ilvl="1">
      <w:start w:val="1"/>
      <w:numFmt w:val="none"/>
      <w:pStyle w:val="ListContinue2"/>
      <w:lvlText w:val=""/>
      <w:lvlJc w:val="left"/>
      <w:pPr>
        <w:tabs>
          <w:tab w:val="num" w:pos="1417"/>
        </w:tabs>
        <w:ind w:left="568" w:hanging="284"/>
      </w:pPr>
      <w:rPr>
        <w:rFonts w:hint="default"/>
      </w:rPr>
    </w:lvl>
    <w:lvl w:ilvl="2">
      <w:start w:val="1"/>
      <w:numFmt w:val="none"/>
      <w:pStyle w:val="ListContinue3"/>
      <w:lvlText w:val=""/>
      <w:lvlJc w:val="left"/>
      <w:pPr>
        <w:tabs>
          <w:tab w:val="num" w:pos="1701"/>
        </w:tabs>
        <w:ind w:left="852" w:hanging="284"/>
      </w:pPr>
      <w:rPr>
        <w:rFonts w:hint="default"/>
      </w:rPr>
    </w:lvl>
    <w:lvl w:ilvl="3">
      <w:start w:val="1"/>
      <w:numFmt w:val="bullet"/>
      <w:lvlText w:val=""/>
      <w:lvlJc w:val="left"/>
      <w:pPr>
        <w:tabs>
          <w:tab w:val="num" w:pos="1985"/>
        </w:tabs>
        <w:ind w:left="1136" w:hanging="284"/>
      </w:pPr>
      <w:rPr>
        <w:rFonts w:ascii="Symbol" w:hAnsi="Symbol" w:hint="default"/>
      </w:rPr>
    </w:lvl>
    <w:lvl w:ilvl="4">
      <w:start w:val="1"/>
      <w:numFmt w:val="bullet"/>
      <w:lvlText w:val="o"/>
      <w:lvlJc w:val="left"/>
      <w:pPr>
        <w:tabs>
          <w:tab w:val="num" w:pos="2269"/>
        </w:tabs>
        <w:ind w:left="1420" w:hanging="284"/>
      </w:pPr>
      <w:rPr>
        <w:rFonts w:ascii="Courier New" w:hAnsi="Courier New" w:cs="Courier New" w:hint="default"/>
      </w:rPr>
    </w:lvl>
    <w:lvl w:ilvl="5">
      <w:start w:val="1"/>
      <w:numFmt w:val="bullet"/>
      <w:lvlText w:val=""/>
      <w:lvlJc w:val="left"/>
      <w:pPr>
        <w:tabs>
          <w:tab w:val="num" w:pos="2553"/>
        </w:tabs>
        <w:ind w:left="1704" w:hanging="284"/>
      </w:pPr>
      <w:rPr>
        <w:rFonts w:ascii="Wingdings" w:hAnsi="Wingdings" w:hint="default"/>
      </w:rPr>
    </w:lvl>
    <w:lvl w:ilvl="6">
      <w:start w:val="1"/>
      <w:numFmt w:val="bullet"/>
      <w:lvlText w:val=""/>
      <w:lvlJc w:val="left"/>
      <w:pPr>
        <w:tabs>
          <w:tab w:val="num" w:pos="2837"/>
        </w:tabs>
        <w:ind w:left="1988" w:hanging="284"/>
      </w:pPr>
      <w:rPr>
        <w:rFonts w:ascii="Symbol" w:hAnsi="Symbol" w:hint="default"/>
      </w:rPr>
    </w:lvl>
    <w:lvl w:ilvl="7">
      <w:start w:val="1"/>
      <w:numFmt w:val="bullet"/>
      <w:lvlText w:val="o"/>
      <w:lvlJc w:val="left"/>
      <w:pPr>
        <w:tabs>
          <w:tab w:val="num" w:pos="3121"/>
        </w:tabs>
        <w:ind w:left="2272" w:hanging="284"/>
      </w:pPr>
      <w:rPr>
        <w:rFonts w:ascii="Courier New" w:hAnsi="Courier New" w:cs="Courier New" w:hint="default"/>
      </w:rPr>
    </w:lvl>
    <w:lvl w:ilvl="8">
      <w:start w:val="1"/>
      <w:numFmt w:val="bullet"/>
      <w:lvlText w:val=""/>
      <w:lvlJc w:val="left"/>
      <w:pPr>
        <w:tabs>
          <w:tab w:val="num" w:pos="3405"/>
        </w:tabs>
        <w:ind w:left="2556" w:hanging="284"/>
      </w:pPr>
      <w:rPr>
        <w:rFonts w:ascii="Wingdings" w:hAnsi="Wingdings" w:hint="default"/>
      </w:rPr>
    </w:lvl>
  </w:abstractNum>
  <w:abstractNum w:abstractNumId="52" w15:restartNumberingAfterBreak="0">
    <w:nsid w:val="5CA50118"/>
    <w:multiLevelType w:val="hybridMultilevel"/>
    <w:tmpl w:val="A0F2D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DCB7FF3"/>
    <w:multiLevelType w:val="hybridMultilevel"/>
    <w:tmpl w:val="D60C0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F004DAD"/>
    <w:multiLevelType w:val="hybridMultilevel"/>
    <w:tmpl w:val="E4A66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92632C9"/>
    <w:multiLevelType w:val="hybridMultilevel"/>
    <w:tmpl w:val="95B007E6"/>
    <w:lvl w:ilvl="0" w:tplc="588A100A">
      <w:start w:val="1"/>
      <w:numFmt w:val="lowerLetter"/>
      <w:lvlText w:val="(%1)"/>
      <w:lvlJc w:val="left"/>
      <w:pPr>
        <w:ind w:left="758" w:hanging="39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E5F703A"/>
    <w:multiLevelType w:val="multilevel"/>
    <w:tmpl w:val="D74E7220"/>
    <w:lvl w:ilvl="0">
      <w:start w:val="1"/>
      <w:numFmt w:val="bullet"/>
      <w:pStyle w:val="ListBullet"/>
      <w:lvlText w:val=""/>
      <w:lvlJc w:val="left"/>
      <w:pPr>
        <w:tabs>
          <w:tab w:val="num" w:pos="284"/>
        </w:tabs>
        <w:ind w:left="284" w:hanging="284"/>
      </w:pPr>
      <w:rPr>
        <w:rFonts w:ascii="Symbol" w:hAnsi="Symbol" w:hint="default"/>
      </w:rPr>
    </w:lvl>
    <w:lvl w:ilvl="1">
      <w:start w:val="1"/>
      <w:numFmt w:val="bullet"/>
      <w:pStyle w:val="ListBullet2"/>
      <w:lvlText w:val="–"/>
      <w:lvlJc w:val="left"/>
      <w:pPr>
        <w:tabs>
          <w:tab w:val="num" w:pos="568"/>
        </w:tabs>
        <w:ind w:left="568" w:hanging="284"/>
      </w:pPr>
      <w:rPr>
        <w:rFonts w:ascii="Arial" w:hAnsi="Arial" w:hint="default"/>
      </w:rPr>
    </w:lvl>
    <w:lvl w:ilvl="2">
      <w:start w:val="1"/>
      <w:numFmt w:val="bullet"/>
      <w:pStyle w:val="ListBullet3"/>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57" w15:restartNumberingAfterBreak="0">
    <w:nsid w:val="6F6710BA"/>
    <w:multiLevelType w:val="hybridMultilevel"/>
    <w:tmpl w:val="C8305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2823C67"/>
    <w:multiLevelType w:val="hybridMultilevel"/>
    <w:tmpl w:val="AA5E6144"/>
    <w:lvl w:ilvl="0" w:tplc="2632C6C2">
      <w:start w:val="1"/>
      <w:numFmt w:val="lowerLetter"/>
      <w:lvlText w:val="(%1)"/>
      <w:lvlJc w:val="left"/>
      <w:pPr>
        <w:ind w:left="758" w:hanging="398"/>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44D7F59"/>
    <w:multiLevelType w:val="multilevel"/>
    <w:tmpl w:val="5202B19A"/>
    <w:numStyleLink w:val="NumberedHeadings"/>
  </w:abstractNum>
  <w:abstractNum w:abstractNumId="60" w15:restartNumberingAfterBreak="0">
    <w:nsid w:val="7C0C1B20"/>
    <w:multiLevelType w:val="multilevel"/>
    <w:tmpl w:val="672448F4"/>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ind w:left="644" w:hanging="360"/>
      </w:pPr>
      <w:rPr>
        <w:rFonts w:ascii="Symbol" w:hAnsi="Symbol" w:hint="default"/>
      </w:rPr>
    </w:lvl>
    <w:lvl w:ilvl="2">
      <w:start w:val="1"/>
      <w:numFmt w:val="bullet"/>
      <w:lvlText w:val=""/>
      <w:lvlJc w:val="left"/>
      <w:pPr>
        <w:tabs>
          <w:tab w:val="num" w:pos="852"/>
        </w:tabs>
        <w:ind w:left="852" w:hanging="284"/>
      </w:pPr>
      <w:rPr>
        <w:rFonts w:ascii="Symbol" w:hAnsi="Symbol"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61" w15:restartNumberingAfterBreak="0">
    <w:nsid w:val="7F0A7EFD"/>
    <w:multiLevelType w:val="hybridMultilevel"/>
    <w:tmpl w:val="2008375E"/>
    <w:lvl w:ilvl="0" w:tplc="82AC64E6">
      <w:start w:val="1"/>
      <w:numFmt w:val="lowerLetter"/>
      <w:lvlText w:val="(%1)"/>
      <w:lvlJc w:val="left"/>
      <w:pPr>
        <w:ind w:left="758" w:hanging="39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25403622">
    <w:abstractNumId w:val="6"/>
  </w:num>
  <w:num w:numId="2" w16cid:durableId="90132525">
    <w:abstractNumId w:val="33"/>
  </w:num>
  <w:num w:numId="3" w16cid:durableId="448937190">
    <w:abstractNumId w:val="7"/>
  </w:num>
  <w:num w:numId="4" w16cid:durableId="331299068">
    <w:abstractNumId w:val="34"/>
    <w:lvlOverride w:ilvl="0">
      <w:lvl w:ilvl="0">
        <w:start w:val="1"/>
        <w:numFmt w:val="lowerLetter"/>
        <w:pStyle w:val="ListAlpha"/>
        <w:lvlText w:val="(%1)"/>
        <w:lvlJc w:val="left"/>
        <w:pPr>
          <w:tabs>
            <w:tab w:val="num" w:pos="284"/>
          </w:tabs>
          <w:ind w:left="284" w:hanging="284"/>
        </w:pPr>
        <w:rPr>
          <w:rFonts w:hint="default"/>
        </w:rPr>
      </w:lvl>
    </w:lvlOverride>
  </w:num>
  <w:num w:numId="5" w16cid:durableId="231165126">
    <w:abstractNumId w:val="45"/>
  </w:num>
  <w:num w:numId="6" w16cid:durableId="1158499109">
    <w:abstractNumId w:val="24"/>
  </w:num>
  <w:num w:numId="7" w16cid:durableId="1291935062">
    <w:abstractNumId w:val="51"/>
  </w:num>
  <w:num w:numId="8" w16cid:durableId="6486804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71057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44600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28897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29918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9047937">
    <w:abstractNumId w:val="44"/>
  </w:num>
  <w:num w:numId="14" w16cid:durableId="944505205">
    <w:abstractNumId w:val="47"/>
  </w:num>
  <w:num w:numId="15" w16cid:durableId="2060593978">
    <w:abstractNumId w:val="53"/>
  </w:num>
  <w:num w:numId="16" w16cid:durableId="1684167392">
    <w:abstractNumId w:val="14"/>
  </w:num>
  <w:num w:numId="17" w16cid:durableId="313146687">
    <w:abstractNumId w:val="42"/>
  </w:num>
  <w:num w:numId="18" w16cid:durableId="1531529196">
    <w:abstractNumId w:val="49"/>
  </w:num>
  <w:num w:numId="19" w16cid:durableId="601381377">
    <w:abstractNumId w:val="57"/>
  </w:num>
  <w:num w:numId="20" w16cid:durableId="1716586525">
    <w:abstractNumId w:val="5"/>
  </w:num>
  <w:num w:numId="21" w16cid:durableId="1966540533">
    <w:abstractNumId w:val="15"/>
  </w:num>
  <w:num w:numId="22" w16cid:durableId="1397163077">
    <w:abstractNumId w:val="41"/>
  </w:num>
  <w:num w:numId="23" w16cid:durableId="768090162">
    <w:abstractNumId w:val="26"/>
  </w:num>
  <w:num w:numId="24" w16cid:durableId="661277104">
    <w:abstractNumId w:val="37"/>
  </w:num>
  <w:num w:numId="25" w16cid:durableId="1376465256">
    <w:abstractNumId w:val="3"/>
  </w:num>
  <w:num w:numId="26" w16cid:durableId="492990074">
    <w:abstractNumId w:val="40"/>
  </w:num>
  <w:num w:numId="27" w16cid:durableId="535578682">
    <w:abstractNumId w:val="25"/>
  </w:num>
  <w:num w:numId="28" w16cid:durableId="1183318805">
    <w:abstractNumId w:val="12"/>
  </w:num>
  <w:num w:numId="29" w16cid:durableId="464617165">
    <w:abstractNumId w:val="38"/>
  </w:num>
  <w:num w:numId="30" w16cid:durableId="1946889244">
    <w:abstractNumId w:val="22"/>
  </w:num>
  <w:num w:numId="31" w16cid:durableId="1206671916">
    <w:abstractNumId w:val="46"/>
  </w:num>
  <w:num w:numId="32" w16cid:durableId="1970355704">
    <w:abstractNumId w:val="17"/>
  </w:num>
  <w:num w:numId="33" w16cid:durableId="1935280492">
    <w:abstractNumId w:val="50"/>
  </w:num>
  <w:num w:numId="34" w16cid:durableId="652804604">
    <w:abstractNumId w:val="28"/>
    <w:lvlOverride w:ilvl="0">
      <w:lvl w:ilvl="0">
        <w:start w:val="1"/>
        <w:numFmt w:val="bullet"/>
        <w:lvlText w:val=""/>
        <w:lvlJc w:val="left"/>
        <w:pPr>
          <w:ind w:left="397" w:hanging="397"/>
        </w:pPr>
        <w:rPr>
          <w:rFonts w:ascii="Symbol" w:hAnsi="Symbol" w:hint="default"/>
          <w:color w:val="4472C4" w:themeColor="accent1"/>
        </w:rPr>
      </w:lvl>
    </w:lvlOverride>
  </w:num>
  <w:num w:numId="35" w16cid:durableId="13255504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60446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70134770">
    <w:abstractNumId w:val="4"/>
  </w:num>
  <w:num w:numId="38" w16cid:durableId="288707922">
    <w:abstractNumId w:val="21"/>
  </w:num>
  <w:num w:numId="39" w16cid:durableId="456919954">
    <w:abstractNumId w:val="59"/>
  </w:num>
  <w:num w:numId="40" w16cid:durableId="110979010">
    <w:abstractNumId w:val="56"/>
  </w:num>
  <w:num w:numId="41" w16cid:durableId="469177243">
    <w:abstractNumId w:val="54"/>
  </w:num>
  <w:num w:numId="42" w16cid:durableId="1941331628">
    <w:abstractNumId w:val="39"/>
  </w:num>
  <w:num w:numId="43" w16cid:durableId="1966690969">
    <w:abstractNumId w:val="8"/>
  </w:num>
  <w:num w:numId="44" w16cid:durableId="1018505139">
    <w:abstractNumId w:val="30"/>
  </w:num>
  <w:num w:numId="45" w16cid:durableId="517894609">
    <w:abstractNumId w:val="36"/>
  </w:num>
  <w:num w:numId="46" w16cid:durableId="1069887966">
    <w:abstractNumId w:val="52"/>
  </w:num>
  <w:num w:numId="47" w16cid:durableId="125129514">
    <w:abstractNumId w:val="35"/>
  </w:num>
  <w:num w:numId="48" w16cid:durableId="92751232">
    <w:abstractNumId w:val="11"/>
  </w:num>
  <w:num w:numId="49" w16cid:durableId="1164586618">
    <w:abstractNumId w:val="60"/>
  </w:num>
  <w:num w:numId="50" w16cid:durableId="75447183">
    <w:abstractNumId w:val="20"/>
  </w:num>
  <w:num w:numId="51" w16cid:durableId="1336568079">
    <w:abstractNumId w:val="61"/>
  </w:num>
  <w:num w:numId="52" w16cid:durableId="11327898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0921165">
    <w:abstractNumId w:val="10"/>
  </w:num>
  <w:num w:numId="54" w16cid:durableId="1092240179">
    <w:abstractNumId w:val="32"/>
  </w:num>
  <w:num w:numId="55" w16cid:durableId="333921450">
    <w:abstractNumId w:val="1"/>
  </w:num>
  <w:num w:numId="56" w16cid:durableId="507328256">
    <w:abstractNumId w:val="48"/>
  </w:num>
  <w:num w:numId="57" w16cid:durableId="2017683800">
    <w:abstractNumId w:val="23"/>
  </w:num>
  <w:num w:numId="58" w16cid:durableId="67583640">
    <w:abstractNumId w:val="58"/>
  </w:num>
  <w:num w:numId="59" w16cid:durableId="785852606">
    <w:abstractNumId w:val="56"/>
  </w:num>
  <w:num w:numId="60" w16cid:durableId="1607930518">
    <w:abstractNumId w:val="43"/>
  </w:num>
  <w:num w:numId="61" w16cid:durableId="1705520698">
    <w:abstractNumId w:val="55"/>
  </w:num>
  <w:num w:numId="62" w16cid:durableId="1984314175">
    <w:abstractNumId w:val="29"/>
    <w:lvlOverride w:ilvl="0">
      <w:startOverride w:val="9"/>
    </w:lvlOverride>
    <w:lvlOverride w:ilvl="1">
      <w:startOverride w:val="5"/>
    </w:lvlOverride>
    <w:lvlOverride w:ilvl="2">
      <w:startOverride w:val="1"/>
    </w:lvlOverride>
  </w:num>
  <w:num w:numId="63" w16cid:durableId="655039397">
    <w:abstractNumId w:val="0"/>
  </w:num>
  <w:num w:numId="64" w16cid:durableId="656768403">
    <w:abstractNumId w:val="31"/>
  </w:num>
  <w:num w:numId="65" w16cid:durableId="845287418">
    <w:abstractNumId w:val="16"/>
  </w:num>
  <w:num w:numId="66" w16cid:durableId="2050033784">
    <w:abstractNumId w:val="13"/>
  </w:num>
  <w:num w:numId="67" w16cid:durableId="188959329">
    <w:abstractNumId w:val="9"/>
  </w:num>
  <w:num w:numId="68" w16cid:durableId="1891577068">
    <w:abstractNumId w:val="18"/>
  </w:num>
  <w:num w:numId="69" w16cid:durableId="266693611">
    <w:abstractNumId w:val="27"/>
  </w:num>
  <w:num w:numId="70" w16cid:durableId="658537249">
    <w:abstractNumId w:val="56"/>
  </w:num>
  <w:num w:numId="71" w16cid:durableId="48966009">
    <w:abstractNumId w:val="5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AB"/>
    <w:rsid w:val="00000094"/>
    <w:rsid w:val="0000025A"/>
    <w:rsid w:val="0000032D"/>
    <w:rsid w:val="0000054E"/>
    <w:rsid w:val="00000720"/>
    <w:rsid w:val="000008B7"/>
    <w:rsid w:val="00000A52"/>
    <w:rsid w:val="00000BC3"/>
    <w:rsid w:val="00000CAF"/>
    <w:rsid w:val="00000D93"/>
    <w:rsid w:val="00000DFE"/>
    <w:rsid w:val="00000E2F"/>
    <w:rsid w:val="00000F76"/>
    <w:rsid w:val="00000F77"/>
    <w:rsid w:val="00000FBD"/>
    <w:rsid w:val="00001274"/>
    <w:rsid w:val="000015A5"/>
    <w:rsid w:val="0000162B"/>
    <w:rsid w:val="00001719"/>
    <w:rsid w:val="00001897"/>
    <w:rsid w:val="000019C8"/>
    <w:rsid w:val="00001A08"/>
    <w:rsid w:val="00001A9A"/>
    <w:rsid w:val="00001D87"/>
    <w:rsid w:val="000022F7"/>
    <w:rsid w:val="00002522"/>
    <w:rsid w:val="000028A3"/>
    <w:rsid w:val="00002B66"/>
    <w:rsid w:val="00002B6E"/>
    <w:rsid w:val="00002C12"/>
    <w:rsid w:val="00002D28"/>
    <w:rsid w:val="00002E6D"/>
    <w:rsid w:val="00002EBF"/>
    <w:rsid w:val="0000335C"/>
    <w:rsid w:val="00003405"/>
    <w:rsid w:val="0000356F"/>
    <w:rsid w:val="000035E5"/>
    <w:rsid w:val="00003672"/>
    <w:rsid w:val="000037B6"/>
    <w:rsid w:val="00003AD2"/>
    <w:rsid w:val="00003C76"/>
    <w:rsid w:val="00003C7B"/>
    <w:rsid w:val="00003F3F"/>
    <w:rsid w:val="0000424E"/>
    <w:rsid w:val="00004389"/>
    <w:rsid w:val="00004821"/>
    <w:rsid w:val="00004A71"/>
    <w:rsid w:val="00004FED"/>
    <w:rsid w:val="00005950"/>
    <w:rsid w:val="0000608E"/>
    <w:rsid w:val="000064CD"/>
    <w:rsid w:val="00006578"/>
    <w:rsid w:val="00006737"/>
    <w:rsid w:val="00006881"/>
    <w:rsid w:val="00007071"/>
    <w:rsid w:val="000072C8"/>
    <w:rsid w:val="00007389"/>
    <w:rsid w:val="000073FA"/>
    <w:rsid w:val="0000747C"/>
    <w:rsid w:val="00007620"/>
    <w:rsid w:val="00007768"/>
    <w:rsid w:val="000105C3"/>
    <w:rsid w:val="00010ABD"/>
    <w:rsid w:val="00010BD4"/>
    <w:rsid w:val="00010D3D"/>
    <w:rsid w:val="00011014"/>
    <w:rsid w:val="00011361"/>
    <w:rsid w:val="00011434"/>
    <w:rsid w:val="0001145B"/>
    <w:rsid w:val="0001146E"/>
    <w:rsid w:val="000116A9"/>
    <w:rsid w:val="000116EF"/>
    <w:rsid w:val="0001179A"/>
    <w:rsid w:val="00011A6D"/>
    <w:rsid w:val="00011B68"/>
    <w:rsid w:val="00011CE1"/>
    <w:rsid w:val="00011D59"/>
    <w:rsid w:val="00011D73"/>
    <w:rsid w:val="000121E6"/>
    <w:rsid w:val="00012413"/>
    <w:rsid w:val="00012743"/>
    <w:rsid w:val="00012B5C"/>
    <w:rsid w:val="00013057"/>
    <w:rsid w:val="000133B0"/>
    <w:rsid w:val="0001343D"/>
    <w:rsid w:val="00013623"/>
    <w:rsid w:val="00013AE7"/>
    <w:rsid w:val="00013FF2"/>
    <w:rsid w:val="00013FF4"/>
    <w:rsid w:val="0001404C"/>
    <w:rsid w:val="00014974"/>
    <w:rsid w:val="00014C39"/>
    <w:rsid w:val="00014CD5"/>
    <w:rsid w:val="00014EE9"/>
    <w:rsid w:val="000150F0"/>
    <w:rsid w:val="0001516A"/>
    <w:rsid w:val="00015389"/>
    <w:rsid w:val="0001541E"/>
    <w:rsid w:val="00015945"/>
    <w:rsid w:val="00015D02"/>
    <w:rsid w:val="00015DA5"/>
    <w:rsid w:val="00015EED"/>
    <w:rsid w:val="00015FED"/>
    <w:rsid w:val="000163B6"/>
    <w:rsid w:val="000166C6"/>
    <w:rsid w:val="0001670B"/>
    <w:rsid w:val="00016843"/>
    <w:rsid w:val="00016971"/>
    <w:rsid w:val="00016D03"/>
    <w:rsid w:val="00016E84"/>
    <w:rsid w:val="00016F4D"/>
    <w:rsid w:val="00017059"/>
    <w:rsid w:val="000170B7"/>
    <w:rsid w:val="00017156"/>
    <w:rsid w:val="00017472"/>
    <w:rsid w:val="00017635"/>
    <w:rsid w:val="00017659"/>
    <w:rsid w:val="0001768A"/>
    <w:rsid w:val="000176B9"/>
    <w:rsid w:val="000177ED"/>
    <w:rsid w:val="00017A03"/>
    <w:rsid w:val="00017D88"/>
    <w:rsid w:val="00017F40"/>
    <w:rsid w:val="00020162"/>
    <w:rsid w:val="0002085E"/>
    <w:rsid w:val="00020D47"/>
    <w:rsid w:val="00020F48"/>
    <w:rsid w:val="00021132"/>
    <w:rsid w:val="00021141"/>
    <w:rsid w:val="00021902"/>
    <w:rsid w:val="00021D5F"/>
    <w:rsid w:val="000220C7"/>
    <w:rsid w:val="00022261"/>
    <w:rsid w:val="0002267B"/>
    <w:rsid w:val="000228C7"/>
    <w:rsid w:val="00022DF4"/>
    <w:rsid w:val="00022E7B"/>
    <w:rsid w:val="00023508"/>
    <w:rsid w:val="000236A7"/>
    <w:rsid w:val="000239C0"/>
    <w:rsid w:val="00023A72"/>
    <w:rsid w:val="00023D01"/>
    <w:rsid w:val="00023D7C"/>
    <w:rsid w:val="00023F0F"/>
    <w:rsid w:val="00024361"/>
    <w:rsid w:val="00024378"/>
    <w:rsid w:val="000244D7"/>
    <w:rsid w:val="0002458D"/>
    <w:rsid w:val="00024606"/>
    <w:rsid w:val="000247DA"/>
    <w:rsid w:val="00024D3A"/>
    <w:rsid w:val="00024D73"/>
    <w:rsid w:val="00024F3F"/>
    <w:rsid w:val="00024F96"/>
    <w:rsid w:val="00024FBA"/>
    <w:rsid w:val="0002504C"/>
    <w:rsid w:val="00025232"/>
    <w:rsid w:val="000253C8"/>
    <w:rsid w:val="00025476"/>
    <w:rsid w:val="0002555B"/>
    <w:rsid w:val="00025B47"/>
    <w:rsid w:val="00025C99"/>
    <w:rsid w:val="00025D54"/>
    <w:rsid w:val="000267BC"/>
    <w:rsid w:val="00026A0B"/>
    <w:rsid w:val="00026ACC"/>
    <w:rsid w:val="00026AE2"/>
    <w:rsid w:val="00026C58"/>
    <w:rsid w:val="00026E86"/>
    <w:rsid w:val="00027156"/>
    <w:rsid w:val="00027C37"/>
    <w:rsid w:val="00027FC7"/>
    <w:rsid w:val="0003012C"/>
    <w:rsid w:val="000302AA"/>
    <w:rsid w:val="00030358"/>
    <w:rsid w:val="00030474"/>
    <w:rsid w:val="0003060D"/>
    <w:rsid w:val="00030869"/>
    <w:rsid w:val="00030C89"/>
    <w:rsid w:val="000311A3"/>
    <w:rsid w:val="00031368"/>
    <w:rsid w:val="00031CFF"/>
    <w:rsid w:val="00031FBF"/>
    <w:rsid w:val="00032008"/>
    <w:rsid w:val="000324AD"/>
    <w:rsid w:val="000328EA"/>
    <w:rsid w:val="00032A42"/>
    <w:rsid w:val="00032AEF"/>
    <w:rsid w:val="00033391"/>
    <w:rsid w:val="000333EC"/>
    <w:rsid w:val="00033461"/>
    <w:rsid w:val="00033693"/>
    <w:rsid w:val="000339FD"/>
    <w:rsid w:val="00033A2E"/>
    <w:rsid w:val="00033A7C"/>
    <w:rsid w:val="00033BB8"/>
    <w:rsid w:val="00033D97"/>
    <w:rsid w:val="00034BC3"/>
    <w:rsid w:val="00034D19"/>
    <w:rsid w:val="00034E5E"/>
    <w:rsid w:val="0003552C"/>
    <w:rsid w:val="000358B3"/>
    <w:rsid w:val="00035AD5"/>
    <w:rsid w:val="00035C1A"/>
    <w:rsid w:val="000360F6"/>
    <w:rsid w:val="000367FF"/>
    <w:rsid w:val="00036AAF"/>
    <w:rsid w:val="00036C8B"/>
    <w:rsid w:val="00037662"/>
    <w:rsid w:val="0003780D"/>
    <w:rsid w:val="0003799E"/>
    <w:rsid w:val="00037A8C"/>
    <w:rsid w:val="00037B8A"/>
    <w:rsid w:val="0004006D"/>
    <w:rsid w:val="0004017E"/>
    <w:rsid w:val="00040453"/>
    <w:rsid w:val="000405AC"/>
    <w:rsid w:val="000406C3"/>
    <w:rsid w:val="000408BC"/>
    <w:rsid w:val="000408DA"/>
    <w:rsid w:val="00040B1D"/>
    <w:rsid w:val="00040BEA"/>
    <w:rsid w:val="00040BFB"/>
    <w:rsid w:val="00040CF6"/>
    <w:rsid w:val="000411C3"/>
    <w:rsid w:val="00041235"/>
    <w:rsid w:val="000413E0"/>
    <w:rsid w:val="00041550"/>
    <w:rsid w:val="00041777"/>
    <w:rsid w:val="00041792"/>
    <w:rsid w:val="0004186F"/>
    <w:rsid w:val="000418B1"/>
    <w:rsid w:val="000418CA"/>
    <w:rsid w:val="00041A30"/>
    <w:rsid w:val="00041A65"/>
    <w:rsid w:val="00041ABE"/>
    <w:rsid w:val="00041BD9"/>
    <w:rsid w:val="00041C35"/>
    <w:rsid w:val="00041DA0"/>
    <w:rsid w:val="00041DDC"/>
    <w:rsid w:val="00041E58"/>
    <w:rsid w:val="00041E7B"/>
    <w:rsid w:val="00041EA1"/>
    <w:rsid w:val="00041FD8"/>
    <w:rsid w:val="00041FF2"/>
    <w:rsid w:val="00042290"/>
    <w:rsid w:val="0004267D"/>
    <w:rsid w:val="0004274E"/>
    <w:rsid w:val="00042B51"/>
    <w:rsid w:val="00042CE3"/>
    <w:rsid w:val="00043203"/>
    <w:rsid w:val="00043269"/>
    <w:rsid w:val="0004341D"/>
    <w:rsid w:val="000434F8"/>
    <w:rsid w:val="00043520"/>
    <w:rsid w:val="00043652"/>
    <w:rsid w:val="00043E9C"/>
    <w:rsid w:val="00043F2A"/>
    <w:rsid w:val="00043F4B"/>
    <w:rsid w:val="00044256"/>
    <w:rsid w:val="00044801"/>
    <w:rsid w:val="00044EC0"/>
    <w:rsid w:val="000451B5"/>
    <w:rsid w:val="00045489"/>
    <w:rsid w:val="000456B2"/>
    <w:rsid w:val="00045D2F"/>
    <w:rsid w:val="00045F97"/>
    <w:rsid w:val="0004646D"/>
    <w:rsid w:val="0004670A"/>
    <w:rsid w:val="000467FF"/>
    <w:rsid w:val="00046892"/>
    <w:rsid w:val="00047000"/>
    <w:rsid w:val="000472B1"/>
    <w:rsid w:val="00047470"/>
    <w:rsid w:val="000475C7"/>
    <w:rsid w:val="0004767F"/>
    <w:rsid w:val="00047CAE"/>
    <w:rsid w:val="00047D45"/>
    <w:rsid w:val="00050069"/>
    <w:rsid w:val="00050326"/>
    <w:rsid w:val="00050829"/>
    <w:rsid w:val="000514B8"/>
    <w:rsid w:val="000515C5"/>
    <w:rsid w:val="00051795"/>
    <w:rsid w:val="00051B21"/>
    <w:rsid w:val="00051B63"/>
    <w:rsid w:val="00051EDB"/>
    <w:rsid w:val="000529B6"/>
    <w:rsid w:val="00052AEB"/>
    <w:rsid w:val="00052AEC"/>
    <w:rsid w:val="00052D1D"/>
    <w:rsid w:val="0005323D"/>
    <w:rsid w:val="00053247"/>
    <w:rsid w:val="000533B1"/>
    <w:rsid w:val="00053469"/>
    <w:rsid w:val="00053966"/>
    <w:rsid w:val="00053AC1"/>
    <w:rsid w:val="00053ADF"/>
    <w:rsid w:val="00053AE9"/>
    <w:rsid w:val="00053B02"/>
    <w:rsid w:val="00053D85"/>
    <w:rsid w:val="00053DC2"/>
    <w:rsid w:val="00053E5A"/>
    <w:rsid w:val="00053E95"/>
    <w:rsid w:val="000541D5"/>
    <w:rsid w:val="00054547"/>
    <w:rsid w:val="000545B0"/>
    <w:rsid w:val="000548AC"/>
    <w:rsid w:val="000548CF"/>
    <w:rsid w:val="00054A11"/>
    <w:rsid w:val="00054BDD"/>
    <w:rsid w:val="00054C1C"/>
    <w:rsid w:val="00054C8C"/>
    <w:rsid w:val="00054DB0"/>
    <w:rsid w:val="000555FA"/>
    <w:rsid w:val="00055849"/>
    <w:rsid w:val="000558CF"/>
    <w:rsid w:val="00055AF6"/>
    <w:rsid w:val="00055B31"/>
    <w:rsid w:val="0005624E"/>
    <w:rsid w:val="0005632B"/>
    <w:rsid w:val="00056838"/>
    <w:rsid w:val="000568D7"/>
    <w:rsid w:val="00056F34"/>
    <w:rsid w:val="00056FE0"/>
    <w:rsid w:val="00057016"/>
    <w:rsid w:val="00057214"/>
    <w:rsid w:val="0005765C"/>
    <w:rsid w:val="00057AE6"/>
    <w:rsid w:val="00057EEC"/>
    <w:rsid w:val="00060111"/>
    <w:rsid w:val="000602F7"/>
    <w:rsid w:val="00060536"/>
    <w:rsid w:val="0006081C"/>
    <w:rsid w:val="0006087F"/>
    <w:rsid w:val="00060ADF"/>
    <w:rsid w:val="00060C5C"/>
    <w:rsid w:val="00060DCD"/>
    <w:rsid w:val="00060E8A"/>
    <w:rsid w:val="0006142E"/>
    <w:rsid w:val="0006198A"/>
    <w:rsid w:val="00062831"/>
    <w:rsid w:val="000631C5"/>
    <w:rsid w:val="000631E0"/>
    <w:rsid w:val="00063C61"/>
    <w:rsid w:val="00063DCC"/>
    <w:rsid w:val="00063E5B"/>
    <w:rsid w:val="0006424B"/>
    <w:rsid w:val="00064556"/>
    <w:rsid w:val="000647D7"/>
    <w:rsid w:val="00064925"/>
    <w:rsid w:val="000649D6"/>
    <w:rsid w:val="00064C2D"/>
    <w:rsid w:val="00064D57"/>
    <w:rsid w:val="00064D8D"/>
    <w:rsid w:val="00065406"/>
    <w:rsid w:val="00065467"/>
    <w:rsid w:val="00066388"/>
    <w:rsid w:val="00066495"/>
    <w:rsid w:val="00066A04"/>
    <w:rsid w:val="00066DA7"/>
    <w:rsid w:val="00067E29"/>
    <w:rsid w:val="0007084E"/>
    <w:rsid w:val="00070A43"/>
    <w:rsid w:val="00070C52"/>
    <w:rsid w:val="00070CB6"/>
    <w:rsid w:val="00070FAF"/>
    <w:rsid w:val="00070FE6"/>
    <w:rsid w:val="00071121"/>
    <w:rsid w:val="00071867"/>
    <w:rsid w:val="00071C1E"/>
    <w:rsid w:val="00071D4C"/>
    <w:rsid w:val="00071E18"/>
    <w:rsid w:val="00072407"/>
    <w:rsid w:val="00072494"/>
    <w:rsid w:val="00072508"/>
    <w:rsid w:val="0007257E"/>
    <w:rsid w:val="00072CB6"/>
    <w:rsid w:val="00072F63"/>
    <w:rsid w:val="00073440"/>
    <w:rsid w:val="000735B9"/>
    <w:rsid w:val="000736BF"/>
    <w:rsid w:val="00073A37"/>
    <w:rsid w:val="00073C9D"/>
    <w:rsid w:val="00073F94"/>
    <w:rsid w:val="000740A7"/>
    <w:rsid w:val="000746D6"/>
    <w:rsid w:val="0007491A"/>
    <w:rsid w:val="00074E10"/>
    <w:rsid w:val="00075A64"/>
    <w:rsid w:val="00075BB0"/>
    <w:rsid w:val="00075DB7"/>
    <w:rsid w:val="00076122"/>
    <w:rsid w:val="00076238"/>
    <w:rsid w:val="0007635A"/>
    <w:rsid w:val="000763C5"/>
    <w:rsid w:val="000763EA"/>
    <w:rsid w:val="000764AF"/>
    <w:rsid w:val="0007653F"/>
    <w:rsid w:val="000766E0"/>
    <w:rsid w:val="00076767"/>
    <w:rsid w:val="00076FC3"/>
    <w:rsid w:val="0007702B"/>
    <w:rsid w:val="00077204"/>
    <w:rsid w:val="00077728"/>
    <w:rsid w:val="00077C1E"/>
    <w:rsid w:val="00077E30"/>
    <w:rsid w:val="00077ED4"/>
    <w:rsid w:val="000801DB"/>
    <w:rsid w:val="000801EA"/>
    <w:rsid w:val="00080376"/>
    <w:rsid w:val="00080B40"/>
    <w:rsid w:val="00080B8A"/>
    <w:rsid w:val="00080C21"/>
    <w:rsid w:val="00080D19"/>
    <w:rsid w:val="00080DEF"/>
    <w:rsid w:val="000810DA"/>
    <w:rsid w:val="00081119"/>
    <w:rsid w:val="0008111D"/>
    <w:rsid w:val="00081439"/>
    <w:rsid w:val="000815A6"/>
    <w:rsid w:val="00081626"/>
    <w:rsid w:val="00081899"/>
    <w:rsid w:val="00081B96"/>
    <w:rsid w:val="00081BCB"/>
    <w:rsid w:val="00082098"/>
    <w:rsid w:val="000820F8"/>
    <w:rsid w:val="0008215E"/>
    <w:rsid w:val="00082461"/>
    <w:rsid w:val="00082AA6"/>
    <w:rsid w:val="00082AA8"/>
    <w:rsid w:val="00082B77"/>
    <w:rsid w:val="00082D28"/>
    <w:rsid w:val="00082DFA"/>
    <w:rsid w:val="00082E55"/>
    <w:rsid w:val="00082E82"/>
    <w:rsid w:val="0008334C"/>
    <w:rsid w:val="0008387B"/>
    <w:rsid w:val="0008393F"/>
    <w:rsid w:val="00083B44"/>
    <w:rsid w:val="00083FB6"/>
    <w:rsid w:val="000843F5"/>
    <w:rsid w:val="0008473B"/>
    <w:rsid w:val="000848E4"/>
    <w:rsid w:val="0008497F"/>
    <w:rsid w:val="00084998"/>
    <w:rsid w:val="00084D2F"/>
    <w:rsid w:val="000850DD"/>
    <w:rsid w:val="0008581B"/>
    <w:rsid w:val="000858EC"/>
    <w:rsid w:val="00085B8F"/>
    <w:rsid w:val="00085BF1"/>
    <w:rsid w:val="00085F61"/>
    <w:rsid w:val="00085FB9"/>
    <w:rsid w:val="00086165"/>
    <w:rsid w:val="000861FE"/>
    <w:rsid w:val="00086372"/>
    <w:rsid w:val="0008676E"/>
    <w:rsid w:val="00086844"/>
    <w:rsid w:val="00086B6F"/>
    <w:rsid w:val="000876F9"/>
    <w:rsid w:val="000877D9"/>
    <w:rsid w:val="0008787E"/>
    <w:rsid w:val="0008790A"/>
    <w:rsid w:val="00087B80"/>
    <w:rsid w:val="00087C63"/>
    <w:rsid w:val="00087D2C"/>
    <w:rsid w:val="00087F14"/>
    <w:rsid w:val="00087F9B"/>
    <w:rsid w:val="0009003B"/>
    <w:rsid w:val="00090162"/>
    <w:rsid w:val="00090598"/>
    <w:rsid w:val="0009077A"/>
    <w:rsid w:val="00090827"/>
    <w:rsid w:val="00090A96"/>
    <w:rsid w:val="00090BC1"/>
    <w:rsid w:val="00090BF8"/>
    <w:rsid w:val="00090D46"/>
    <w:rsid w:val="00090FA9"/>
    <w:rsid w:val="00090FC2"/>
    <w:rsid w:val="00090FD9"/>
    <w:rsid w:val="000911E0"/>
    <w:rsid w:val="00091468"/>
    <w:rsid w:val="00091AF1"/>
    <w:rsid w:val="0009218F"/>
    <w:rsid w:val="00092406"/>
    <w:rsid w:val="000928B1"/>
    <w:rsid w:val="00092915"/>
    <w:rsid w:val="000929B7"/>
    <w:rsid w:val="00092B00"/>
    <w:rsid w:val="00092D29"/>
    <w:rsid w:val="000932B2"/>
    <w:rsid w:val="000934B5"/>
    <w:rsid w:val="0009370C"/>
    <w:rsid w:val="0009381C"/>
    <w:rsid w:val="000938B4"/>
    <w:rsid w:val="00093AC2"/>
    <w:rsid w:val="00093AC3"/>
    <w:rsid w:val="00093FA8"/>
    <w:rsid w:val="000943AF"/>
    <w:rsid w:val="0009452B"/>
    <w:rsid w:val="0009459B"/>
    <w:rsid w:val="000945E5"/>
    <w:rsid w:val="000947F2"/>
    <w:rsid w:val="00094A13"/>
    <w:rsid w:val="00094C43"/>
    <w:rsid w:val="00094D07"/>
    <w:rsid w:val="00094ED3"/>
    <w:rsid w:val="0009516D"/>
    <w:rsid w:val="000951A4"/>
    <w:rsid w:val="00095301"/>
    <w:rsid w:val="000953E5"/>
    <w:rsid w:val="00095568"/>
    <w:rsid w:val="0009560A"/>
    <w:rsid w:val="00095783"/>
    <w:rsid w:val="000957C8"/>
    <w:rsid w:val="00095D7B"/>
    <w:rsid w:val="00095F07"/>
    <w:rsid w:val="00096388"/>
    <w:rsid w:val="00096441"/>
    <w:rsid w:val="0009651E"/>
    <w:rsid w:val="00096639"/>
    <w:rsid w:val="000966E8"/>
    <w:rsid w:val="000967D3"/>
    <w:rsid w:val="00096919"/>
    <w:rsid w:val="000969BB"/>
    <w:rsid w:val="00096BB7"/>
    <w:rsid w:val="00096DFF"/>
    <w:rsid w:val="00096FF6"/>
    <w:rsid w:val="0009716C"/>
    <w:rsid w:val="0009770D"/>
    <w:rsid w:val="000979FA"/>
    <w:rsid w:val="00097D0E"/>
    <w:rsid w:val="00097D4B"/>
    <w:rsid w:val="00097F8A"/>
    <w:rsid w:val="000A006A"/>
    <w:rsid w:val="000A008C"/>
    <w:rsid w:val="000A01EF"/>
    <w:rsid w:val="000A05BE"/>
    <w:rsid w:val="000A09C4"/>
    <w:rsid w:val="000A0BD4"/>
    <w:rsid w:val="000A105F"/>
    <w:rsid w:val="000A13A1"/>
    <w:rsid w:val="000A13A5"/>
    <w:rsid w:val="000A19F5"/>
    <w:rsid w:val="000A1ED8"/>
    <w:rsid w:val="000A1F1B"/>
    <w:rsid w:val="000A1F87"/>
    <w:rsid w:val="000A225A"/>
    <w:rsid w:val="000A236D"/>
    <w:rsid w:val="000A256A"/>
    <w:rsid w:val="000A28C5"/>
    <w:rsid w:val="000A2AA4"/>
    <w:rsid w:val="000A2D05"/>
    <w:rsid w:val="000A2D77"/>
    <w:rsid w:val="000A329A"/>
    <w:rsid w:val="000A3318"/>
    <w:rsid w:val="000A3376"/>
    <w:rsid w:val="000A3962"/>
    <w:rsid w:val="000A3D65"/>
    <w:rsid w:val="000A3DE6"/>
    <w:rsid w:val="000A43E7"/>
    <w:rsid w:val="000A4522"/>
    <w:rsid w:val="000A4528"/>
    <w:rsid w:val="000A459E"/>
    <w:rsid w:val="000A4FCD"/>
    <w:rsid w:val="000A55D9"/>
    <w:rsid w:val="000A55FA"/>
    <w:rsid w:val="000A582C"/>
    <w:rsid w:val="000A5AFC"/>
    <w:rsid w:val="000A5C65"/>
    <w:rsid w:val="000A5DCF"/>
    <w:rsid w:val="000A61C4"/>
    <w:rsid w:val="000A6623"/>
    <w:rsid w:val="000A66A1"/>
    <w:rsid w:val="000A66A5"/>
    <w:rsid w:val="000A6A4E"/>
    <w:rsid w:val="000A6BAE"/>
    <w:rsid w:val="000A6E26"/>
    <w:rsid w:val="000A6E6E"/>
    <w:rsid w:val="000A6F4A"/>
    <w:rsid w:val="000A78B0"/>
    <w:rsid w:val="000A78F5"/>
    <w:rsid w:val="000A7B1A"/>
    <w:rsid w:val="000A7CC0"/>
    <w:rsid w:val="000A7D88"/>
    <w:rsid w:val="000B00EC"/>
    <w:rsid w:val="000B01EC"/>
    <w:rsid w:val="000B02F7"/>
    <w:rsid w:val="000B04A7"/>
    <w:rsid w:val="000B091C"/>
    <w:rsid w:val="000B09E0"/>
    <w:rsid w:val="000B0B89"/>
    <w:rsid w:val="000B0E2C"/>
    <w:rsid w:val="000B1165"/>
    <w:rsid w:val="000B13F5"/>
    <w:rsid w:val="000B14BC"/>
    <w:rsid w:val="000B15A0"/>
    <w:rsid w:val="000B1B44"/>
    <w:rsid w:val="000B1B7F"/>
    <w:rsid w:val="000B1C3C"/>
    <w:rsid w:val="000B1DE7"/>
    <w:rsid w:val="000B1DEA"/>
    <w:rsid w:val="000B2374"/>
    <w:rsid w:val="000B239D"/>
    <w:rsid w:val="000B2686"/>
    <w:rsid w:val="000B2692"/>
    <w:rsid w:val="000B27B6"/>
    <w:rsid w:val="000B28DB"/>
    <w:rsid w:val="000B2D1E"/>
    <w:rsid w:val="000B2DB2"/>
    <w:rsid w:val="000B2E11"/>
    <w:rsid w:val="000B3076"/>
    <w:rsid w:val="000B31BC"/>
    <w:rsid w:val="000B331B"/>
    <w:rsid w:val="000B33FE"/>
    <w:rsid w:val="000B369A"/>
    <w:rsid w:val="000B39E5"/>
    <w:rsid w:val="000B3E2D"/>
    <w:rsid w:val="000B3F40"/>
    <w:rsid w:val="000B4004"/>
    <w:rsid w:val="000B42BE"/>
    <w:rsid w:val="000B4355"/>
    <w:rsid w:val="000B43ED"/>
    <w:rsid w:val="000B440E"/>
    <w:rsid w:val="000B447F"/>
    <w:rsid w:val="000B44C9"/>
    <w:rsid w:val="000B4C73"/>
    <w:rsid w:val="000B4F76"/>
    <w:rsid w:val="000B5A7E"/>
    <w:rsid w:val="000B5C8F"/>
    <w:rsid w:val="000B5DE7"/>
    <w:rsid w:val="000B61CD"/>
    <w:rsid w:val="000B6488"/>
    <w:rsid w:val="000B65FC"/>
    <w:rsid w:val="000B6AAB"/>
    <w:rsid w:val="000B6C2E"/>
    <w:rsid w:val="000B6F45"/>
    <w:rsid w:val="000B6F77"/>
    <w:rsid w:val="000B6FE3"/>
    <w:rsid w:val="000B7C9A"/>
    <w:rsid w:val="000C0209"/>
    <w:rsid w:val="000C023E"/>
    <w:rsid w:val="000C0357"/>
    <w:rsid w:val="000C0629"/>
    <w:rsid w:val="000C0750"/>
    <w:rsid w:val="000C0757"/>
    <w:rsid w:val="000C0777"/>
    <w:rsid w:val="000C0D93"/>
    <w:rsid w:val="000C0EF4"/>
    <w:rsid w:val="000C0FB6"/>
    <w:rsid w:val="000C1F40"/>
    <w:rsid w:val="000C2040"/>
    <w:rsid w:val="000C22DF"/>
    <w:rsid w:val="000C2362"/>
    <w:rsid w:val="000C23A0"/>
    <w:rsid w:val="000C26AA"/>
    <w:rsid w:val="000C2794"/>
    <w:rsid w:val="000C2826"/>
    <w:rsid w:val="000C2878"/>
    <w:rsid w:val="000C2A03"/>
    <w:rsid w:val="000C2B61"/>
    <w:rsid w:val="000C2CD0"/>
    <w:rsid w:val="000C2CD1"/>
    <w:rsid w:val="000C2F31"/>
    <w:rsid w:val="000C2FEF"/>
    <w:rsid w:val="000C307F"/>
    <w:rsid w:val="000C3132"/>
    <w:rsid w:val="000C3748"/>
    <w:rsid w:val="000C4020"/>
    <w:rsid w:val="000C40F3"/>
    <w:rsid w:val="000C42B9"/>
    <w:rsid w:val="000C4A41"/>
    <w:rsid w:val="000C4A77"/>
    <w:rsid w:val="000C5165"/>
    <w:rsid w:val="000C54AA"/>
    <w:rsid w:val="000C5953"/>
    <w:rsid w:val="000C5AE0"/>
    <w:rsid w:val="000C5C4D"/>
    <w:rsid w:val="000C5DE9"/>
    <w:rsid w:val="000C6096"/>
    <w:rsid w:val="000C624E"/>
    <w:rsid w:val="000C6329"/>
    <w:rsid w:val="000C65E6"/>
    <w:rsid w:val="000C68E7"/>
    <w:rsid w:val="000C6B73"/>
    <w:rsid w:val="000C6D3B"/>
    <w:rsid w:val="000C71E5"/>
    <w:rsid w:val="000C7652"/>
    <w:rsid w:val="000C76D0"/>
    <w:rsid w:val="000C787F"/>
    <w:rsid w:val="000C7916"/>
    <w:rsid w:val="000C7E29"/>
    <w:rsid w:val="000D0027"/>
    <w:rsid w:val="000D02F1"/>
    <w:rsid w:val="000D0515"/>
    <w:rsid w:val="000D0A96"/>
    <w:rsid w:val="000D0BE0"/>
    <w:rsid w:val="000D0BEF"/>
    <w:rsid w:val="000D0BFE"/>
    <w:rsid w:val="000D0FB7"/>
    <w:rsid w:val="000D15C7"/>
    <w:rsid w:val="000D18E9"/>
    <w:rsid w:val="000D1933"/>
    <w:rsid w:val="000D1B62"/>
    <w:rsid w:val="000D1C28"/>
    <w:rsid w:val="000D236E"/>
    <w:rsid w:val="000D287A"/>
    <w:rsid w:val="000D2A31"/>
    <w:rsid w:val="000D2A69"/>
    <w:rsid w:val="000D2BFB"/>
    <w:rsid w:val="000D327A"/>
    <w:rsid w:val="000D3647"/>
    <w:rsid w:val="000D3C66"/>
    <w:rsid w:val="000D3EA8"/>
    <w:rsid w:val="000D42A1"/>
    <w:rsid w:val="000D484E"/>
    <w:rsid w:val="000D48FE"/>
    <w:rsid w:val="000D4CF7"/>
    <w:rsid w:val="000D5058"/>
    <w:rsid w:val="000D59A0"/>
    <w:rsid w:val="000D5BE2"/>
    <w:rsid w:val="000D5DB4"/>
    <w:rsid w:val="000D5FDE"/>
    <w:rsid w:val="000D608B"/>
    <w:rsid w:val="000D68CA"/>
    <w:rsid w:val="000D6989"/>
    <w:rsid w:val="000D6B6E"/>
    <w:rsid w:val="000D6B86"/>
    <w:rsid w:val="000D6B91"/>
    <w:rsid w:val="000D6BED"/>
    <w:rsid w:val="000D6EAC"/>
    <w:rsid w:val="000D700D"/>
    <w:rsid w:val="000D704B"/>
    <w:rsid w:val="000D70E5"/>
    <w:rsid w:val="000D7204"/>
    <w:rsid w:val="000D7449"/>
    <w:rsid w:val="000D7624"/>
    <w:rsid w:val="000E013C"/>
    <w:rsid w:val="000E0541"/>
    <w:rsid w:val="000E0564"/>
    <w:rsid w:val="000E0998"/>
    <w:rsid w:val="000E0D8E"/>
    <w:rsid w:val="000E0E5D"/>
    <w:rsid w:val="000E123D"/>
    <w:rsid w:val="000E1277"/>
    <w:rsid w:val="000E1637"/>
    <w:rsid w:val="000E16C8"/>
    <w:rsid w:val="000E195D"/>
    <w:rsid w:val="000E1B72"/>
    <w:rsid w:val="000E1E2A"/>
    <w:rsid w:val="000E1F18"/>
    <w:rsid w:val="000E1F2E"/>
    <w:rsid w:val="000E1FDC"/>
    <w:rsid w:val="000E2031"/>
    <w:rsid w:val="000E22BC"/>
    <w:rsid w:val="000E2490"/>
    <w:rsid w:val="000E25EB"/>
    <w:rsid w:val="000E28CB"/>
    <w:rsid w:val="000E2DCC"/>
    <w:rsid w:val="000E3219"/>
    <w:rsid w:val="000E3599"/>
    <w:rsid w:val="000E381C"/>
    <w:rsid w:val="000E3AB1"/>
    <w:rsid w:val="000E3B32"/>
    <w:rsid w:val="000E3BCF"/>
    <w:rsid w:val="000E41B7"/>
    <w:rsid w:val="000E43B8"/>
    <w:rsid w:val="000E4890"/>
    <w:rsid w:val="000E4BC7"/>
    <w:rsid w:val="000E4D64"/>
    <w:rsid w:val="000E50D7"/>
    <w:rsid w:val="000E51DF"/>
    <w:rsid w:val="000E5C3F"/>
    <w:rsid w:val="000E5DC8"/>
    <w:rsid w:val="000E5DD0"/>
    <w:rsid w:val="000E60FD"/>
    <w:rsid w:val="000E6299"/>
    <w:rsid w:val="000E6605"/>
    <w:rsid w:val="000E6719"/>
    <w:rsid w:val="000E677F"/>
    <w:rsid w:val="000E6A0E"/>
    <w:rsid w:val="000E6D0A"/>
    <w:rsid w:val="000E6F46"/>
    <w:rsid w:val="000E7421"/>
    <w:rsid w:val="000E75D3"/>
    <w:rsid w:val="000E79E3"/>
    <w:rsid w:val="000E7BB0"/>
    <w:rsid w:val="000E7E72"/>
    <w:rsid w:val="000E7F94"/>
    <w:rsid w:val="000F048A"/>
    <w:rsid w:val="000F05B4"/>
    <w:rsid w:val="000F07B5"/>
    <w:rsid w:val="000F07FE"/>
    <w:rsid w:val="000F08A1"/>
    <w:rsid w:val="000F0999"/>
    <w:rsid w:val="000F09D8"/>
    <w:rsid w:val="000F0CDC"/>
    <w:rsid w:val="000F1700"/>
    <w:rsid w:val="000F1908"/>
    <w:rsid w:val="000F1C64"/>
    <w:rsid w:val="000F1F74"/>
    <w:rsid w:val="000F213E"/>
    <w:rsid w:val="000F2140"/>
    <w:rsid w:val="000F258A"/>
    <w:rsid w:val="000F28DF"/>
    <w:rsid w:val="000F2A82"/>
    <w:rsid w:val="000F2AD6"/>
    <w:rsid w:val="000F2DEB"/>
    <w:rsid w:val="000F3715"/>
    <w:rsid w:val="000F37DD"/>
    <w:rsid w:val="000F37FD"/>
    <w:rsid w:val="000F3817"/>
    <w:rsid w:val="000F3AD3"/>
    <w:rsid w:val="000F4664"/>
    <w:rsid w:val="000F49CD"/>
    <w:rsid w:val="000F4BF8"/>
    <w:rsid w:val="000F4E39"/>
    <w:rsid w:val="000F4E7F"/>
    <w:rsid w:val="000F4F3E"/>
    <w:rsid w:val="000F5092"/>
    <w:rsid w:val="000F5444"/>
    <w:rsid w:val="000F5459"/>
    <w:rsid w:val="000F593A"/>
    <w:rsid w:val="000F5980"/>
    <w:rsid w:val="000F598C"/>
    <w:rsid w:val="000F5B07"/>
    <w:rsid w:val="000F5E0B"/>
    <w:rsid w:val="000F60E6"/>
    <w:rsid w:val="000F618C"/>
    <w:rsid w:val="000F64DF"/>
    <w:rsid w:val="000F6C57"/>
    <w:rsid w:val="000F6F67"/>
    <w:rsid w:val="000F7145"/>
    <w:rsid w:val="000F7536"/>
    <w:rsid w:val="000F772B"/>
    <w:rsid w:val="000F7CD5"/>
    <w:rsid w:val="000F7E62"/>
    <w:rsid w:val="000F7F63"/>
    <w:rsid w:val="00100174"/>
    <w:rsid w:val="00100476"/>
    <w:rsid w:val="0010065F"/>
    <w:rsid w:val="001006F5"/>
    <w:rsid w:val="00100A87"/>
    <w:rsid w:val="00100C22"/>
    <w:rsid w:val="00100D83"/>
    <w:rsid w:val="00100FF9"/>
    <w:rsid w:val="0010169C"/>
    <w:rsid w:val="001016C3"/>
    <w:rsid w:val="00101BBE"/>
    <w:rsid w:val="00101F28"/>
    <w:rsid w:val="00102546"/>
    <w:rsid w:val="001025FE"/>
    <w:rsid w:val="001026C2"/>
    <w:rsid w:val="0010307D"/>
    <w:rsid w:val="001030DA"/>
    <w:rsid w:val="00103187"/>
    <w:rsid w:val="001032FF"/>
    <w:rsid w:val="001034CA"/>
    <w:rsid w:val="00103602"/>
    <w:rsid w:val="001036E6"/>
    <w:rsid w:val="00103964"/>
    <w:rsid w:val="00103BEA"/>
    <w:rsid w:val="0010402E"/>
    <w:rsid w:val="00104556"/>
    <w:rsid w:val="00104DF7"/>
    <w:rsid w:val="00104E21"/>
    <w:rsid w:val="00104F7E"/>
    <w:rsid w:val="00104FC3"/>
    <w:rsid w:val="001050E8"/>
    <w:rsid w:val="00105140"/>
    <w:rsid w:val="001053B8"/>
    <w:rsid w:val="00105432"/>
    <w:rsid w:val="001057E7"/>
    <w:rsid w:val="00105C9F"/>
    <w:rsid w:val="00105FBB"/>
    <w:rsid w:val="00105FC0"/>
    <w:rsid w:val="00106034"/>
    <w:rsid w:val="001061FA"/>
    <w:rsid w:val="00106513"/>
    <w:rsid w:val="00106542"/>
    <w:rsid w:val="001065E4"/>
    <w:rsid w:val="001068D8"/>
    <w:rsid w:val="001069AC"/>
    <w:rsid w:val="00106D62"/>
    <w:rsid w:val="00106D8D"/>
    <w:rsid w:val="00106F9A"/>
    <w:rsid w:val="00107384"/>
    <w:rsid w:val="0010745D"/>
    <w:rsid w:val="00107990"/>
    <w:rsid w:val="00107ACE"/>
    <w:rsid w:val="00107B86"/>
    <w:rsid w:val="001104BA"/>
    <w:rsid w:val="001104C3"/>
    <w:rsid w:val="0011059C"/>
    <w:rsid w:val="001106E1"/>
    <w:rsid w:val="00110701"/>
    <w:rsid w:val="0011081C"/>
    <w:rsid w:val="001108CA"/>
    <w:rsid w:val="001108D3"/>
    <w:rsid w:val="001108F3"/>
    <w:rsid w:val="00110A4E"/>
    <w:rsid w:val="00110F91"/>
    <w:rsid w:val="00111244"/>
    <w:rsid w:val="00111406"/>
    <w:rsid w:val="0011155F"/>
    <w:rsid w:val="001117B7"/>
    <w:rsid w:val="00111AB8"/>
    <w:rsid w:val="00111CF0"/>
    <w:rsid w:val="00111DCA"/>
    <w:rsid w:val="00111DF2"/>
    <w:rsid w:val="00112608"/>
    <w:rsid w:val="00112859"/>
    <w:rsid w:val="0011294A"/>
    <w:rsid w:val="00112A28"/>
    <w:rsid w:val="00112A46"/>
    <w:rsid w:val="00112D03"/>
    <w:rsid w:val="00113189"/>
    <w:rsid w:val="001131B4"/>
    <w:rsid w:val="00113614"/>
    <w:rsid w:val="0011383B"/>
    <w:rsid w:val="001139FC"/>
    <w:rsid w:val="00113B97"/>
    <w:rsid w:val="0011410B"/>
    <w:rsid w:val="001141B3"/>
    <w:rsid w:val="00114420"/>
    <w:rsid w:val="001147B2"/>
    <w:rsid w:val="00114D35"/>
    <w:rsid w:val="00115190"/>
    <w:rsid w:val="001152A8"/>
    <w:rsid w:val="00115467"/>
    <w:rsid w:val="0011579D"/>
    <w:rsid w:val="001158F4"/>
    <w:rsid w:val="00115B4D"/>
    <w:rsid w:val="00115D0F"/>
    <w:rsid w:val="00115EAA"/>
    <w:rsid w:val="001160DC"/>
    <w:rsid w:val="00116223"/>
    <w:rsid w:val="001162C2"/>
    <w:rsid w:val="00116312"/>
    <w:rsid w:val="001163AF"/>
    <w:rsid w:val="001165D4"/>
    <w:rsid w:val="001168D8"/>
    <w:rsid w:val="00116A28"/>
    <w:rsid w:val="00116D44"/>
    <w:rsid w:val="00116F64"/>
    <w:rsid w:val="0011700E"/>
    <w:rsid w:val="0011717D"/>
    <w:rsid w:val="00117315"/>
    <w:rsid w:val="00117519"/>
    <w:rsid w:val="0011752E"/>
    <w:rsid w:val="00117585"/>
    <w:rsid w:val="0011759D"/>
    <w:rsid w:val="001176C5"/>
    <w:rsid w:val="0011778B"/>
    <w:rsid w:val="00117944"/>
    <w:rsid w:val="00117C21"/>
    <w:rsid w:val="00120047"/>
    <w:rsid w:val="001200E5"/>
    <w:rsid w:val="001201CB"/>
    <w:rsid w:val="00120364"/>
    <w:rsid w:val="0012074C"/>
    <w:rsid w:val="00120A95"/>
    <w:rsid w:val="00120BBD"/>
    <w:rsid w:val="00120C92"/>
    <w:rsid w:val="00120F27"/>
    <w:rsid w:val="00121375"/>
    <w:rsid w:val="001213DA"/>
    <w:rsid w:val="001214FC"/>
    <w:rsid w:val="001217FE"/>
    <w:rsid w:val="00121A03"/>
    <w:rsid w:val="00121CC5"/>
    <w:rsid w:val="00121D0D"/>
    <w:rsid w:val="00121E21"/>
    <w:rsid w:val="00121E87"/>
    <w:rsid w:val="001220B9"/>
    <w:rsid w:val="0012220D"/>
    <w:rsid w:val="00122286"/>
    <w:rsid w:val="001226C2"/>
    <w:rsid w:val="001229F0"/>
    <w:rsid w:val="00122D01"/>
    <w:rsid w:val="00122FE2"/>
    <w:rsid w:val="001230CC"/>
    <w:rsid w:val="00123128"/>
    <w:rsid w:val="00123272"/>
    <w:rsid w:val="0012339A"/>
    <w:rsid w:val="001233DA"/>
    <w:rsid w:val="001235BB"/>
    <w:rsid w:val="00123820"/>
    <w:rsid w:val="00123879"/>
    <w:rsid w:val="00123A82"/>
    <w:rsid w:val="00123CA2"/>
    <w:rsid w:val="00123CD1"/>
    <w:rsid w:val="00123E92"/>
    <w:rsid w:val="00123EB0"/>
    <w:rsid w:val="001247D6"/>
    <w:rsid w:val="00124879"/>
    <w:rsid w:val="001248B3"/>
    <w:rsid w:val="001248FB"/>
    <w:rsid w:val="00124CC4"/>
    <w:rsid w:val="0012512A"/>
    <w:rsid w:val="001253C5"/>
    <w:rsid w:val="001255CA"/>
    <w:rsid w:val="0012561D"/>
    <w:rsid w:val="00125694"/>
    <w:rsid w:val="00125865"/>
    <w:rsid w:val="00125890"/>
    <w:rsid w:val="00125A4D"/>
    <w:rsid w:val="00125A6B"/>
    <w:rsid w:val="00125DA4"/>
    <w:rsid w:val="00125FBC"/>
    <w:rsid w:val="0012602E"/>
    <w:rsid w:val="001261CC"/>
    <w:rsid w:val="00126291"/>
    <w:rsid w:val="001262ED"/>
    <w:rsid w:val="00126521"/>
    <w:rsid w:val="00126705"/>
    <w:rsid w:val="0012674E"/>
    <w:rsid w:val="00126824"/>
    <w:rsid w:val="0012693C"/>
    <w:rsid w:val="00126A7F"/>
    <w:rsid w:val="00126BEE"/>
    <w:rsid w:val="00126FD7"/>
    <w:rsid w:val="00127608"/>
    <w:rsid w:val="001276E6"/>
    <w:rsid w:val="0012787B"/>
    <w:rsid w:val="00127A32"/>
    <w:rsid w:val="00127B8C"/>
    <w:rsid w:val="001301E7"/>
    <w:rsid w:val="001302E4"/>
    <w:rsid w:val="0013070F"/>
    <w:rsid w:val="0013085A"/>
    <w:rsid w:val="001308CE"/>
    <w:rsid w:val="0013095A"/>
    <w:rsid w:val="00130ABB"/>
    <w:rsid w:val="00130F77"/>
    <w:rsid w:val="00131111"/>
    <w:rsid w:val="001312BF"/>
    <w:rsid w:val="001312FB"/>
    <w:rsid w:val="001313E6"/>
    <w:rsid w:val="001314DE"/>
    <w:rsid w:val="0013160C"/>
    <w:rsid w:val="00131665"/>
    <w:rsid w:val="00131A5F"/>
    <w:rsid w:val="00131BD5"/>
    <w:rsid w:val="00131E5A"/>
    <w:rsid w:val="00131F40"/>
    <w:rsid w:val="001320CD"/>
    <w:rsid w:val="001323FE"/>
    <w:rsid w:val="00132A65"/>
    <w:rsid w:val="00132AE1"/>
    <w:rsid w:val="00132FA1"/>
    <w:rsid w:val="00133078"/>
    <w:rsid w:val="00133272"/>
    <w:rsid w:val="0013330C"/>
    <w:rsid w:val="001334CF"/>
    <w:rsid w:val="0013353D"/>
    <w:rsid w:val="001335C0"/>
    <w:rsid w:val="00133EDB"/>
    <w:rsid w:val="00134218"/>
    <w:rsid w:val="00134A7F"/>
    <w:rsid w:val="00134CA8"/>
    <w:rsid w:val="00134D62"/>
    <w:rsid w:val="0013505A"/>
    <w:rsid w:val="001350A3"/>
    <w:rsid w:val="00135171"/>
    <w:rsid w:val="0013523F"/>
    <w:rsid w:val="00135AD9"/>
    <w:rsid w:val="00135C39"/>
    <w:rsid w:val="00135E66"/>
    <w:rsid w:val="001365FF"/>
    <w:rsid w:val="00136A64"/>
    <w:rsid w:val="00136BBE"/>
    <w:rsid w:val="00136BC0"/>
    <w:rsid w:val="00136CE4"/>
    <w:rsid w:val="00137054"/>
    <w:rsid w:val="00137159"/>
    <w:rsid w:val="00137339"/>
    <w:rsid w:val="00137349"/>
    <w:rsid w:val="001377D5"/>
    <w:rsid w:val="0013791B"/>
    <w:rsid w:val="00137DD4"/>
    <w:rsid w:val="0014015A"/>
    <w:rsid w:val="001402B1"/>
    <w:rsid w:val="001404CD"/>
    <w:rsid w:val="0014061F"/>
    <w:rsid w:val="00140844"/>
    <w:rsid w:val="00140974"/>
    <w:rsid w:val="00140B5E"/>
    <w:rsid w:val="00140C36"/>
    <w:rsid w:val="00140C86"/>
    <w:rsid w:val="00140CAF"/>
    <w:rsid w:val="00140D21"/>
    <w:rsid w:val="00140DFB"/>
    <w:rsid w:val="00140F43"/>
    <w:rsid w:val="0014128F"/>
    <w:rsid w:val="00141526"/>
    <w:rsid w:val="00141DC5"/>
    <w:rsid w:val="001421E9"/>
    <w:rsid w:val="001423E2"/>
    <w:rsid w:val="00142718"/>
    <w:rsid w:val="00142EFF"/>
    <w:rsid w:val="00143018"/>
    <w:rsid w:val="001431DE"/>
    <w:rsid w:val="001434A8"/>
    <w:rsid w:val="00143913"/>
    <w:rsid w:val="00143AC2"/>
    <w:rsid w:val="00143B99"/>
    <w:rsid w:val="00143C7E"/>
    <w:rsid w:val="00143D1D"/>
    <w:rsid w:val="00144180"/>
    <w:rsid w:val="001441CF"/>
    <w:rsid w:val="0014466B"/>
    <w:rsid w:val="00144678"/>
    <w:rsid w:val="0014477E"/>
    <w:rsid w:val="00144BF9"/>
    <w:rsid w:val="00144D2A"/>
    <w:rsid w:val="00144E05"/>
    <w:rsid w:val="00144F05"/>
    <w:rsid w:val="00144FEE"/>
    <w:rsid w:val="0014514D"/>
    <w:rsid w:val="00145251"/>
    <w:rsid w:val="001452F2"/>
    <w:rsid w:val="001454BB"/>
    <w:rsid w:val="00145683"/>
    <w:rsid w:val="00145721"/>
    <w:rsid w:val="001458CA"/>
    <w:rsid w:val="00145B57"/>
    <w:rsid w:val="00145B9F"/>
    <w:rsid w:val="00145F81"/>
    <w:rsid w:val="001462CC"/>
    <w:rsid w:val="00146960"/>
    <w:rsid w:val="00146B5B"/>
    <w:rsid w:val="00146BF6"/>
    <w:rsid w:val="00146E5D"/>
    <w:rsid w:val="00147666"/>
    <w:rsid w:val="001476CD"/>
    <w:rsid w:val="0014783F"/>
    <w:rsid w:val="0014785F"/>
    <w:rsid w:val="001478EB"/>
    <w:rsid w:val="00147CBA"/>
    <w:rsid w:val="00147CF6"/>
    <w:rsid w:val="00147D7C"/>
    <w:rsid w:val="00147E84"/>
    <w:rsid w:val="0015012B"/>
    <w:rsid w:val="001505D2"/>
    <w:rsid w:val="001508B4"/>
    <w:rsid w:val="001508F6"/>
    <w:rsid w:val="00150A96"/>
    <w:rsid w:val="00150AB5"/>
    <w:rsid w:val="00150C57"/>
    <w:rsid w:val="00150E96"/>
    <w:rsid w:val="00150FDD"/>
    <w:rsid w:val="0015116C"/>
    <w:rsid w:val="001514F6"/>
    <w:rsid w:val="001518B1"/>
    <w:rsid w:val="001519DD"/>
    <w:rsid w:val="00151EB4"/>
    <w:rsid w:val="00152017"/>
    <w:rsid w:val="001528A1"/>
    <w:rsid w:val="001529DA"/>
    <w:rsid w:val="00152C7A"/>
    <w:rsid w:val="00152C9F"/>
    <w:rsid w:val="00152CC3"/>
    <w:rsid w:val="00152DDD"/>
    <w:rsid w:val="00152E49"/>
    <w:rsid w:val="00153293"/>
    <w:rsid w:val="001536A8"/>
    <w:rsid w:val="00153DD2"/>
    <w:rsid w:val="001540C2"/>
    <w:rsid w:val="001540DF"/>
    <w:rsid w:val="0015460F"/>
    <w:rsid w:val="001547A9"/>
    <w:rsid w:val="00154970"/>
    <w:rsid w:val="00154CCB"/>
    <w:rsid w:val="001552BE"/>
    <w:rsid w:val="0015535E"/>
    <w:rsid w:val="001554FB"/>
    <w:rsid w:val="001558AF"/>
    <w:rsid w:val="00155965"/>
    <w:rsid w:val="00155B22"/>
    <w:rsid w:val="00155F76"/>
    <w:rsid w:val="00156164"/>
    <w:rsid w:val="0015649E"/>
    <w:rsid w:val="001568F9"/>
    <w:rsid w:val="00156A6F"/>
    <w:rsid w:val="00156F6A"/>
    <w:rsid w:val="0015708C"/>
    <w:rsid w:val="0015772C"/>
    <w:rsid w:val="00157784"/>
    <w:rsid w:val="001579FE"/>
    <w:rsid w:val="00157CE8"/>
    <w:rsid w:val="00157E43"/>
    <w:rsid w:val="00160015"/>
    <w:rsid w:val="00160069"/>
    <w:rsid w:val="001601CE"/>
    <w:rsid w:val="00160408"/>
    <w:rsid w:val="0016074E"/>
    <w:rsid w:val="001607C2"/>
    <w:rsid w:val="00160ACD"/>
    <w:rsid w:val="00160DF6"/>
    <w:rsid w:val="00160EAC"/>
    <w:rsid w:val="0016107F"/>
    <w:rsid w:val="00161115"/>
    <w:rsid w:val="0016113B"/>
    <w:rsid w:val="0016116E"/>
    <w:rsid w:val="001611C5"/>
    <w:rsid w:val="00161529"/>
    <w:rsid w:val="0016182D"/>
    <w:rsid w:val="00161902"/>
    <w:rsid w:val="0016197D"/>
    <w:rsid w:val="00161E1C"/>
    <w:rsid w:val="00161E96"/>
    <w:rsid w:val="00162078"/>
    <w:rsid w:val="00162468"/>
    <w:rsid w:val="001626C9"/>
    <w:rsid w:val="001626CE"/>
    <w:rsid w:val="00162700"/>
    <w:rsid w:val="001627AA"/>
    <w:rsid w:val="00162AF1"/>
    <w:rsid w:val="00162E79"/>
    <w:rsid w:val="00162EA9"/>
    <w:rsid w:val="0016306F"/>
    <w:rsid w:val="0016319D"/>
    <w:rsid w:val="00163444"/>
    <w:rsid w:val="001637A6"/>
    <w:rsid w:val="00163B19"/>
    <w:rsid w:val="00163EB4"/>
    <w:rsid w:val="0016442D"/>
    <w:rsid w:val="0016459D"/>
    <w:rsid w:val="00164A40"/>
    <w:rsid w:val="00164A4F"/>
    <w:rsid w:val="00164C9D"/>
    <w:rsid w:val="00164F12"/>
    <w:rsid w:val="00165013"/>
    <w:rsid w:val="001650A2"/>
    <w:rsid w:val="001650DB"/>
    <w:rsid w:val="00165397"/>
    <w:rsid w:val="0016561E"/>
    <w:rsid w:val="00165635"/>
    <w:rsid w:val="0016568B"/>
    <w:rsid w:val="001656FF"/>
    <w:rsid w:val="00165B2A"/>
    <w:rsid w:val="00165C0A"/>
    <w:rsid w:val="00165CEF"/>
    <w:rsid w:val="001664D4"/>
    <w:rsid w:val="00166561"/>
    <w:rsid w:val="00166ED4"/>
    <w:rsid w:val="00166EF3"/>
    <w:rsid w:val="00166F10"/>
    <w:rsid w:val="00166FFF"/>
    <w:rsid w:val="0016766C"/>
    <w:rsid w:val="00167A94"/>
    <w:rsid w:val="00167C40"/>
    <w:rsid w:val="00167DFE"/>
    <w:rsid w:val="00167E09"/>
    <w:rsid w:val="00167F3E"/>
    <w:rsid w:val="001700FB"/>
    <w:rsid w:val="00170214"/>
    <w:rsid w:val="001702AE"/>
    <w:rsid w:val="001706E2"/>
    <w:rsid w:val="00170A92"/>
    <w:rsid w:val="00170CE8"/>
    <w:rsid w:val="001710E9"/>
    <w:rsid w:val="001714BC"/>
    <w:rsid w:val="001716C3"/>
    <w:rsid w:val="00171D0B"/>
    <w:rsid w:val="00171D63"/>
    <w:rsid w:val="00171E3D"/>
    <w:rsid w:val="00171EA8"/>
    <w:rsid w:val="00171FF9"/>
    <w:rsid w:val="001720B3"/>
    <w:rsid w:val="0017216A"/>
    <w:rsid w:val="001721AE"/>
    <w:rsid w:val="001723FE"/>
    <w:rsid w:val="001725C7"/>
    <w:rsid w:val="0017292C"/>
    <w:rsid w:val="00172BA8"/>
    <w:rsid w:val="00172BBD"/>
    <w:rsid w:val="00172C2B"/>
    <w:rsid w:val="00172D2F"/>
    <w:rsid w:val="00172D65"/>
    <w:rsid w:val="00172EC3"/>
    <w:rsid w:val="001731DD"/>
    <w:rsid w:val="001731EF"/>
    <w:rsid w:val="00173AAF"/>
    <w:rsid w:val="00173C9A"/>
    <w:rsid w:val="00173D7B"/>
    <w:rsid w:val="001740D7"/>
    <w:rsid w:val="0017455F"/>
    <w:rsid w:val="0017480D"/>
    <w:rsid w:val="00174941"/>
    <w:rsid w:val="00174B55"/>
    <w:rsid w:val="00174D3C"/>
    <w:rsid w:val="001751D1"/>
    <w:rsid w:val="00175453"/>
    <w:rsid w:val="001755E3"/>
    <w:rsid w:val="00175B4C"/>
    <w:rsid w:val="00175D9B"/>
    <w:rsid w:val="00175F15"/>
    <w:rsid w:val="001762B6"/>
    <w:rsid w:val="0017688A"/>
    <w:rsid w:val="001769E3"/>
    <w:rsid w:val="00176C00"/>
    <w:rsid w:val="00176D7B"/>
    <w:rsid w:val="00176E53"/>
    <w:rsid w:val="00176EA0"/>
    <w:rsid w:val="00177053"/>
    <w:rsid w:val="00177093"/>
    <w:rsid w:val="00177290"/>
    <w:rsid w:val="00177311"/>
    <w:rsid w:val="001773BB"/>
    <w:rsid w:val="001774C7"/>
    <w:rsid w:val="001777ED"/>
    <w:rsid w:val="00177939"/>
    <w:rsid w:val="00177BFA"/>
    <w:rsid w:val="00177C2C"/>
    <w:rsid w:val="00177D09"/>
    <w:rsid w:val="00177D4A"/>
    <w:rsid w:val="00180007"/>
    <w:rsid w:val="001801CD"/>
    <w:rsid w:val="00180476"/>
    <w:rsid w:val="001804BA"/>
    <w:rsid w:val="00180779"/>
    <w:rsid w:val="001807E7"/>
    <w:rsid w:val="001808D1"/>
    <w:rsid w:val="00180AAA"/>
    <w:rsid w:val="00180D19"/>
    <w:rsid w:val="00180EE4"/>
    <w:rsid w:val="001812A1"/>
    <w:rsid w:val="0018160A"/>
    <w:rsid w:val="0018172B"/>
    <w:rsid w:val="00181CC5"/>
    <w:rsid w:val="00181EDB"/>
    <w:rsid w:val="00182463"/>
    <w:rsid w:val="00182533"/>
    <w:rsid w:val="0018260B"/>
    <w:rsid w:val="00182709"/>
    <w:rsid w:val="001827B5"/>
    <w:rsid w:val="001827C4"/>
    <w:rsid w:val="00182802"/>
    <w:rsid w:val="00182810"/>
    <w:rsid w:val="001828AE"/>
    <w:rsid w:val="00182A7B"/>
    <w:rsid w:val="00182BF6"/>
    <w:rsid w:val="00182EDE"/>
    <w:rsid w:val="00182F59"/>
    <w:rsid w:val="00182F64"/>
    <w:rsid w:val="00182F79"/>
    <w:rsid w:val="00182FF1"/>
    <w:rsid w:val="0018316A"/>
    <w:rsid w:val="001833DB"/>
    <w:rsid w:val="00183623"/>
    <w:rsid w:val="0018370E"/>
    <w:rsid w:val="001837F9"/>
    <w:rsid w:val="0018387F"/>
    <w:rsid w:val="00184260"/>
    <w:rsid w:val="001843F0"/>
    <w:rsid w:val="001847F0"/>
    <w:rsid w:val="00184A70"/>
    <w:rsid w:val="00184B43"/>
    <w:rsid w:val="0018527D"/>
    <w:rsid w:val="0018561A"/>
    <w:rsid w:val="001858A5"/>
    <w:rsid w:val="00185E30"/>
    <w:rsid w:val="00185EC7"/>
    <w:rsid w:val="00185F2E"/>
    <w:rsid w:val="001861D4"/>
    <w:rsid w:val="00186248"/>
    <w:rsid w:val="00186499"/>
    <w:rsid w:val="0018657E"/>
    <w:rsid w:val="001869D8"/>
    <w:rsid w:val="00186C34"/>
    <w:rsid w:val="00186E53"/>
    <w:rsid w:val="00187132"/>
    <w:rsid w:val="001871C4"/>
    <w:rsid w:val="001871DE"/>
    <w:rsid w:val="001872D4"/>
    <w:rsid w:val="0018740F"/>
    <w:rsid w:val="00187A50"/>
    <w:rsid w:val="00187A99"/>
    <w:rsid w:val="00187B2B"/>
    <w:rsid w:val="00187C23"/>
    <w:rsid w:val="001901C0"/>
    <w:rsid w:val="001901D1"/>
    <w:rsid w:val="0019041A"/>
    <w:rsid w:val="00190429"/>
    <w:rsid w:val="00190465"/>
    <w:rsid w:val="001906B5"/>
    <w:rsid w:val="00190AAE"/>
    <w:rsid w:val="00190BCF"/>
    <w:rsid w:val="00190C90"/>
    <w:rsid w:val="00190E1C"/>
    <w:rsid w:val="001914ED"/>
    <w:rsid w:val="00191507"/>
    <w:rsid w:val="00191615"/>
    <w:rsid w:val="00191649"/>
    <w:rsid w:val="001916F7"/>
    <w:rsid w:val="0019191F"/>
    <w:rsid w:val="00191B58"/>
    <w:rsid w:val="00191CE0"/>
    <w:rsid w:val="00192036"/>
    <w:rsid w:val="0019216C"/>
    <w:rsid w:val="00192563"/>
    <w:rsid w:val="00193079"/>
    <w:rsid w:val="001931B1"/>
    <w:rsid w:val="001931B3"/>
    <w:rsid w:val="00193386"/>
    <w:rsid w:val="00193A77"/>
    <w:rsid w:val="00193FA2"/>
    <w:rsid w:val="00194140"/>
    <w:rsid w:val="00194142"/>
    <w:rsid w:val="00194326"/>
    <w:rsid w:val="0019484F"/>
    <w:rsid w:val="00194A12"/>
    <w:rsid w:val="00194BB2"/>
    <w:rsid w:val="00194C04"/>
    <w:rsid w:val="00194D43"/>
    <w:rsid w:val="00194D7A"/>
    <w:rsid w:val="00195325"/>
    <w:rsid w:val="00195384"/>
    <w:rsid w:val="0019538F"/>
    <w:rsid w:val="001954E0"/>
    <w:rsid w:val="00195653"/>
    <w:rsid w:val="001956D5"/>
    <w:rsid w:val="00195E31"/>
    <w:rsid w:val="00195F22"/>
    <w:rsid w:val="00196156"/>
    <w:rsid w:val="001965C7"/>
    <w:rsid w:val="00196FF5"/>
    <w:rsid w:val="00197081"/>
    <w:rsid w:val="00197193"/>
    <w:rsid w:val="0019760C"/>
    <w:rsid w:val="0019784C"/>
    <w:rsid w:val="00197A28"/>
    <w:rsid w:val="00197D7F"/>
    <w:rsid w:val="00197D8A"/>
    <w:rsid w:val="00197F56"/>
    <w:rsid w:val="00197FB2"/>
    <w:rsid w:val="001A000F"/>
    <w:rsid w:val="001A0058"/>
    <w:rsid w:val="001A0C5A"/>
    <w:rsid w:val="001A0EBF"/>
    <w:rsid w:val="001A0FCD"/>
    <w:rsid w:val="001A0FEE"/>
    <w:rsid w:val="001A10D6"/>
    <w:rsid w:val="001A12FD"/>
    <w:rsid w:val="001A1364"/>
    <w:rsid w:val="001A159B"/>
    <w:rsid w:val="001A18FA"/>
    <w:rsid w:val="001A1A97"/>
    <w:rsid w:val="001A1AEA"/>
    <w:rsid w:val="001A1C01"/>
    <w:rsid w:val="001A1C72"/>
    <w:rsid w:val="001A1CE2"/>
    <w:rsid w:val="001A2104"/>
    <w:rsid w:val="001A2133"/>
    <w:rsid w:val="001A2301"/>
    <w:rsid w:val="001A257F"/>
    <w:rsid w:val="001A2583"/>
    <w:rsid w:val="001A260A"/>
    <w:rsid w:val="001A2A1C"/>
    <w:rsid w:val="001A2CA2"/>
    <w:rsid w:val="001A33D9"/>
    <w:rsid w:val="001A3CE7"/>
    <w:rsid w:val="001A3D11"/>
    <w:rsid w:val="001A3D65"/>
    <w:rsid w:val="001A3E73"/>
    <w:rsid w:val="001A4012"/>
    <w:rsid w:val="001A405E"/>
    <w:rsid w:val="001A407D"/>
    <w:rsid w:val="001A43D9"/>
    <w:rsid w:val="001A467C"/>
    <w:rsid w:val="001A4733"/>
    <w:rsid w:val="001A4AF1"/>
    <w:rsid w:val="001A4DB4"/>
    <w:rsid w:val="001A4DDC"/>
    <w:rsid w:val="001A4E30"/>
    <w:rsid w:val="001A51B7"/>
    <w:rsid w:val="001A51C0"/>
    <w:rsid w:val="001A5212"/>
    <w:rsid w:val="001A5258"/>
    <w:rsid w:val="001A52F5"/>
    <w:rsid w:val="001A55A6"/>
    <w:rsid w:val="001A5900"/>
    <w:rsid w:val="001A5938"/>
    <w:rsid w:val="001A5AAB"/>
    <w:rsid w:val="001A5CA8"/>
    <w:rsid w:val="001A5CAC"/>
    <w:rsid w:val="001A5CF7"/>
    <w:rsid w:val="001A5E76"/>
    <w:rsid w:val="001A63AB"/>
    <w:rsid w:val="001A67E2"/>
    <w:rsid w:val="001A6851"/>
    <w:rsid w:val="001A693E"/>
    <w:rsid w:val="001A6AA2"/>
    <w:rsid w:val="001A6C35"/>
    <w:rsid w:val="001A6DF2"/>
    <w:rsid w:val="001A73A7"/>
    <w:rsid w:val="001A7476"/>
    <w:rsid w:val="001A780E"/>
    <w:rsid w:val="001A797B"/>
    <w:rsid w:val="001A7A64"/>
    <w:rsid w:val="001A7C2B"/>
    <w:rsid w:val="001A7CF5"/>
    <w:rsid w:val="001B0446"/>
    <w:rsid w:val="001B069C"/>
    <w:rsid w:val="001B06A9"/>
    <w:rsid w:val="001B09C6"/>
    <w:rsid w:val="001B0CB3"/>
    <w:rsid w:val="001B0D62"/>
    <w:rsid w:val="001B0D7D"/>
    <w:rsid w:val="001B0D89"/>
    <w:rsid w:val="001B171C"/>
    <w:rsid w:val="001B172F"/>
    <w:rsid w:val="001B1CC8"/>
    <w:rsid w:val="001B21DB"/>
    <w:rsid w:val="001B256B"/>
    <w:rsid w:val="001B266B"/>
    <w:rsid w:val="001B294D"/>
    <w:rsid w:val="001B2990"/>
    <w:rsid w:val="001B2A34"/>
    <w:rsid w:val="001B2AB4"/>
    <w:rsid w:val="001B2B7D"/>
    <w:rsid w:val="001B2E8C"/>
    <w:rsid w:val="001B30CB"/>
    <w:rsid w:val="001B3207"/>
    <w:rsid w:val="001B3272"/>
    <w:rsid w:val="001B37E1"/>
    <w:rsid w:val="001B3BD9"/>
    <w:rsid w:val="001B3BE2"/>
    <w:rsid w:val="001B4222"/>
    <w:rsid w:val="001B44EB"/>
    <w:rsid w:val="001B45E1"/>
    <w:rsid w:val="001B4871"/>
    <w:rsid w:val="001B4D65"/>
    <w:rsid w:val="001B4D99"/>
    <w:rsid w:val="001B4DB2"/>
    <w:rsid w:val="001B4EFE"/>
    <w:rsid w:val="001B5265"/>
    <w:rsid w:val="001B5902"/>
    <w:rsid w:val="001B5937"/>
    <w:rsid w:val="001B5A9C"/>
    <w:rsid w:val="001B5B5C"/>
    <w:rsid w:val="001B5C55"/>
    <w:rsid w:val="001B5EE7"/>
    <w:rsid w:val="001B5EFF"/>
    <w:rsid w:val="001B5F96"/>
    <w:rsid w:val="001B603F"/>
    <w:rsid w:val="001B62D1"/>
    <w:rsid w:val="001B64CB"/>
    <w:rsid w:val="001B6D94"/>
    <w:rsid w:val="001B6DC7"/>
    <w:rsid w:val="001B6E9D"/>
    <w:rsid w:val="001B7415"/>
    <w:rsid w:val="001B7482"/>
    <w:rsid w:val="001B76CE"/>
    <w:rsid w:val="001B7E5C"/>
    <w:rsid w:val="001B7FCD"/>
    <w:rsid w:val="001C0370"/>
    <w:rsid w:val="001C03B9"/>
    <w:rsid w:val="001C061C"/>
    <w:rsid w:val="001C0633"/>
    <w:rsid w:val="001C06C3"/>
    <w:rsid w:val="001C0717"/>
    <w:rsid w:val="001C0C8A"/>
    <w:rsid w:val="001C0FE3"/>
    <w:rsid w:val="001C1018"/>
    <w:rsid w:val="001C1422"/>
    <w:rsid w:val="001C144D"/>
    <w:rsid w:val="001C16A1"/>
    <w:rsid w:val="001C1C24"/>
    <w:rsid w:val="001C1DBD"/>
    <w:rsid w:val="001C1F1B"/>
    <w:rsid w:val="001C2105"/>
    <w:rsid w:val="001C21BC"/>
    <w:rsid w:val="001C25F8"/>
    <w:rsid w:val="001C26C2"/>
    <w:rsid w:val="001C28E0"/>
    <w:rsid w:val="001C28ED"/>
    <w:rsid w:val="001C2A32"/>
    <w:rsid w:val="001C2B40"/>
    <w:rsid w:val="001C2C0F"/>
    <w:rsid w:val="001C2E29"/>
    <w:rsid w:val="001C2EEF"/>
    <w:rsid w:val="001C2FF3"/>
    <w:rsid w:val="001C30D2"/>
    <w:rsid w:val="001C31EE"/>
    <w:rsid w:val="001C3A97"/>
    <w:rsid w:val="001C3C37"/>
    <w:rsid w:val="001C3D16"/>
    <w:rsid w:val="001C419E"/>
    <w:rsid w:val="001C41B9"/>
    <w:rsid w:val="001C4313"/>
    <w:rsid w:val="001C4363"/>
    <w:rsid w:val="001C43AA"/>
    <w:rsid w:val="001C4460"/>
    <w:rsid w:val="001C481E"/>
    <w:rsid w:val="001C4D0B"/>
    <w:rsid w:val="001C4D54"/>
    <w:rsid w:val="001C4FDD"/>
    <w:rsid w:val="001C50CF"/>
    <w:rsid w:val="001C52F8"/>
    <w:rsid w:val="001C557D"/>
    <w:rsid w:val="001C5694"/>
    <w:rsid w:val="001C58E1"/>
    <w:rsid w:val="001C5A48"/>
    <w:rsid w:val="001C5ABB"/>
    <w:rsid w:val="001C5DED"/>
    <w:rsid w:val="001C6077"/>
    <w:rsid w:val="001C658D"/>
    <w:rsid w:val="001C682B"/>
    <w:rsid w:val="001C6847"/>
    <w:rsid w:val="001C69A1"/>
    <w:rsid w:val="001C6A21"/>
    <w:rsid w:val="001C6CE7"/>
    <w:rsid w:val="001C6E28"/>
    <w:rsid w:val="001C6E3D"/>
    <w:rsid w:val="001C6FE1"/>
    <w:rsid w:val="001C7090"/>
    <w:rsid w:val="001C71ED"/>
    <w:rsid w:val="001C72E2"/>
    <w:rsid w:val="001C753A"/>
    <w:rsid w:val="001C76D4"/>
    <w:rsid w:val="001C76E9"/>
    <w:rsid w:val="001C784F"/>
    <w:rsid w:val="001C7A0A"/>
    <w:rsid w:val="001C7C3C"/>
    <w:rsid w:val="001C7DCC"/>
    <w:rsid w:val="001C7ED1"/>
    <w:rsid w:val="001D0132"/>
    <w:rsid w:val="001D03B2"/>
    <w:rsid w:val="001D04A7"/>
    <w:rsid w:val="001D04B5"/>
    <w:rsid w:val="001D059D"/>
    <w:rsid w:val="001D077C"/>
    <w:rsid w:val="001D078F"/>
    <w:rsid w:val="001D08DE"/>
    <w:rsid w:val="001D0A40"/>
    <w:rsid w:val="001D0A78"/>
    <w:rsid w:val="001D0ED5"/>
    <w:rsid w:val="001D1169"/>
    <w:rsid w:val="001D1720"/>
    <w:rsid w:val="001D17D4"/>
    <w:rsid w:val="001D1989"/>
    <w:rsid w:val="001D19B7"/>
    <w:rsid w:val="001D1AC0"/>
    <w:rsid w:val="001D1C1E"/>
    <w:rsid w:val="001D225D"/>
    <w:rsid w:val="001D232F"/>
    <w:rsid w:val="001D25A3"/>
    <w:rsid w:val="001D27DE"/>
    <w:rsid w:val="001D2837"/>
    <w:rsid w:val="001D2DEE"/>
    <w:rsid w:val="001D311A"/>
    <w:rsid w:val="001D3169"/>
    <w:rsid w:val="001D3380"/>
    <w:rsid w:val="001D34C8"/>
    <w:rsid w:val="001D3882"/>
    <w:rsid w:val="001D391F"/>
    <w:rsid w:val="001D3936"/>
    <w:rsid w:val="001D3A16"/>
    <w:rsid w:val="001D40FC"/>
    <w:rsid w:val="001D43DE"/>
    <w:rsid w:val="001D4429"/>
    <w:rsid w:val="001D45E5"/>
    <w:rsid w:val="001D4651"/>
    <w:rsid w:val="001D46CD"/>
    <w:rsid w:val="001D479D"/>
    <w:rsid w:val="001D4881"/>
    <w:rsid w:val="001D493E"/>
    <w:rsid w:val="001D49A3"/>
    <w:rsid w:val="001D4B52"/>
    <w:rsid w:val="001D4CF9"/>
    <w:rsid w:val="001D4F0D"/>
    <w:rsid w:val="001D5057"/>
    <w:rsid w:val="001D5C50"/>
    <w:rsid w:val="001D5FE2"/>
    <w:rsid w:val="001D62A4"/>
    <w:rsid w:val="001D6365"/>
    <w:rsid w:val="001D6707"/>
    <w:rsid w:val="001D68C7"/>
    <w:rsid w:val="001D6A73"/>
    <w:rsid w:val="001D6C9A"/>
    <w:rsid w:val="001D6CB9"/>
    <w:rsid w:val="001D6E8A"/>
    <w:rsid w:val="001D6F52"/>
    <w:rsid w:val="001D708D"/>
    <w:rsid w:val="001D7293"/>
    <w:rsid w:val="001D732B"/>
    <w:rsid w:val="001D7637"/>
    <w:rsid w:val="001D7845"/>
    <w:rsid w:val="001D7E2E"/>
    <w:rsid w:val="001E004D"/>
    <w:rsid w:val="001E01B9"/>
    <w:rsid w:val="001E043F"/>
    <w:rsid w:val="001E0D2B"/>
    <w:rsid w:val="001E1026"/>
    <w:rsid w:val="001E11DA"/>
    <w:rsid w:val="001E120A"/>
    <w:rsid w:val="001E161E"/>
    <w:rsid w:val="001E184A"/>
    <w:rsid w:val="001E1BFF"/>
    <w:rsid w:val="001E1EA8"/>
    <w:rsid w:val="001E24BE"/>
    <w:rsid w:val="001E2653"/>
    <w:rsid w:val="001E2813"/>
    <w:rsid w:val="001E2839"/>
    <w:rsid w:val="001E2944"/>
    <w:rsid w:val="001E2974"/>
    <w:rsid w:val="001E2A1F"/>
    <w:rsid w:val="001E2BC8"/>
    <w:rsid w:val="001E319A"/>
    <w:rsid w:val="001E31A7"/>
    <w:rsid w:val="001E3280"/>
    <w:rsid w:val="001E3358"/>
    <w:rsid w:val="001E3536"/>
    <w:rsid w:val="001E35E6"/>
    <w:rsid w:val="001E376C"/>
    <w:rsid w:val="001E3926"/>
    <w:rsid w:val="001E3A7D"/>
    <w:rsid w:val="001E4066"/>
    <w:rsid w:val="001E4227"/>
    <w:rsid w:val="001E4553"/>
    <w:rsid w:val="001E45C3"/>
    <w:rsid w:val="001E4ADD"/>
    <w:rsid w:val="001E4B00"/>
    <w:rsid w:val="001E4D93"/>
    <w:rsid w:val="001E4DCE"/>
    <w:rsid w:val="001E4F00"/>
    <w:rsid w:val="001E5166"/>
    <w:rsid w:val="001E51BB"/>
    <w:rsid w:val="001E52BA"/>
    <w:rsid w:val="001E5833"/>
    <w:rsid w:val="001E599A"/>
    <w:rsid w:val="001E6184"/>
    <w:rsid w:val="001E6225"/>
    <w:rsid w:val="001E625D"/>
    <w:rsid w:val="001E67AB"/>
    <w:rsid w:val="001E698B"/>
    <w:rsid w:val="001E6A5D"/>
    <w:rsid w:val="001E6C78"/>
    <w:rsid w:val="001E6F3E"/>
    <w:rsid w:val="001E716A"/>
    <w:rsid w:val="001E725C"/>
    <w:rsid w:val="001E72FA"/>
    <w:rsid w:val="001E7368"/>
    <w:rsid w:val="001E74E4"/>
    <w:rsid w:val="001E7571"/>
    <w:rsid w:val="001E7672"/>
    <w:rsid w:val="001E76DB"/>
    <w:rsid w:val="001E771B"/>
    <w:rsid w:val="001E7781"/>
    <w:rsid w:val="001E7B0F"/>
    <w:rsid w:val="001E7B67"/>
    <w:rsid w:val="001E7FD2"/>
    <w:rsid w:val="001F0000"/>
    <w:rsid w:val="001F013D"/>
    <w:rsid w:val="001F0217"/>
    <w:rsid w:val="001F0361"/>
    <w:rsid w:val="001F04BC"/>
    <w:rsid w:val="001F0765"/>
    <w:rsid w:val="001F0A72"/>
    <w:rsid w:val="001F0A9F"/>
    <w:rsid w:val="001F0B85"/>
    <w:rsid w:val="001F0BFF"/>
    <w:rsid w:val="001F0F15"/>
    <w:rsid w:val="001F0F19"/>
    <w:rsid w:val="001F1015"/>
    <w:rsid w:val="001F122F"/>
    <w:rsid w:val="001F1334"/>
    <w:rsid w:val="001F148A"/>
    <w:rsid w:val="001F15B8"/>
    <w:rsid w:val="001F16A4"/>
    <w:rsid w:val="001F177C"/>
    <w:rsid w:val="001F17F7"/>
    <w:rsid w:val="001F1923"/>
    <w:rsid w:val="001F1B2C"/>
    <w:rsid w:val="001F21F2"/>
    <w:rsid w:val="001F2260"/>
    <w:rsid w:val="001F2305"/>
    <w:rsid w:val="001F2513"/>
    <w:rsid w:val="001F2638"/>
    <w:rsid w:val="001F27AD"/>
    <w:rsid w:val="001F29E4"/>
    <w:rsid w:val="001F2B2A"/>
    <w:rsid w:val="001F31E2"/>
    <w:rsid w:val="001F3237"/>
    <w:rsid w:val="001F33FF"/>
    <w:rsid w:val="001F3A61"/>
    <w:rsid w:val="001F3D57"/>
    <w:rsid w:val="001F3DC1"/>
    <w:rsid w:val="001F3EA1"/>
    <w:rsid w:val="001F435F"/>
    <w:rsid w:val="001F454D"/>
    <w:rsid w:val="001F4AD9"/>
    <w:rsid w:val="001F4DCA"/>
    <w:rsid w:val="001F4DFF"/>
    <w:rsid w:val="001F4EAE"/>
    <w:rsid w:val="001F5614"/>
    <w:rsid w:val="001F597B"/>
    <w:rsid w:val="001F5A0A"/>
    <w:rsid w:val="001F5C1F"/>
    <w:rsid w:val="001F5C6C"/>
    <w:rsid w:val="001F5CE8"/>
    <w:rsid w:val="001F5F8D"/>
    <w:rsid w:val="001F5FD9"/>
    <w:rsid w:val="001F608E"/>
    <w:rsid w:val="001F60AA"/>
    <w:rsid w:val="001F6297"/>
    <w:rsid w:val="001F638E"/>
    <w:rsid w:val="001F662B"/>
    <w:rsid w:val="001F68C2"/>
    <w:rsid w:val="001F6AA4"/>
    <w:rsid w:val="001F6D2A"/>
    <w:rsid w:val="001F6D57"/>
    <w:rsid w:val="001F6D6D"/>
    <w:rsid w:val="001F70BC"/>
    <w:rsid w:val="001F7117"/>
    <w:rsid w:val="001F71B2"/>
    <w:rsid w:val="001F7539"/>
    <w:rsid w:val="001F7602"/>
    <w:rsid w:val="001F7A42"/>
    <w:rsid w:val="001F7B62"/>
    <w:rsid w:val="001F7DB4"/>
    <w:rsid w:val="001F7E47"/>
    <w:rsid w:val="002001DF"/>
    <w:rsid w:val="00200224"/>
    <w:rsid w:val="002002F4"/>
    <w:rsid w:val="00200947"/>
    <w:rsid w:val="00200D52"/>
    <w:rsid w:val="002013EE"/>
    <w:rsid w:val="0020185B"/>
    <w:rsid w:val="00201A88"/>
    <w:rsid w:val="00201EE3"/>
    <w:rsid w:val="00201F28"/>
    <w:rsid w:val="00202024"/>
    <w:rsid w:val="002021C4"/>
    <w:rsid w:val="00202A41"/>
    <w:rsid w:val="00202AD7"/>
    <w:rsid w:val="00202ADC"/>
    <w:rsid w:val="00202B03"/>
    <w:rsid w:val="00202B3C"/>
    <w:rsid w:val="00202C45"/>
    <w:rsid w:val="00202D52"/>
    <w:rsid w:val="00202FA1"/>
    <w:rsid w:val="0020323F"/>
    <w:rsid w:val="00203354"/>
    <w:rsid w:val="00203A80"/>
    <w:rsid w:val="0020428C"/>
    <w:rsid w:val="002044C6"/>
    <w:rsid w:val="0020463C"/>
    <w:rsid w:val="00204BAF"/>
    <w:rsid w:val="00204D04"/>
    <w:rsid w:val="00205075"/>
    <w:rsid w:val="00205145"/>
    <w:rsid w:val="002051B0"/>
    <w:rsid w:val="00205344"/>
    <w:rsid w:val="002053A6"/>
    <w:rsid w:val="002056EF"/>
    <w:rsid w:val="002057E8"/>
    <w:rsid w:val="002058AC"/>
    <w:rsid w:val="00205AA1"/>
    <w:rsid w:val="00205D19"/>
    <w:rsid w:val="00205D94"/>
    <w:rsid w:val="00205DA8"/>
    <w:rsid w:val="00205DC3"/>
    <w:rsid w:val="00205DD1"/>
    <w:rsid w:val="00205E2E"/>
    <w:rsid w:val="00205EBC"/>
    <w:rsid w:val="00205F99"/>
    <w:rsid w:val="0020663E"/>
    <w:rsid w:val="00206D38"/>
    <w:rsid w:val="002073B4"/>
    <w:rsid w:val="002074AA"/>
    <w:rsid w:val="002074CB"/>
    <w:rsid w:val="002075F5"/>
    <w:rsid w:val="0020763B"/>
    <w:rsid w:val="002076F2"/>
    <w:rsid w:val="002077CD"/>
    <w:rsid w:val="002079FD"/>
    <w:rsid w:val="00207B31"/>
    <w:rsid w:val="00207BED"/>
    <w:rsid w:val="00207C6F"/>
    <w:rsid w:val="0021007A"/>
    <w:rsid w:val="002101F4"/>
    <w:rsid w:val="00210461"/>
    <w:rsid w:val="002106C9"/>
    <w:rsid w:val="00210859"/>
    <w:rsid w:val="002108DB"/>
    <w:rsid w:val="00210A53"/>
    <w:rsid w:val="00210A9C"/>
    <w:rsid w:val="00210C20"/>
    <w:rsid w:val="00210CC2"/>
    <w:rsid w:val="00210D98"/>
    <w:rsid w:val="00210E58"/>
    <w:rsid w:val="00210FC5"/>
    <w:rsid w:val="00211081"/>
    <w:rsid w:val="002112F2"/>
    <w:rsid w:val="002113EA"/>
    <w:rsid w:val="002119E9"/>
    <w:rsid w:val="00211BF6"/>
    <w:rsid w:val="00211C37"/>
    <w:rsid w:val="00211CDC"/>
    <w:rsid w:val="00211DF9"/>
    <w:rsid w:val="00212310"/>
    <w:rsid w:val="00212471"/>
    <w:rsid w:val="0021248D"/>
    <w:rsid w:val="0021258F"/>
    <w:rsid w:val="0021275B"/>
    <w:rsid w:val="002129DA"/>
    <w:rsid w:val="00212A7C"/>
    <w:rsid w:val="00212EB3"/>
    <w:rsid w:val="00213180"/>
    <w:rsid w:val="002132E8"/>
    <w:rsid w:val="00213695"/>
    <w:rsid w:val="002136A7"/>
    <w:rsid w:val="0021384F"/>
    <w:rsid w:val="00213AE4"/>
    <w:rsid w:val="00213B0A"/>
    <w:rsid w:val="00213B22"/>
    <w:rsid w:val="0021495C"/>
    <w:rsid w:val="00214B6D"/>
    <w:rsid w:val="00214F76"/>
    <w:rsid w:val="00215864"/>
    <w:rsid w:val="00215FCE"/>
    <w:rsid w:val="002161C1"/>
    <w:rsid w:val="0021646A"/>
    <w:rsid w:val="002166A2"/>
    <w:rsid w:val="002166BF"/>
    <w:rsid w:val="002169F5"/>
    <w:rsid w:val="00216ADE"/>
    <w:rsid w:val="00216E06"/>
    <w:rsid w:val="00217158"/>
    <w:rsid w:val="00217192"/>
    <w:rsid w:val="00217389"/>
    <w:rsid w:val="002173D2"/>
    <w:rsid w:val="00217486"/>
    <w:rsid w:val="0021788F"/>
    <w:rsid w:val="00217942"/>
    <w:rsid w:val="00217A53"/>
    <w:rsid w:val="00217CAF"/>
    <w:rsid w:val="00217F65"/>
    <w:rsid w:val="00220731"/>
    <w:rsid w:val="00220C64"/>
    <w:rsid w:val="00220DD9"/>
    <w:rsid w:val="002215FD"/>
    <w:rsid w:val="00221699"/>
    <w:rsid w:val="00221B6E"/>
    <w:rsid w:val="00221BCC"/>
    <w:rsid w:val="00221C4E"/>
    <w:rsid w:val="00221E82"/>
    <w:rsid w:val="002221AE"/>
    <w:rsid w:val="002224CD"/>
    <w:rsid w:val="00222570"/>
    <w:rsid w:val="00222777"/>
    <w:rsid w:val="00222931"/>
    <w:rsid w:val="00222A6B"/>
    <w:rsid w:val="00222B3E"/>
    <w:rsid w:val="00222C91"/>
    <w:rsid w:val="00222D34"/>
    <w:rsid w:val="0022317C"/>
    <w:rsid w:val="00223307"/>
    <w:rsid w:val="00223771"/>
    <w:rsid w:val="00223BB0"/>
    <w:rsid w:val="00223BD9"/>
    <w:rsid w:val="00223D54"/>
    <w:rsid w:val="00224227"/>
    <w:rsid w:val="002242C6"/>
    <w:rsid w:val="00224341"/>
    <w:rsid w:val="0022434F"/>
    <w:rsid w:val="002244EC"/>
    <w:rsid w:val="0022453F"/>
    <w:rsid w:val="00224549"/>
    <w:rsid w:val="0022457F"/>
    <w:rsid w:val="00224586"/>
    <w:rsid w:val="00224F31"/>
    <w:rsid w:val="0022534F"/>
    <w:rsid w:val="002253C1"/>
    <w:rsid w:val="00225439"/>
    <w:rsid w:val="0022548F"/>
    <w:rsid w:val="00225525"/>
    <w:rsid w:val="00225566"/>
    <w:rsid w:val="002256C2"/>
    <w:rsid w:val="0022572A"/>
    <w:rsid w:val="002257EC"/>
    <w:rsid w:val="00225BB5"/>
    <w:rsid w:val="00225C0B"/>
    <w:rsid w:val="00225F1B"/>
    <w:rsid w:val="002264E4"/>
    <w:rsid w:val="002267E7"/>
    <w:rsid w:val="00226A20"/>
    <w:rsid w:val="00226C59"/>
    <w:rsid w:val="00226E94"/>
    <w:rsid w:val="00227528"/>
    <w:rsid w:val="00227A5B"/>
    <w:rsid w:val="00227BD6"/>
    <w:rsid w:val="00227E30"/>
    <w:rsid w:val="0023020C"/>
    <w:rsid w:val="002303FE"/>
    <w:rsid w:val="00230689"/>
    <w:rsid w:val="00230694"/>
    <w:rsid w:val="0023093B"/>
    <w:rsid w:val="00230A4B"/>
    <w:rsid w:val="00230B3D"/>
    <w:rsid w:val="00230D6C"/>
    <w:rsid w:val="00230DE1"/>
    <w:rsid w:val="00230F9E"/>
    <w:rsid w:val="00231019"/>
    <w:rsid w:val="0023125A"/>
    <w:rsid w:val="00231400"/>
    <w:rsid w:val="0023149E"/>
    <w:rsid w:val="00231507"/>
    <w:rsid w:val="00231548"/>
    <w:rsid w:val="002316A4"/>
    <w:rsid w:val="00231745"/>
    <w:rsid w:val="002317FA"/>
    <w:rsid w:val="00231CF5"/>
    <w:rsid w:val="00231D06"/>
    <w:rsid w:val="00231E72"/>
    <w:rsid w:val="002320C7"/>
    <w:rsid w:val="002320DF"/>
    <w:rsid w:val="002320EF"/>
    <w:rsid w:val="0023216D"/>
    <w:rsid w:val="002321E0"/>
    <w:rsid w:val="00232310"/>
    <w:rsid w:val="00232495"/>
    <w:rsid w:val="00232724"/>
    <w:rsid w:val="002327C5"/>
    <w:rsid w:val="002329CE"/>
    <w:rsid w:val="00232AE9"/>
    <w:rsid w:val="00232B67"/>
    <w:rsid w:val="00232C40"/>
    <w:rsid w:val="00232D25"/>
    <w:rsid w:val="00232E20"/>
    <w:rsid w:val="00232F70"/>
    <w:rsid w:val="00232FB8"/>
    <w:rsid w:val="00232FD1"/>
    <w:rsid w:val="00232FEB"/>
    <w:rsid w:val="002331E2"/>
    <w:rsid w:val="002333AB"/>
    <w:rsid w:val="002336B3"/>
    <w:rsid w:val="00233799"/>
    <w:rsid w:val="00233A87"/>
    <w:rsid w:val="00233ABE"/>
    <w:rsid w:val="0023410B"/>
    <w:rsid w:val="0023434C"/>
    <w:rsid w:val="002344A0"/>
    <w:rsid w:val="0023458A"/>
    <w:rsid w:val="002345B1"/>
    <w:rsid w:val="00234719"/>
    <w:rsid w:val="00234831"/>
    <w:rsid w:val="002348EA"/>
    <w:rsid w:val="00234B4A"/>
    <w:rsid w:val="00234C24"/>
    <w:rsid w:val="00234DDE"/>
    <w:rsid w:val="0023506E"/>
    <w:rsid w:val="002350D8"/>
    <w:rsid w:val="002359AE"/>
    <w:rsid w:val="00235CA5"/>
    <w:rsid w:val="00235E9A"/>
    <w:rsid w:val="002364A8"/>
    <w:rsid w:val="002364F4"/>
    <w:rsid w:val="00236C77"/>
    <w:rsid w:val="00236EFE"/>
    <w:rsid w:val="00237197"/>
    <w:rsid w:val="00237563"/>
    <w:rsid w:val="00237740"/>
    <w:rsid w:val="00237AD0"/>
    <w:rsid w:val="00237E34"/>
    <w:rsid w:val="00240070"/>
    <w:rsid w:val="002400C5"/>
    <w:rsid w:val="00240117"/>
    <w:rsid w:val="0024013B"/>
    <w:rsid w:val="00240634"/>
    <w:rsid w:val="00240646"/>
    <w:rsid w:val="002407A3"/>
    <w:rsid w:val="0024087A"/>
    <w:rsid w:val="00240A40"/>
    <w:rsid w:val="00241028"/>
    <w:rsid w:val="00241141"/>
    <w:rsid w:val="002411AF"/>
    <w:rsid w:val="002416E8"/>
    <w:rsid w:val="0024192E"/>
    <w:rsid w:val="00241B8A"/>
    <w:rsid w:val="00241D7C"/>
    <w:rsid w:val="00241E70"/>
    <w:rsid w:val="00241FF1"/>
    <w:rsid w:val="002421C9"/>
    <w:rsid w:val="002428CD"/>
    <w:rsid w:val="00242931"/>
    <w:rsid w:val="00242D71"/>
    <w:rsid w:val="0024328F"/>
    <w:rsid w:val="002437AF"/>
    <w:rsid w:val="002438A2"/>
    <w:rsid w:val="002439FB"/>
    <w:rsid w:val="00243BA3"/>
    <w:rsid w:val="00243DE8"/>
    <w:rsid w:val="00243F65"/>
    <w:rsid w:val="00244030"/>
    <w:rsid w:val="0024405E"/>
    <w:rsid w:val="002441ED"/>
    <w:rsid w:val="002445D5"/>
    <w:rsid w:val="002446C6"/>
    <w:rsid w:val="002448CC"/>
    <w:rsid w:val="00244A97"/>
    <w:rsid w:val="00244AB3"/>
    <w:rsid w:val="00244B08"/>
    <w:rsid w:val="00244D88"/>
    <w:rsid w:val="002452D3"/>
    <w:rsid w:val="00245389"/>
    <w:rsid w:val="00245AAA"/>
    <w:rsid w:val="00245DA3"/>
    <w:rsid w:val="00245E33"/>
    <w:rsid w:val="00246156"/>
    <w:rsid w:val="00246247"/>
    <w:rsid w:val="002463A8"/>
    <w:rsid w:val="0024667D"/>
    <w:rsid w:val="00246799"/>
    <w:rsid w:val="0024679F"/>
    <w:rsid w:val="00246CA3"/>
    <w:rsid w:val="00246DD2"/>
    <w:rsid w:val="00246F9D"/>
    <w:rsid w:val="00247066"/>
    <w:rsid w:val="00247168"/>
    <w:rsid w:val="0024731B"/>
    <w:rsid w:val="0024734D"/>
    <w:rsid w:val="00247912"/>
    <w:rsid w:val="00247B73"/>
    <w:rsid w:val="0025000A"/>
    <w:rsid w:val="00250029"/>
    <w:rsid w:val="00250169"/>
    <w:rsid w:val="00250266"/>
    <w:rsid w:val="0025066D"/>
    <w:rsid w:val="0025076F"/>
    <w:rsid w:val="00250DE4"/>
    <w:rsid w:val="0025110F"/>
    <w:rsid w:val="00251244"/>
    <w:rsid w:val="0025125F"/>
    <w:rsid w:val="00251292"/>
    <w:rsid w:val="0025132E"/>
    <w:rsid w:val="0025175A"/>
    <w:rsid w:val="002517EB"/>
    <w:rsid w:val="0025181C"/>
    <w:rsid w:val="00251977"/>
    <w:rsid w:val="00251C29"/>
    <w:rsid w:val="00251CA4"/>
    <w:rsid w:val="002520E5"/>
    <w:rsid w:val="002520EE"/>
    <w:rsid w:val="00252372"/>
    <w:rsid w:val="00252976"/>
    <w:rsid w:val="00252A7D"/>
    <w:rsid w:val="00252BBE"/>
    <w:rsid w:val="002533EC"/>
    <w:rsid w:val="00253639"/>
    <w:rsid w:val="0025366D"/>
    <w:rsid w:val="0025368F"/>
    <w:rsid w:val="00253723"/>
    <w:rsid w:val="002538BF"/>
    <w:rsid w:val="00253976"/>
    <w:rsid w:val="00253D95"/>
    <w:rsid w:val="00253DB2"/>
    <w:rsid w:val="00253F18"/>
    <w:rsid w:val="00254020"/>
    <w:rsid w:val="00254095"/>
    <w:rsid w:val="002540CD"/>
    <w:rsid w:val="002540FB"/>
    <w:rsid w:val="0025411B"/>
    <w:rsid w:val="00254225"/>
    <w:rsid w:val="002544B7"/>
    <w:rsid w:val="002545EE"/>
    <w:rsid w:val="00254620"/>
    <w:rsid w:val="00254835"/>
    <w:rsid w:val="00254A60"/>
    <w:rsid w:val="00254C8C"/>
    <w:rsid w:val="00254E89"/>
    <w:rsid w:val="00255185"/>
    <w:rsid w:val="002551F1"/>
    <w:rsid w:val="00255317"/>
    <w:rsid w:val="00255327"/>
    <w:rsid w:val="00255417"/>
    <w:rsid w:val="002555E5"/>
    <w:rsid w:val="00255CEC"/>
    <w:rsid w:val="00255DA3"/>
    <w:rsid w:val="00255DE9"/>
    <w:rsid w:val="00255E60"/>
    <w:rsid w:val="00255F6D"/>
    <w:rsid w:val="00256027"/>
    <w:rsid w:val="00256402"/>
    <w:rsid w:val="002568EA"/>
    <w:rsid w:val="002569C6"/>
    <w:rsid w:val="0025736C"/>
    <w:rsid w:val="0025752C"/>
    <w:rsid w:val="002575F7"/>
    <w:rsid w:val="00257673"/>
    <w:rsid w:val="002576AC"/>
    <w:rsid w:val="00257A15"/>
    <w:rsid w:val="00257A73"/>
    <w:rsid w:val="00257B99"/>
    <w:rsid w:val="00257D96"/>
    <w:rsid w:val="00257E41"/>
    <w:rsid w:val="00260327"/>
    <w:rsid w:val="00260609"/>
    <w:rsid w:val="00260785"/>
    <w:rsid w:val="00260996"/>
    <w:rsid w:val="00260A5A"/>
    <w:rsid w:val="00260B09"/>
    <w:rsid w:val="0026108A"/>
    <w:rsid w:val="0026168D"/>
    <w:rsid w:val="002618A6"/>
    <w:rsid w:val="00261996"/>
    <w:rsid w:val="00261D14"/>
    <w:rsid w:val="00261EFD"/>
    <w:rsid w:val="0026229B"/>
    <w:rsid w:val="00262387"/>
    <w:rsid w:val="0026264C"/>
    <w:rsid w:val="00262A4F"/>
    <w:rsid w:val="00262D4B"/>
    <w:rsid w:val="00263012"/>
    <w:rsid w:val="00263068"/>
    <w:rsid w:val="002633FD"/>
    <w:rsid w:val="002637D5"/>
    <w:rsid w:val="00263831"/>
    <w:rsid w:val="002640E1"/>
    <w:rsid w:val="00264BA3"/>
    <w:rsid w:val="00264C99"/>
    <w:rsid w:val="00264CAA"/>
    <w:rsid w:val="00264E8D"/>
    <w:rsid w:val="00264EAD"/>
    <w:rsid w:val="00264F82"/>
    <w:rsid w:val="0026513B"/>
    <w:rsid w:val="00265462"/>
    <w:rsid w:val="0026551E"/>
    <w:rsid w:val="00265751"/>
    <w:rsid w:val="002657AB"/>
    <w:rsid w:val="002657B0"/>
    <w:rsid w:val="00265CC3"/>
    <w:rsid w:val="00265D1F"/>
    <w:rsid w:val="00266141"/>
    <w:rsid w:val="00266182"/>
    <w:rsid w:val="002664C5"/>
    <w:rsid w:val="0026667B"/>
    <w:rsid w:val="0026675C"/>
    <w:rsid w:val="00266B76"/>
    <w:rsid w:val="002670A3"/>
    <w:rsid w:val="002670D1"/>
    <w:rsid w:val="00267187"/>
    <w:rsid w:val="002672D1"/>
    <w:rsid w:val="00267381"/>
    <w:rsid w:val="0026741A"/>
    <w:rsid w:val="002676A9"/>
    <w:rsid w:val="00267713"/>
    <w:rsid w:val="00267877"/>
    <w:rsid w:val="00267896"/>
    <w:rsid w:val="00267B95"/>
    <w:rsid w:val="00267D78"/>
    <w:rsid w:val="00267EE7"/>
    <w:rsid w:val="002702E3"/>
    <w:rsid w:val="00270406"/>
    <w:rsid w:val="002704EE"/>
    <w:rsid w:val="002705B8"/>
    <w:rsid w:val="002705EA"/>
    <w:rsid w:val="0027066B"/>
    <w:rsid w:val="0027080D"/>
    <w:rsid w:val="0027083E"/>
    <w:rsid w:val="00270A62"/>
    <w:rsid w:val="0027145E"/>
    <w:rsid w:val="00271540"/>
    <w:rsid w:val="002717B9"/>
    <w:rsid w:val="00271C2F"/>
    <w:rsid w:val="00271D6C"/>
    <w:rsid w:val="00271F40"/>
    <w:rsid w:val="0027216A"/>
    <w:rsid w:val="00272276"/>
    <w:rsid w:val="0027231A"/>
    <w:rsid w:val="00272FF9"/>
    <w:rsid w:val="0027352E"/>
    <w:rsid w:val="002738D5"/>
    <w:rsid w:val="00273A40"/>
    <w:rsid w:val="00273B22"/>
    <w:rsid w:val="00273F7C"/>
    <w:rsid w:val="00273FE1"/>
    <w:rsid w:val="0027457D"/>
    <w:rsid w:val="0027460E"/>
    <w:rsid w:val="002746DF"/>
    <w:rsid w:val="00274816"/>
    <w:rsid w:val="002748D1"/>
    <w:rsid w:val="002749BC"/>
    <w:rsid w:val="00274B0D"/>
    <w:rsid w:val="00274E8A"/>
    <w:rsid w:val="00275313"/>
    <w:rsid w:val="00275365"/>
    <w:rsid w:val="002753A1"/>
    <w:rsid w:val="00275867"/>
    <w:rsid w:val="00275A77"/>
    <w:rsid w:val="00275D5F"/>
    <w:rsid w:val="00275E42"/>
    <w:rsid w:val="00275F21"/>
    <w:rsid w:val="00276405"/>
    <w:rsid w:val="0027650F"/>
    <w:rsid w:val="002767EA"/>
    <w:rsid w:val="00276A49"/>
    <w:rsid w:val="00276B24"/>
    <w:rsid w:val="00276BB0"/>
    <w:rsid w:val="0027739F"/>
    <w:rsid w:val="002779CF"/>
    <w:rsid w:val="00277E2D"/>
    <w:rsid w:val="00277F3C"/>
    <w:rsid w:val="00277F54"/>
    <w:rsid w:val="00277F8D"/>
    <w:rsid w:val="00280513"/>
    <w:rsid w:val="00280A80"/>
    <w:rsid w:val="00280AD1"/>
    <w:rsid w:val="00280CAD"/>
    <w:rsid w:val="00280CCF"/>
    <w:rsid w:val="00280EC8"/>
    <w:rsid w:val="0028106D"/>
    <w:rsid w:val="002811E8"/>
    <w:rsid w:val="0028144A"/>
    <w:rsid w:val="002816AA"/>
    <w:rsid w:val="00281712"/>
    <w:rsid w:val="00281746"/>
    <w:rsid w:val="00281762"/>
    <w:rsid w:val="00281931"/>
    <w:rsid w:val="00281C58"/>
    <w:rsid w:val="00281C5C"/>
    <w:rsid w:val="00281C92"/>
    <w:rsid w:val="0028249C"/>
    <w:rsid w:val="00282CF1"/>
    <w:rsid w:val="00282F1B"/>
    <w:rsid w:val="0028307E"/>
    <w:rsid w:val="002831D1"/>
    <w:rsid w:val="00283887"/>
    <w:rsid w:val="00283BFE"/>
    <w:rsid w:val="00283E96"/>
    <w:rsid w:val="00283F67"/>
    <w:rsid w:val="002844B4"/>
    <w:rsid w:val="0028470A"/>
    <w:rsid w:val="002847D4"/>
    <w:rsid w:val="002849FB"/>
    <w:rsid w:val="00284DC4"/>
    <w:rsid w:val="00284E7D"/>
    <w:rsid w:val="002852DD"/>
    <w:rsid w:val="0028531C"/>
    <w:rsid w:val="0028541E"/>
    <w:rsid w:val="00285428"/>
    <w:rsid w:val="00285912"/>
    <w:rsid w:val="00285BB2"/>
    <w:rsid w:val="00285C89"/>
    <w:rsid w:val="00285D4B"/>
    <w:rsid w:val="00285DE5"/>
    <w:rsid w:val="00285EED"/>
    <w:rsid w:val="00286061"/>
    <w:rsid w:val="00286339"/>
    <w:rsid w:val="00286543"/>
    <w:rsid w:val="002865DC"/>
    <w:rsid w:val="00286628"/>
    <w:rsid w:val="00286EDB"/>
    <w:rsid w:val="00286F88"/>
    <w:rsid w:val="002879E6"/>
    <w:rsid w:val="00287CBC"/>
    <w:rsid w:val="00287DB0"/>
    <w:rsid w:val="0029001F"/>
    <w:rsid w:val="002901ED"/>
    <w:rsid w:val="00290369"/>
    <w:rsid w:val="00290663"/>
    <w:rsid w:val="00290784"/>
    <w:rsid w:val="00290819"/>
    <w:rsid w:val="00290AA9"/>
    <w:rsid w:val="00291005"/>
    <w:rsid w:val="0029102A"/>
    <w:rsid w:val="002910C4"/>
    <w:rsid w:val="002910E5"/>
    <w:rsid w:val="002912E0"/>
    <w:rsid w:val="00291377"/>
    <w:rsid w:val="002913C8"/>
    <w:rsid w:val="002913FE"/>
    <w:rsid w:val="0029150D"/>
    <w:rsid w:val="0029156D"/>
    <w:rsid w:val="002916EE"/>
    <w:rsid w:val="0029185C"/>
    <w:rsid w:val="00291B80"/>
    <w:rsid w:val="00291B99"/>
    <w:rsid w:val="002922E8"/>
    <w:rsid w:val="002927B6"/>
    <w:rsid w:val="0029292B"/>
    <w:rsid w:val="00292945"/>
    <w:rsid w:val="00292B99"/>
    <w:rsid w:val="00292C1E"/>
    <w:rsid w:val="00292CDF"/>
    <w:rsid w:val="00292FF6"/>
    <w:rsid w:val="0029324D"/>
    <w:rsid w:val="002934D9"/>
    <w:rsid w:val="00293AB3"/>
    <w:rsid w:val="00293DA7"/>
    <w:rsid w:val="00293EBE"/>
    <w:rsid w:val="00293FA1"/>
    <w:rsid w:val="002946B9"/>
    <w:rsid w:val="00294768"/>
    <w:rsid w:val="00294D4C"/>
    <w:rsid w:val="00294D4D"/>
    <w:rsid w:val="00294ED9"/>
    <w:rsid w:val="00294FB5"/>
    <w:rsid w:val="00295030"/>
    <w:rsid w:val="002950A3"/>
    <w:rsid w:val="0029523A"/>
    <w:rsid w:val="00295555"/>
    <w:rsid w:val="00295790"/>
    <w:rsid w:val="0029581A"/>
    <w:rsid w:val="0029598E"/>
    <w:rsid w:val="00295A56"/>
    <w:rsid w:val="00295B07"/>
    <w:rsid w:val="00295FE8"/>
    <w:rsid w:val="00296155"/>
    <w:rsid w:val="00296F31"/>
    <w:rsid w:val="002978FD"/>
    <w:rsid w:val="00297949"/>
    <w:rsid w:val="00297AB6"/>
    <w:rsid w:val="00297C6A"/>
    <w:rsid w:val="00297CEC"/>
    <w:rsid w:val="00297F08"/>
    <w:rsid w:val="002A0018"/>
    <w:rsid w:val="002A01A3"/>
    <w:rsid w:val="002A02C0"/>
    <w:rsid w:val="002A0376"/>
    <w:rsid w:val="002A03C8"/>
    <w:rsid w:val="002A04FA"/>
    <w:rsid w:val="002A060C"/>
    <w:rsid w:val="002A0AE1"/>
    <w:rsid w:val="002A0C47"/>
    <w:rsid w:val="002A0D73"/>
    <w:rsid w:val="002A103A"/>
    <w:rsid w:val="002A12EE"/>
    <w:rsid w:val="002A1358"/>
    <w:rsid w:val="002A13F6"/>
    <w:rsid w:val="002A14DB"/>
    <w:rsid w:val="002A17D5"/>
    <w:rsid w:val="002A17F6"/>
    <w:rsid w:val="002A213E"/>
    <w:rsid w:val="002A24CD"/>
    <w:rsid w:val="002A2520"/>
    <w:rsid w:val="002A260D"/>
    <w:rsid w:val="002A2678"/>
    <w:rsid w:val="002A2864"/>
    <w:rsid w:val="002A2C79"/>
    <w:rsid w:val="002A2CC4"/>
    <w:rsid w:val="002A3053"/>
    <w:rsid w:val="002A324C"/>
    <w:rsid w:val="002A3312"/>
    <w:rsid w:val="002A38C2"/>
    <w:rsid w:val="002A3D17"/>
    <w:rsid w:val="002A3D25"/>
    <w:rsid w:val="002A3D37"/>
    <w:rsid w:val="002A4007"/>
    <w:rsid w:val="002A432A"/>
    <w:rsid w:val="002A449E"/>
    <w:rsid w:val="002A4703"/>
    <w:rsid w:val="002A495E"/>
    <w:rsid w:val="002A498B"/>
    <w:rsid w:val="002A4B81"/>
    <w:rsid w:val="002A4B93"/>
    <w:rsid w:val="002A4D08"/>
    <w:rsid w:val="002A5467"/>
    <w:rsid w:val="002A5538"/>
    <w:rsid w:val="002A5563"/>
    <w:rsid w:val="002A68FA"/>
    <w:rsid w:val="002A6B16"/>
    <w:rsid w:val="002A6D14"/>
    <w:rsid w:val="002A6D6B"/>
    <w:rsid w:val="002A6DDC"/>
    <w:rsid w:val="002A6E09"/>
    <w:rsid w:val="002A6FE6"/>
    <w:rsid w:val="002A7249"/>
    <w:rsid w:val="002A77C9"/>
    <w:rsid w:val="002A7B6E"/>
    <w:rsid w:val="002A7C3A"/>
    <w:rsid w:val="002A7C8D"/>
    <w:rsid w:val="002B00B9"/>
    <w:rsid w:val="002B013A"/>
    <w:rsid w:val="002B04D3"/>
    <w:rsid w:val="002B050F"/>
    <w:rsid w:val="002B076B"/>
    <w:rsid w:val="002B0936"/>
    <w:rsid w:val="002B0974"/>
    <w:rsid w:val="002B0DF8"/>
    <w:rsid w:val="002B0E60"/>
    <w:rsid w:val="002B10EE"/>
    <w:rsid w:val="002B1340"/>
    <w:rsid w:val="002B1A0F"/>
    <w:rsid w:val="002B2294"/>
    <w:rsid w:val="002B248F"/>
    <w:rsid w:val="002B2C0C"/>
    <w:rsid w:val="002B326D"/>
    <w:rsid w:val="002B32AD"/>
    <w:rsid w:val="002B36C5"/>
    <w:rsid w:val="002B37B6"/>
    <w:rsid w:val="002B3820"/>
    <w:rsid w:val="002B3B4C"/>
    <w:rsid w:val="002B3C2B"/>
    <w:rsid w:val="002B3DE3"/>
    <w:rsid w:val="002B3FC6"/>
    <w:rsid w:val="002B444E"/>
    <w:rsid w:val="002B4779"/>
    <w:rsid w:val="002B47AB"/>
    <w:rsid w:val="002B4D7C"/>
    <w:rsid w:val="002B4D80"/>
    <w:rsid w:val="002B4F4E"/>
    <w:rsid w:val="002B5247"/>
    <w:rsid w:val="002B525B"/>
    <w:rsid w:val="002B5A8C"/>
    <w:rsid w:val="002B5B4F"/>
    <w:rsid w:val="002B65A5"/>
    <w:rsid w:val="002B6679"/>
    <w:rsid w:val="002B69AF"/>
    <w:rsid w:val="002B6CEE"/>
    <w:rsid w:val="002B6DD1"/>
    <w:rsid w:val="002B6DDA"/>
    <w:rsid w:val="002B72F6"/>
    <w:rsid w:val="002B73F4"/>
    <w:rsid w:val="002B7421"/>
    <w:rsid w:val="002B7A6C"/>
    <w:rsid w:val="002B7F8D"/>
    <w:rsid w:val="002B7FD9"/>
    <w:rsid w:val="002B7FEA"/>
    <w:rsid w:val="002C0189"/>
    <w:rsid w:val="002C0320"/>
    <w:rsid w:val="002C039B"/>
    <w:rsid w:val="002C03E1"/>
    <w:rsid w:val="002C0645"/>
    <w:rsid w:val="002C0727"/>
    <w:rsid w:val="002C0B58"/>
    <w:rsid w:val="002C0C06"/>
    <w:rsid w:val="002C0C0E"/>
    <w:rsid w:val="002C0C5C"/>
    <w:rsid w:val="002C0D08"/>
    <w:rsid w:val="002C1019"/>
    <w:rsid w:val="002C11E2"/>
    <w:rsid w:val="002C15BB"/>
    <w:rsid w:val="002C1A29"/>
    <w:rsid w:val="002C1AFE"/>
    <w:rsid w:val="002C1B71"/>
    <w:rsid w:val="002C1C5A"/>
    <w:rsid w:val="002C1CF9"/>
    <w:rsid w:val="002C1CFB"/>
    <w:rsid w:val="002C1EFE"/>
    <w:rsid w:val="002C2288"/>
    <w:rsid w:val="002C252D"/>
    <w:rsid w:val="002C2542"/>
    <w:rsid w:val="002C25FE"/>
    <w:rsid w:val="002C2971"/>
    <w:rsid w:val="002C2D50"/>
    <w:rsid w:val="002C2E61"/>
    <w:rsid w:val="002C2EA5"/>
    <w:rsid w:val="002C3205"/>
    <w:rsid w:val="002C338C"/>
    <w:rsid w:val="002C33A2"/>
    <w:rsid w:val="002C374B"/>
    <w:rsid w:val="002C3AF6"/>
    <w:rsid w:val="002C3BE2"/>
    <w:rsid w:val="002C3C2B"/>
    <w:rsid w:val="002C3F50"/>
    <w:rsid w:val="002C4668"/>
    <w:rsid w:val="002C482F"/>
    <w:rsid w:val="002C4F2E"/>
    <w:rsid w:val="002C5478"/>
    <w:rsid w:val="002C568E"/>
    <w:rsid w:val="002C5818"/>
    <w:rsid w:val="002C5850"/>
    <w:rsid w:val="002C5A5E"/>
    <w:rsid w:val="002C5A9E"/>
    <w:rsid w:val="002C5ABF"/>
    <w:rsid w:val="002C5BAF"/>
    <w:rsid w:val="002C5EEC"/>
    <w:rsid w:val="002C5EFA"/>
    <w:rsid w:val="002C6024"/>
    <w:rsid w:val="002C6124"/>
    <w:rsid w:val="002C6361"/>
    <w:rsid w:val="002C645C"/>
    <w:rsid w:val="002C6B38"/>
    <w:rsid w:val="002C6E09"/>
    <w:rsid w:val="002C6E76"/>
    <w:rsid w:val="002C6F37"/>
    <w:rsid w:val="002C7000"/>
    <w:rsid w:val="002C737B"/>
    <w:rsid w:val="002C7726"/>
    <w:rsid w:val="002C772B"/>
    <w:rsid w:val="002C7A57"/>
    <w:rsid w:val="002C7B47"/>
    <w:rsid w:val="002C7E5C"/>
    <w:rsid w:val="002D00FA"/>
    <w:rsid w:val="002D0105"/>
    <w:rsid w:val="002D08AD"/>
    <w:rsid w:val="002D0941"/>
    <w:rsid w:val="002D0AA6"/>
    <w:rsid w:val="002D0C85"/>
    <w:rsid w:val="002D0FF7"/>
    <w:rsid w:val="002D1178"/>
    <w:rsid w:val="002D130D"/>
    <w:rsid w:val="002D1498"/>
    <w:rsid w:val="002D16BC"/>
    <w:rsid w:val="002D197A"/>
    <w:rsid w:val="002D1C3D"/>
    <w:rsid w:val="002D2085"/>
    <w:rsid w:val="002D21E8"/>
    <w:rsid w:val="002D228C"/>
    <w:rsid w:val="002D2391"/>
    <w:rsid w:val="002D2547"/>
    <w:rsid w:val="002D26E9"/>
    <w:rsid w:val="002D27DF"/>
    <w:rsid w:val="002D3311"/>
    <w:rsid w:val="002D337A"/>
    <w:rsid w:val="002D363D"/>
    <w:rsid w:val="002D3963"/>
    <w:rsid w:val="002D399A"/>
    <w:rsid w:val="002D39B7"/>
    <w:rsid w:val="002D3CE6"/>
    <w:rsid w:val="002D3E63"/>
    <w:rsid w:val="002D4099"/>
    <w:rsid w:val="002D472D"/>
    <w:rsid w:val="002D4846"/>
    <w:rsid w:val="002D491F"/>
    <w:rsid w:val="002D4B45"/>
    <w:rsid w:val="002D4B83"/>
    <w:rsid w:val="002D4D31"/>
    <w:rsid w:val="002D4EBF"/>
    <w:rsid w:val="002D4F2B"/>
    <w:rsid w:val="002D508B"/>
    <w:rsid w:val="002D5153"/>
    <w:rsid w:val="002D52C1"/>
    <w:rsid w:val="002D52FB"/>
    <w:rsid w:val="002D541B"/>
    <w:rsid w:val="002D587C"/>
    <w:rsid w:val="002D5AB1"/>
    <w:rsid w:val="002D6261"/>
    <w:rsid w:val="002D6339"/>
    <w:rsid w:val="002D65B1"/>
    <w:rsid w:val="002D660C"/>
    <w:rsid w:val="002D6851"/>
    <w:rsid w:val="002D6D8A"/>
    <w:rsid w:val="002D6F8F"/>
    <w:rsid w:val="002D7083"/>
    <w:rsid w:val="002D738A"/>
    <w:rsid w:val="002D766D"/>
    <w:rsid w:val="002D7F9C"/>
    <w:rsid w:val="002D7F9F"/>
    <w:rsid w:val="002E0170"/>
    <w:rsid w:val="002E0185"/>
    <w:rsid w:val="002E0366"/>
    <w:rsid w:val="002E0389"/>
    <w:rsid w:val="002E039E"/>
    <w:rsid w:val="002E099A"/>
    <w:rsid w:val="002E09E2"/>
    <w:rsid w:val="002E0C1A"/>
    <w:rsid w:val="002E0F21"/>
    <w:rsid w:val="002E0F76"/>
    <w:rsid w:val="002E192D"/>
    <w:rsid w:val="002E1A4A"/>
    <w:rsid w:val="002E1AF3"/>
    <w:rsid w:val="002E1B3D"/>
    <w:rsid w:val="002E1C11"/>
    <w:rsid w:val="002E1C30"/>
    <w:rsid w:val="002E245E"/>
    <w:rsid w:val="002E2763"/>
    <w:rsid w:val="002E27D2"/>
    <w:rsid w:val="002E2A0F"/>
    <w:rsid w:val="002E2A75"/>
    <w:rsid w:val="002E2BB1"/>
    <w:rsid w:val="002E2D76"/>
    <w:rsid w:val="002E2FC3"/>
    <w:rsid w:val="002E3176"/>
    <w:rsid w:val="002E3231"/>
    <w:rsid w:val="002E35DE"/>
    <w:rsid w:val="002E37F6"/>
    <w:rsid w:val="002E3DBB"/>
    <w:rsid w:val="002E3DCD"/>
    <w:rsid w:val="002E4138"/>
    <w:rsid w:val="002E44ED"/>
    <w:rsid w:val="002E4A54"/>
    <w:rsid w:val="002E4A9E"/>
    <w:rsid w:val="002E4BA9"/>
    <w:rsid w:val="002E4CF5"/>
    <w:rsid w:val="002E53AC"/>
    <w:rsid w:val="002E547D"/>
    <w:rsid w:val="002E5697"/>
    <w:rsid w:val="002E57C5"/>
    <w:rsid w:val="002E581D"/>
    <w:rsid w:val="002E5887"/>
    <w:rsid w:val="002E58CB"/>
    <w:rsid w:val="002E5927"/>
    <w:rsid w:val="002E5B35"/>
    <w:rsid w:val="002E5F6A"/>
    <w:rsid w:val="002E6142"/>
    <w:rsid w:val="002E6321"/>
    <w:rsid w:val="002E635B"/>
    <w:rsid w:val="002E6409"/>
    <w:rsid w:val="002E655C"/>
    <w:rsid w:val="002E6637"/>
    <w:rsid w:val="002E6669"/>
    <w:rsid w:val="002E6907"/>
    <w:rsid w:val="002E6939"/>
    <w:rsid w:val="002E6D41"/>
    <w:rsid w:val="002E6E2A"/>
    <w:rsid w:val="002E73F8"/>
    <w:rsid w:val="002E771E"/>
    <w:rsid w:val="002E7A0A"/>
    <w:rsid w:val="002E7F64"/>
    <w:rsid w:val="002F053D"/>
    <w:rsid w:val="002F0540"/>
    <w:rsid w:val="002F05A2"/>
    <w:rsid w:val="002F0885"/>
    <w:rsid w:val="002F0A0C"/>
    <w:rsid w:val="002F0B16"/>
    <w:rsid w:val="002F0C50"/>
    <w:rsid w:val="002F0EBD"/>
    <w:rsid w:val="002F149C"/>
    <w:rsid w:val="002F1693"/>
    <w:rsid w:val="002F181B"/>
    <w:rsid w:val="002F18C1"/>
    <w:rsid w:val="002F205E"/>
    <w:rsid w:val="002F21B1"/>
    <w:rsid w:val="002F2293"/>
    <w:rsid w:val="002F23CB"/>
    <w:rsid w:val="002F2416"/>
    <w:rsid w:val="002F249F"/>
    <w:rsid w:val="002F275E"/>
    <w:rsid w:val="002F28C8"/>
    <w:rsid w:val="002F305A"/>
    <w:rsid w:val="002F30BA"/>
    <w:rsid w:val="002F323B"/>
    <w:rsid w:val="002F344C"/>
    <w:rsid w:val="002F3572"/>
    <w:rsid w:val="002F3B16"/>
    <w:rsid w:val="002F3FC7"/>
    <w:rsid w:val="002F43F5"/>
    <w:rsid w:val="002F4818"/>
    <w:rsid w:val="002F48E6"/>
    <w:rsid w:val="002F4B44"/>
    <w:rsid w:val="002F4CB3"/>
    <w:rsid w:val="002F5315"/>
    <w:rsid w:val="002F5875"/>
    <w:rsid w:val="002F58E6"/>
    <w:rsid w:val="002F5BF5"/>
    <w:rsid w:val="002F5C89"/>
    <w:rsid w:val="002F5CAC"/>
    <w:rsid w:val="002F5D23"/>
    <w:rsid w:val="002F5D60"/>
    <w:rsid w:val="002F5EC8"/>
    <w:rsid w:val="002F6399"/>
    <w:rsid w:val="002F658F"/>
    <w:rsid w:val="002F663B"/>
    <w:rsid w:val="002F683B"/>
    <w:rsid w:val="002F68A7"/>
    <w:rsid w:val="002F6938"/>
    <w:rsid w:val="002F6966"/>
    <w:rsid w:val="002F6BA6"/>
    <w:rsid w:val="002F6C92"/>
    <w:rsid w:val="002F6CCD"/>
    <w:rsid w:val="002F6CEC"/>
    <w:rsid w:val="002F6E03"/>
    <w:rsid w:val="002F724F"/>
    <w:rsid w:val="002F7338"/>
    <w:rsid w:val="002F735C"/>
    <w:rsid w:val="002F7479"/>
    <w:rsid w:val="002F7922"/>
    <w:rsid w:val="002F7C8E"/>
    <w:rsid w:val="002F7EDD"/>
    <w:rsid w:val="00300289"/>
    <w:rsid w:val="00300401"/>
    <w:rsid w:val="00300468"/>
    <w:rsid w:val="00300B77"/>
    <w:rsid w:val="00300CA3"/>
    <w:rsid w:val="00300E1A"/>
    <w:rsid w:val="00300E77"/>
    <w:rsid w:val="003010E5"/>
    <w:rsid w:val="00301195"/>
    <w:rsid w:val="003011B3"/>
    <w:rsid w:val="003011D3"/>
    <w:rsid w:val="0030151B"/>
    <w:rsid w:val="003018B6"/>
    <w:rsid w:val="00301A54"/>
    <w:rsid w:val="00301BD6"/>
    <w:rsid w:val="00301DED"/>
    <w:rsid w:val="00301DF7"/>
    <w:rsid w:val="003026EA"/>
    <w:rsid w:val="00302860"/>
    <w:rsid w:val="003029B0"/>
    <w:rsid w:val="00302C3F"/>
    <w:rsid w:val="00302DC3"/>
    <w:rsid w:val="003033C2"/>
    <w:rsid w:val="003033E9"/>
    <w:rsid w:val="003035D1"/>
    <w:rsid w:val="0030398A"/>
    <w:rsid w:val="00303C34"/>
    <w:rsid w:val="00303C3E"/>
    <w:rsid w:val="00303CBA"/>
    <w:rsid w:val="00303D5D"/>
    <w:rsid w:val="00303D9A"/>
    <w:rsid w:val="00304434"/>
    <w:rsid w:val="003044CC"/>
    <w:rsid w:val="00304559"/>
    <w:rsid w:val="00304701"/>
    <w:rsid w:val="00304DD9"/>
    <w:rsid w:val="00304E2C"/>
    <w:rsid w:val="003053BC"/>
    <w:rsid w:val="003053EB"/>
    <w:rsid w:val="00305AE9"/>
    <w:rsid w:val="00305B6B"/>
    <w:rsid w:val="00305D7F"/>
    <w:rsid w:val="00305DEF"/>
    <w:rsid w:val="0030602D"/>
    <w:rsid w:val="003060F9"/>
    <w:rsid w:val="0030644F"/>
    <w:rsid w:val="0030650A"/>
    <w:rsid w:val="00306600"/>
    <w:rsid w:val="00306A27"/>
    <w:rsid w:val="00306B5A"/>
    <w:rsid w:val="00306C96"/>
    <w:rsid w:val="00306D7A"/>
    <w:rsid w:val="00306E36"/>
    <w:rsid w:val="00306E78"/>
    <w:rsid w:val="00306F76"/>
    <w:rsid w:val="003070E4"/>
    <w:rsid w:val="00307187"/>
    <w:rsid w:val="0030771A"/>
    <w:rsid w:val="00307813"/>
    <w:rsid w:val="00307A9B"/>
    <w:rsid w:val="00307CA1"/>
    <w:rsid w:val="00307CA6"/>
    <w:rsid w:val="00307F1E"/>
    <w:rsid w:val="00310038"/>
    <w:rsid w:val="00310315"/>
    <w:rsid w:val="00310378"/>
    <w:rsid w:val="003103E9"/>
    <w:rsid w:val="003104BA"/>
    <w:rsid w:val="00310549"/>
    <w:rsid w:val="003105C5"/>
    <w:rsid w:val="00310828"/>
    <w:rsid w:val="00310F12"/>
    <w:rsid w:val="00310FEC"/>
    <w:rsid w:val="00311190"/>
    <w:rsid w:val="00311290"/>
    <w:rsid w:val="00311718"/>
    <w:rsid w:val="003117E4"/>
    <w:rsid w:val="00311A8C"/>
    <w:rsid w:val="00311AF2"/>
    <w:rsid w:val="00311CA7"/>
    <w:rsid w:val="00312006"/>
    <w:rsid w:val="0031204E"/>
    <w:rsid w:val="00312519"/>
    <w:rsid w:val="00312549"/>
    <w:rsid w:val="0031294A"/>
    <w:rsid w:val="00312C11"/>
    <w:rsid w:val="00312C9B"/>
    <w:rsid w:val="00312EF9"/>
    <w:rsid w:val="00312F50"/>
    <w:rsid w:val="00312F8A"/>
    <w:rsid w:val="003130C3"/>
    <w:rsid w:val="003135ED"/>
    <w:rsid w:val="00313648"/>
    <w:rsid w:val="0031391D"/>
    <w:rsid w:val="00313BD5"/>
    <w:rsid w:val="00313D31"/>
    <w:rsid w:val="00313E57"/>
    <w:rsid w:val="00314057"/>
    <w:rsid w:val="00314190"/>
    <w:rsid w:val="00314307"/>
    <w:rsid w:val="00314656"/>
    <w:rsid w:val="003147BE"/>
    <w:rsid w:val="00314F3D"/>
    <w:rsid w:val="00314F80"/>
    <w:rsid w:val="00314FB8"/>
    <w:rsid w:val="00315296"/>
    <w:rsid w:val="003153F5"/>
    <w:rsid w:val="00315449"/>
    <w:rsid w:val="00315508"/>
    <w:rsid w:val="00315BB7"/>
    <w:rsid w:val="00315F53"/>
    <w:rsid w:val="003160B9"/>
    <w:rsid w:val="0031615C"/>
    <w:rsid w:val="003163ED"/>
    <w:rsid w:val="00316476"/>
    <w:rsid w:val="003167C2"/>
    <w:rsid w:val="0031710A"/>
    <w:rsid w:val="00317349"/>
    <w:rsid w:val="00317771"/>
    <w:rsid w:val="00317780"/>
    <w:rsid w:val="00317796"/>
    <w:rsid w:val="00317B41"/>
    <w:rsid w:val="00317E78"/>
    <w:rsid w:val="00317F6B"/>
    <w:rsid w:val="00320322"/>
    <w:rsid w:val="0032033A"/>
    <w:rsid w:val="0032042F"/>
    <w:rsid w:val="003204D0"/>
    <w:rsid w:val="00320BD6"/>
    <w:rsid w:val="00320DAC"/>
    <w:rsid w:val="00321063"/>
    <w:rsid w:val="0032154B"/>
    <w:rsid w:val="00321752"/>
    <w:rsid w:val="00321AB5"/>
    <w:rsid w:val="00321ABF"/>
    <w:rsid w:val="00321F23"/>
    <w:rsid w:val="003220A3"/>
    <w:rsid w:val="003223EE"/>
    <w:rsid w:val="00322723"/>
    <w:rsid w:val="003227A5"/>
    <w:rsid w:val="003229C5"/>
    <w:rsid w:val="00322CB4"/>
    <w:rsid w:val="0032350B"/>
    <w:rsid w:val="00323982"/>
    <w:rsid w:val="00323BCD"/>
    <w:rsid w:val="00323BF1"/>
    <w:rsid w:val="00323CC7"/>
    <w:rsid w:val="003241ED"/>
    <w:rsid w:val="0032482A"/>
    <w:rsid w:val="00324946"/>
    <w:rsid w:val="003249F8"/>
    <w:rsid w:val="00324A4A"/>
    <w:rsid w:val="00324E6A"/>
    <w:rsid w:val="00325087"/>
    <w:rsid w:val="0032509A"/>
    <w:rsid w:val="00325664"/>
    <w:rsid w:val="00325949"/>
    <w:rsid w:val="00325CE5"/>
    <w:rsid w:val="00325D30"/>
    <w:rsid w:val="00325DD1"/>
    <w:rsid w:val="00325E80"/>
    <w:rsid w:val="0032639C"/>
    <w:rsid w:val="0032675F"/>
    <w:rsid w:val="0032687A"/>
    <w:rsid w:val="00326DF8"/>
    <w:rsid w:val="00326E5B"/>
    <w:rsid w:val="0032744C"/>
    <w:rsid w:val="0032746F"/>
    <w:rsid w:val="00327739"/>
    <w:rsid w:val="00327772"/>
    <w:rsid w:val="00327794"/>
    <w:rsid w:val="0032786E"/>
    <w:rsid w:val="00327AE5"/>
    <w:rsid w:val="00327BA8"/>
    <w:rsid w:val="00330274"/>
    <w:rsid w:val="00330388"/>
    <w:rsid w:val="003305B4"/>
    <w:rsid w:val="003306A5"/>
    <w:rsid w:val="00330712"/>
    <w:rsid w:val="0033075E"/>
    <w:rsid w:val="00330AD6"/>
    <w:rsid w:val="00330B28"/>
    <w:rsid w:val="00330BD2"/>
    <w:rsid w:val="00330E03"/>
    <w:rsid w:val="00330F7D"/>
    <w:rsid w:val="00331553"/>
    <w:rsid w:val="00331D04"/>
    <w:rsid w:val="00331D05"/>
    <w:rsid w:val="00331D9E"/>
    <w:rsid w:val="00331EB4"/>
    <w:rsid w:val="00332259"/>
    <w:rsid w:val="00332613"/>
    <w:rsid w:val="0033265B"/>
    <w:rsid w:val="003326DE"/>
    <w:rsid w:val="00332A47"/>
    <w:rsid w:val="00332BE0"/>
    <w:rsid w:val="00333236"/>
    <w:rsid w:val="003332C6"/>
    <w:rsid w:val="0033339A"/>
    <w:rsid w:val="0033347C"/>
    <w:rsid w:val="0033391F"/>
    <w:rsid w:val="00333CCF"/>
    <w:rsid w:val="00333EA9"/>
    <w:rsid w:val="003342D3"/>
    <w:rsid w:val="0033436F"/>
    <w:rsid w:val="003346DB"/>
    <w:rsid w:val="003349F2"/>
    <w:rsid w:val="00334A17"/>
    <w:rsid w:val="00334CD5"/>
    <w:rsid w:val="00334D5D"/>
    <w:rsid w:val="0033519E"/>
    <w:rsid w:val="003351F0"/>
    <w:rsid w:val="00335560"/>
    <w:rsid w:val="00335695"/>
    <w:rsid w:val="003358D1"/>
    <w:rsid w:val="003358DB"/>
    <w:rsid w:val="00335923"/>
    <w:rsid w:val="00335B2C"/>
    <w:rsid w:val="00335D9D"/>
    <w:rsid w:val="003360AD"/>
    <w:rsid w:val="00336447"/>
    <w:rsid w:val="00336861"/>
    <w:rsid w:val="003368DA"/>
    <w:rsid w:val="00336A0F"/>
    <w:rsid w:val="00336B09"/>
    <w:rsid w:val="00336B9F"/>
    <w:rsid w:val="00336C58"/>
    <w:rsid w:val="00336DE9"/>
    <w:rsid w:val="00336F6A"/>
    <w:rsid w:val="0033701F"/>
    <w:rsid w:val="00337071"/>
    <w:rsid w:val="003371BB"/>
    <w:rsid w:val="00337337"/>
    <w:rsid w:val="00337441"/>
    <w:rsid w:val="00337942"/>
    <w:rsid w:val="00337BDF"/>
    <w:rsid w:val="00337F17"/>
    <w:rsid w:val="0034095E"/>
    <w:rsid w:val="00340DFB"/>
    <w:rsid w:val="003410DD"/>
    <w:rsid w:val="00341339"/>
    <w:rsid w:val="0034139A"/>
    <w:rsid w:val="003416A4"/>
    <w:rsid w:val="00341C65"/>
    <w:rsid w:val="00341DA9"/>
    <w:rsid w:val="0034207A"/>
    <w:rsid w:val="003423CA"/>
    <w:rsid w:val="003424AE"/>
    <w:rsid w:val="003425A3"/>
    <w:rsid w:val="00342879"/>
    <w:rsid w:val="00342998"/>
    <w:rsid w:val="00342CA4"/>
    <w:rsid w:val="00342CE4"/>
    <w:rsid w:val="00342E19"/>
    <w:rsid w:val="00343097"/>
    <w:rsid w:val="0034313A"/>
    <w:rsid w:val="003432B4"/>
    <w:rsid w:val="0034381F"/>
    <w:rsid w:val="003438E2"/>
    <w:rsid w:val="0034403E"/>
    <w:rsid w:val="003443EC"/>
    <w:rsid w:val="00344660"/>
    <w:rsid w:val="003448EB"/>
    <w:rsid w:val="00344B2B"/>
    <w:rsid w:val="00344B64"/>
    <w:rsid w:val="00344DF1"/>
    <w:rsid w:val="00344F28"/>
    <w:rsid w:val="00345163"/>
    <w:rsid w:val="00345185"/>
    <w:rsid w:val="00345298"/>
    <w:rsid w:val="003455E3"/>
    <w:rsid w:val="003459EE"/>
    <w:rsid w:val="00345FDD"/>
    <w:rsid w:val="003461BC"/>
    <w:rsid w:val="003462FC"/>
    <w:rsid w:val="003469CF"/>
    <w:rsid w:val="003470A2"/>
    <w:rsid w:val="003474E1"/>
    <w:rsid w:val="0034774F"/>
    <w:rsid w:val="003478FC"/>
    <w:rsid w:val="0034796C"/>
    <w:rsid w:val="00347976"/>
    <w:rsid w:val="00347C09"/>
    <w:rsid w:val="00350274"/>
    <w:rsid w:val="003506D0"/>
    <w:rsid w:val="00350792"/>
    <w:rsid w:val="003507BA"/>
    <w:rsid w:val="00350888"/>
    <w:rsid w:val="0035088F"/>
    <w:rsid w:val="003508ED"/>
    <w:rsid w:val="003508F8"/>
    <w:rsid w:val="00350C8A"/>
    <w:rsid w:val="00350CE0"/>
    <w:rsid w:val="00350D85"/>
    <w:rsid w:val="00351196"/>
    <w:rsid w:val="003511B3"/>
    <w:rsid w:val="0035164B"/>
    <w:rsid w:val="00351810"/>
    <w:rsid w:val="00351B66"/>
    <w:rsid w:val="00351D46"/>
    <w:rsid w:val="00352582"/>
    <w:rsid w:val="00352681"/>
    <w:rsid w:val="00352ABA"/>
    <w:rsid w:val="00352B82"/>
    <w:rsid w:val="00352D65"/>
    <w:rsid w:val="00352D92"/>
    <w:rsid w:val="003530C2"/>
    <w:rsid w:val="0035334C"/>
    <w:rsid w:val="003534A8"/>
    <w:rsid w:val="003534CE"/>
    <w:rsid w:val="00353531"/>
    <w:rsid w:val="00353D47"/>
    <w:rsid w:val="00354335"/>
    <w:rsid w:val="00354745"/>
    <w:rsid w:val="0035477A"/>
    <w:rsid w:val="00354ADF"/>
    <w:rsid w:val="00354C03"/>
    <w:rsid w:val="00355380"/>
    <w:rsid w:val="003553EB"/>
    <w:rsid w:val="003554AD"/>
    <w:rsid w:val="0035558A"/>
    <w:rsid w:val="003556E4"/>
    <w:rsid w:val="00355802"/>
    <w:rsid w:val="003558B7"/>
    <w:rsid w:val="003558C3"/>
    <w:rsid w:val="00355911"/>
    <w:rsid w:val="00355D0C"/>
    <w:rsid w:val="00356047"/>
    <w:rsid w:val="00356049"/>
    <w:rsid w:val="00356125"/>
    <w:rsid w:val="0035645B"/>
    <w:rsid w:val="00356759"/>
    <w:rsid w:val="00356B55"/>
    <w:rsid w:val="00356B9C"/>
    <w:rsid w:val="00356CE8"/>
    <w:rsid w:val="00356EEC"/>
    <w:rsid w:val="00356F59"/>
    <w:rsid w:val="00356F73"/>
    <w:rsid w:val="00357468"/>
    <w:rsid w:val="0035781C"/>
    <w:rsid w:val="00357A95"/>
    <w:rsid w:val="00357AC0"/>
    <w:rsid w:val="00357B9E"/>
    <w:rsid w:val="00357D24"/>
    <w:rsid w:val="00360017"/>
    <w:rsid w:val="00360067"/>
    <w:rsid w:val="00360169"/>
    <w:rsid w:val="00360767"/>
    <w:rsid w:val="003609AA"/>
    <w:rsid w:val="00360B64"/>
    <w:rsid w:val="00360C96"/>
    <w:rsid w:val="00360E59"/>
    <w:rsid w:val="00360EC2"/>
    <w:rsid w:val="00360F2A"/>
    <w:rsid w:val="00360FC4"/>
    <w:rsid w:val="00361262"/>
    <w:rsid w:val="0036129C"/>
    <w:rsid w:val="00361395"/>
    <w:rsid w:val="0036175C"/>
    <w:rsid w:val="003618FF"/>
    <w:rsid w:val="00361C09"/>
    <w:rsid w:val="00361D7A"/>
    <w:rsid w:val="00362095"/>
    <w:rsid w:val="00362114"/>
    <w:rsid w:val="00362392"/>
    <w:rsid w:val="00362848"/>
    <w:rsid w:val="00362DA2"/>
    <w:rsid w:val="00363391"/>
    <w:rsid w:val="00363D09"/>
    <w:rsid w:val="0036407C"/>
    <w:rsid w:val="003641CD"/>
    <w:rsid w:val="0036431A"/>
    <w:rsid w:val="0036463C"/>
    <w:rsid w:val="00364673"/>
    <w:rsid w:val="0036474E"/>
    <w:rsid w:val="00364767"/>
    <w:rsid w:val="003647C2"/>
    <w:rsid w:val="00364993"/>
    <w:rsid w:val="00364CCB"/>
    <w:rsid w:val="00364F64"/>
    <w:rsid w:val="00364F68"/>
    <w:rsid w:val="0036528E"/>
    <w:rsid w:val="003653DC"/>
    <w:rsid w:val="003653F2"/>
    <w:rsid w:val="0036548A"/>
    <w:rsid w:val="003654D3"/>
    <w:rsid w:val="003654E1"/>
    <w:rsid w:val="00365A7D"/>
    <w:rsid w:val="00365C71"/>
    <w:rsid w:val="00365D06"/>
    <w:rsid w:val="00366075"/>
    <w:rsid w:val="00366236"/>
    <w:rsid w:val="003668C6"/>
    <w:rsid w:val="00366E8C"/>
    <w:rsid w:val="00366F75"/>
    <w:rsid w:val="0036722F"/>
    <w:rsid w:val="003672BE"/>
    <w:rsid w:val="003673A0"/>
    <w:rsid w:val="00367416"/>
    <w:rsid w:val="003675CA"/>
    <w:rsid w:val="003677D9"/>
    <w:rsid w:val="003678EB"/>
    <w:rsid w:val="00367AC5"/>
    <w:rsid w:val="00367D84"/>
    <w:rsid w:val="00370326"/>
    <w:rsid w:val="00370467"/>
    <w:rsid w:val="0037060A"/>
    <w:rsid w:val="00370C04"/>
    <w:rsid w:val="00370EFB"/>
    <w:rsid w:val="00371026"/>
    <w:rsid w:val="00371531"/>
    <w:rsid w:val="003716A5"/>
    <w:rsid w:val="00371759"/>
    <w:rsid w:val="003719CD"/>
    <w:rsid w:val="00371A2F"/>
    <w:rsid w:val="00371CF7"/>
    <w:rsid w:val="00372121"/>
    <w:rsid w:val="0037223B"/>
    <w:rsid w:val="003722B6"/>
    <w:rsid w:val="003727A2"/>
    <w:rsid w:val="003728AA"/>
    <w:rsid w:val="0037295C"/>
    <w:rsid w:val="00372B96"/>
    <w:rsid w:val="003734BA"/>
    <w:rsid w:val="003734F7"/>
    <w:rsid w:val="00373834"/>
    <w:rsid w:val="00373841"/>
    <w:rsid w:val="00373891"/>
    <w:rsid w:val="00373A1A"/>
    <w:rsid w:val="00373B3F"/>
    <w:rsid w:val="00373C57"/>
    <w:rsid w:val="00373D89"/>
    <w:rsid w:val="00374076"/>
    <w:rsid w:val="003740C4"/>
    <w:rsid w:val="00374101"/>
    <w:rsid w:val="003745B1"/>
    <w:rsid w:val="003747B4"/>
    <w:rsid w:val="00374851"/>
    <w:rsid w:val="00374CAB"/>
    <w:rsid w:val="00374D58"/>
    <w:rsid w:val="00374F2F"/>
    <w:rsid w:val="0037518E"/>
    <w:rsid w:val="003753FC"/>
    <w:rsid w:val="00375482"/>
    <w:rsid w:val="003755E7"/>
    <w:rsid w:val="003757D1"/>
    <w:rsid w:val="003759DF"/>
    <w:rsid w:val="00375CF1"/>
    <w:rsid w:val="00375EFA"/>
    <w:rsid w:val="0037632C"/>
    <w:rsid w:val="00376408"/>
    <w:rsid w:val="00376846"/>
    <w:rsid w:val="003769AA"/>
    <w:rsid w:val="00376B62"/>
    <w:rsid w:val="00376CCE"/>
    <w:rsid w:val="003772C5"/>
    <w:rsid w:val="00377470"/>
    <w:rsid w:val="0037751B"/>
    <w:rsid w:val="00377527"/>
    <w:rsid w:val="0037758E"/>
    <w:rsid w:val="00377755"/>
    <w:rsid w:val="003777EE"/>
    <w:rsid w:val="00377831"/>
    <w:rsid w:val="0037786E"/>
    <w:rsid w:val="0037794D"/>
    <w:rsid w:val="00377AAC"/>
    <w:rsid w:val="00377B00"/>
    <w:rsid w:val="00377E0E"/>
    <w:rsid w:val="0038016D"/>
    <w:rsid w:val="00380688"/>
    <w:rsid w:val="00380BE9"/>
    <w:rsid w:val="00380CA3"/>
    <w:rsid w:val="00380ECD"/>
    <w:rsid w:val="00380F10"/>
    <w:rsid w:val="0038140F"/>
    <w:rsid w:val="00381550"/>
    <w:rsid w:val="00381E05"/>
    <w:rsid w:val="0038213F"/>
    <w:rsid w:val="0038241B"/>
    <w:rsid w:val="00382573"/>
    <w:rsid w:val="003826E5"/>
    <w:rsid w:val="003827CF"/>
    <w:rsid w:val="003828CB"/>
    <w:rsid w:val="00382DC2"/>
    <w:rsid w:val="00382DCF"/>
    <w:rsid w:val="00382FEB"/>
    <w:rsid w:val="00383043"/>
    <w:rsid w:val="00383288"/>
    <w:rsid w:val="003833C6"/>
    <w:rsid w:val="003833E2"/>
    <w:rsid w:val="0038344C"/>
    <w:rsid w:val="00384089"/>
    <w:rsid w:val="003844BF"/>
    <w:rsid w:val="003844F8"/>
    <w:rsid w:val="0038478C"/>
    <w:rsid w:val="003848AA"/>
    <w:rsid w:val="003849F0"/>
    <w:rsid w:val="00384B29"/>
    <w:rsid w:val="0038503A"/>
    <w:rsid w:val="003851A4"/>
    <w:rsid w:val="00385231"/>
    <w:rsid w:val="00385536"/>
    <w:rsid w:val="00385C9B"/>
    <w:rsid w:val="003862A8"/>
    <w:rsid w:val="003864AD"/>
    <w:rsid w:val="00386556"/>
    <w:rsid w:val="0038659B"/>
    <w:rsid w:val="003866D5"/>
    <w:rsid w:val="003869C9"/>
    <w:rsid w:val="00386C0B"/>
    <w:rsid w:val="00386F0D"/>
    <w:rsid w:val="0038732E"/>
    <w:rsid w:val="0038742A"/>
    <w:rsid w:val="00387673"/>
    <w:rsid w:val="003876B8"/>
    <w:rsid w:val="0038793B"/>
    <w:rsid w:val="00390066"/>
    <w:rsid w:val="003903B8"/>
    <w:rsid w:val="003904C9"/>
    <w:rsid w:val="003904D9"/>
    <w:rsid w:val="003905B6"/>
    <w:rsid w:val="00390797"/>
    <w:rsid w:val="003909CA"/>
    <w:rsid w:val="00390BE6"/>
    <w:rsid w:val="00390F67"/>
    <w:rsid w:val="00390FFB"/>
    <w:rsid w:val="003912F2"/>
    <w:rsid w:val="00391328"/>
    <w:rsid w:val="00391369"/>
    <w:rsid w:val="003916D3"/>
    <w:rsid w:val="00392010"/>
    <w:rsid w:val="00392375"/>
    <w:rsid w:val="00392ADB"/>
    <w:rsid w:val="00392BCB"/>
    <w:rsid w:val="00392C19"/>
    <w:rsid w:val="00393308"/>
    <w:rsid w:val="00393509"/>
    <w:rsid w:val="00393998"/>
    <w:rsid w:val="00393BEA"/>
    <w:rsid w:val="00393CD0"/>
    <w:rsid w:val="0039405B"/>
    <w:rsid w:val="00394132"/>
    <w:rsid w:val="003943E7"/>
    <w:rsid w:val="00394691"/>
    <w:rsid w:val="003946BE"/>
    <w:rsid w:val="00394741"/>
    <w:rsid w:val="00394A3B"/>
    <w:rsid w:val="00394C5E"/>
    <w:rsid w:val="00394E8A"/>
    <w:rsid w:val="00394EC3"/>
    <w:rsid w:val="00394ED6"/>
    <w:rsid w:val="00395065"/>
    <w:rsid w:val="00395112"/>
    <w:rsid w:val="00395419"/>
    <w:rsid w:val="003955AB"/>
    <w:rsid w:val="003955C0"/>
    <w:rsid w:val="00395745"/>
    <w:rsid w:val="003957F0"/>
    <w:rsid w:val="00395C7D"/>
    <w:rsid w:val="00395E81"/>
    <w:rsid w:val="00395F12"/>
    <w:rsid w:val="0039628C"/>
    <w:rsid w:val="00396387"/>
    <w:rsid w:val="00396954"/>
    <w:rsid w:val="003969DC"/>
    <w:rsid w:val="00396BA6"/>
    <w:rsid w:val="00397010"/>
    <w:rsid w:val="003970F8"/>
    <w:rsid w:val="00397196"/>
    <w:rsid w:val="0039755F"/>
    <w:rsid w:val="00397623"/>
    <w:rsid w:val="003976B0"/>
    <w:rsid w:val="00397B2E"/>
    <w:rsid w:val="00397C94"/>
    <w:rsid w:val="00397CA8"/>
    <w:rsid w:val="00397D9C"/>
    <w:rsid w:val="00397E0C"/>
    <w:rsid w:val="003A00A6"/>
    <w:rsid w:val="003A01A2"/>
    <w:rsid w:val="003A037D"/>
    <w:rsid w:val="003A0447"/>
    <w:rsid w:val="003A0578"/>
    <w:rsid w:val="003A07AA"/>
    <w:rsid w:val="003A083E"/>
    <w:rsid w:val="003A0A5F"/>
    <w:rsid w:val="003A1025"/>
    <w:rsid w:val="003A143C"/>
    <w:rsid w:val="003A1659"/>
    <w:rsid w:val="003A172E"/>
    <w:rsid w:val="003A19C7"/>
    <w:rsid w:val="003A1B70"/>
    <w:rsid w:val="003A2043"/>
    <w:rsid w:val="003A206A"/>
    <w:rsid w:val="003A23D5"/>
    <w:rsid w:val="003A244E"/>
    <w:rsid w:val="003A2B06"/>
    <w:rsid w:val="003A2B5B"/>
    <w:rsid w:val="003A2F7D"/>
    <w:rsid w:val="003A3079"/>
    <w:rsid w:val="003A31B1"/>
    <w:rsid w:val="003A3348"/>
    <w:rsid w:val="003A371E"/>
    <w:rsid w:val="003A375D"/>
    <w:rsid w:val="003A3B01"/>
    <w:rsid w:val="003A3B12"/>
    <w:rsid w:val="003A413D"/>
    <w:rsid w:val="003A42B7"/>
    <w:rsid w:val="003A4320"/>
    <w:rsid w:val="003A4859"/>
    <w:rsid w:val="003A4C60"/>
    <w:rsid w:val="003A4E42"/>
    <w:rsid w:val="003A51BE"/>
    <w:rsid w:val="003A564C"/>
    <w:rsid w:val="003A574E"/>
    <w:rsid w:val="003A5986"/>
    <w:rsid w:val="003A5B9F"/>
    <w:rsid w:val="003A5D2C"/>
    <w:rsid w:val="003A5D59"/>
    <w:rsid w:val="003A6457"/>
    <w:rsid w:val="003A6480"/>
    <w:rsid w:val="003A6526"/>
    <w:rsid w:val="003A6A18"/>
    <w:rsid w:val="003A6C4B"/>
    <w:rsid w:val="003A7334"/>
    <w:rsid w:val="003A7428"/>
    <w:rsid w:val="003A752A"/>
    <w:rsid w:val="003A7B95"/>
    <w:rsid w:val="003A7E69"/>
    <w:rsid w:val="003A7F84"/>
    <w:rsid w:val="003B0680"/>
    <w:rsid w:val="003B086F"/>
    <w:rsid w:val="003B0EE0"/>
    <w:rsid w:val="003B10EA"/>
    <w:rsid w:val="003B14C2"/>
    <w:rsid w:val="003B15F8"/>
    <w:rsid w:val="003B1710"/>
    <w:rsid w:val="003B1919"/>
    <w:rsid w:val="003B1C0F"/>
    <w:rsid w:val="003B1CEB"/>
    <w:rsid w:val="003B1DAF"/>
    <w:rsid w:val="003B201B"/>
    <w:rsid w:val="003B20DA"/>
    <w:rsid w:val="003B2580"/>
    <w:rsid w:val="003B25BA"/>
    <w:rsid w:val="003B267B"/>
    <w:rsid w:val="003B2837"/>
    <w:rsid w:val="003B2A48"/>
    <w:rsid w:val="003B2B36"/>
    <w:rsid w:val="003B30E2"/>
    <w:rsid w:val="003B314D"/>
    <w:rsid w:val="003B3299"/>
    <w:rsid w:val="003B33EE"/>
    <w:rsid w:val="003B34A3"/>
    <w:rsid w:val="003B3883"/>
    <w:rsid w:val="003B3A38"/>
    <w:rsid w:val="003B3AF1"/>
    <w:rsid w:val="003B3DBB"/>
    <w:rsid w:val="003B408D"/>
    <w:rsid w:val="003B43E6"/>
    <w:rsid w:val="003B442F"/>
    <w:rsid w:val="003B47C0"/>
    <w:rsid w:val="003B4838"/>
    <w:rsid w:val="003B49A0"/>
    <w:rsid w:val="003B4A12"/>
    <w:rsid w:val="003B4BD6"/>
    <w:rsid w:val="003B4D1E"/>
    <w:rsid w:val="003B4DDF"/>
    <w:rsid w:val="003B4DEF"/>
    <w:rsid w:val="003B4EC5"/>
    <w:rsid w:val="003B50B0"/>
    <w:rsid w:val="003B50DF"/>
    <w:rsid w:val="003B51D0"/>
    <w:rsid w:val="003B5316"/>
    <w:rsid w:val="003B532A"/>
    <w:rsid w:val="003B5B51"/>
    <w:rsid w:val="003B5CEF"/>
    <w:rsid w:val="003B5D2C"/>
    <w:rsid w:val="003B5D5D"/>
    <w:rsid w:val="003B5EBA"/>
    <w:rsid w:val="003B5EE5"/>
    <w:rsid w:val="003B5FB8"/>
    <w:rsid w:val="003B6249"/>
    <w:rsid w:val="003B66E7"/>
    <w:rsid w:val="003B68A8"/>
    <w:rsid w:val="003B6B62"/>
    <w:rsid w:val="003B6C5C"/>
    <w:rsid w:val="003B6EC9"/>
    <w:rsid w:val="003B6ECD"/>
    <w:rsid w:val="003B6FAB"/>
    <w:rsid w:val="003B724D"/>
    <w:rsid w:val="003B7340"/>
    <w:rsid w:val="003B74B7"/>
    <w:rsid w:val="003B75A6"/>
    <w:rsid w:val="003B761D"/>
    <w:rsid w:val="003B7767"/>
    <w:rsid w:val="003B79D0"/>
    <w:rsid w:val="003B79FE"/>
    <w:rsid w:val="003B7A53"/>
    <w:rsid w:val="003B7ABC"/>
    <w:rsid w:val="003B7C22"/>
    <w:rsid w:val="003B7CED"/>
    <w:rsid w:val="003B7D06"/>
    <w:rsid w:val="003B7D7B"/>
    <w:rsid w:val="003B7DC1"/>
    <w:rsid w:val="003B7EFD"/>
    <w:rsid w:val="003C00E6"/>
    <w:rsid w:val="003C01EC"/>
    <w:rsid w:val="003C0AEA"/>
    <w:rsid w:val="003C1019"/>
    <w:rsid w:val="003C1145"/>
    <w:rsid w:val="003C12DB"/>
    <w:rsid w:val="003C13D2"/>
    <w:rsid w:val="003C14E1"/>
    <w:rsid w:val="003C16B8"/>
    <w:rsid w:val="003C1D62"/>
    <w:rsid w:val="003C22F7"/>
    <w:rsid w:val="003C236D"/>
    <w:rsid w:val="003C28E8"/>
    <w:rsid w:val="003C2A38"/>
    <w:rsid w:val="003C2ADC"/>
    <w:rsid w:val="003C2D06"/>
    <w:rsid w:val="003C2D86"/>
    <w:rsid w:val="003C3121"/>
    <w:rsid w:val="003C3387"/>
    <w:rsid w:val="003C36E6"/>
    <w:rsid w:val="003C378F"/>
    <w:rsid w:val="003C3886"/>
    <w:rsid w:val="003C3E22"/>
    <w:rsid w:val="003C3E55"/>
    <w:rsid w:val="003C40DA"/>
    <w:rsid w:val="003C4275"/>
    <w:rsid w:val="003C44FC"/>
    <w:rsid w:val="003C4704"/>
    <w:rsid w:val="003C4745"/>
    <w:rsid w:val="003C48CA"/>
    <w:rsid w:val="003C4906"/>
    <w:rsid w:val="003C49FA"/>
    <w:rsid w:val="003C4AC7"/>
    <w:rsid w:val="003C4C0F"/>
    <w:rsid w:val="003C4FD4"/>
    <w:rsid w:val="003C501A"/>
    <w:rsid w:val="003C5156"/>
    <w:rsid w:val="003C5895"/>
    <w:rsid w:val="003C58A0"/>
    <w:rsid w:val="003C5B9C"/>
    <w:rsid w:val="003C5BB3"/>
    <w:rsid w:val="003C5C75"/>
    <w:rsid w:val="003C5F8E"/>
    <w:rsid w:val="003C61DC"/>
    <w:rsid w:val="003C656A"/>
    <w:rsid w:val="003C65B0"/>
    <w:rsid w:val="003C6809"/>
    <w:rsid w:val="003C699B"/>
    <w:rsid w:val="003C6C2A"/>
    <w:rsid w:val="003C7204"/>
    <w:rsid w:val="003C7562"/>
    <w:rsid w:val="003C75F5"/>
    <w:rsid w:val="003C7624"/>
    <w:rsid w:val="003C77EF"/>
    <w:rsid w:val="003C77FB"/>
    <w:rsid w:val="003C7822"/>
    <w:rsid w:val="003C78E8"/>
    <w:rsid w:val="003C7B46"/>
    <w:rsid w:val="003C7BEE"/>
    <w:rsid w:val="003C7CB6"/>
    <w:rsid w:val="003C7CFA"/>
    <w:rsid w:val="003C7E38"/>
    <w:rsid w:val="003C7E6F"/>
    <w:rsid w:val="003D0092"/>
    <w:rsid w:val="003D0664"/>
    <w:rsid w:val="003D06C1"/>
    <w:rsid w:val="003D0983"/>
    <w:rsid w:val="003D09A9"/>
    <w:rsid w:val="003D0DFD"/>
    <w:rsid w:val="003D0E91"/>
    <w:rsid w:val="003D129A"/>
    <w:rsid w:val="003D13FB"/>
    <w:rsid w:val="003D14E0"/>
    <w:rsid w:val="003D1536"/>
    <w:rsid w:val="003D180B"/>
    <w:rsid w:val="003D18B4"/>
    <w:rsid w:val="003D19EB"/>
    <w:rsid w:val="003D1A03"/>
    <w:rsid w:val="003D1CAA"/>
    <w:rsid w:val="003D1D98"/>
    <w:rsid w:val="003D1E20"/>
    <w:rsid w:val="003D231D"/>
    <w:rsid w:val="003D2562"/>
    <w:rsid w:val="003D27C7"/>
    <w:rsid w:val="003D2B0B"/>
    <w:rsid w:val="003D2B2B"/>
    <w:rsid w:val="003D3050"/>
    <w:rsid w:val="003D3254"/>
    <w:rsid w:val="003D3935"/>
    <w:rsid w:val="003D3969"/>
    <w:rsid w:val="003D3F53"/>
    <w:rsid w:val="003D4057"/>
    <w:rsid w:val="003D406B"/>
    <w:rsid w:val="003D4175"/>
    <w:rsid w:val="003D4213"/>
    <w:rsid w:val="003D4CF5"/>
    <w:rsid w:val="003D4E3F"/>
    <w:rsid w:val="003D4FBC"/>
    <w:rsid w:val="003D52D7"/>
    <w:rsid w:val="003D5326"/>
    <w:rsid w:val="003D5687"/>
    <w:rsid w:val="003D56BA"/>
    <w:rsid w:val="003D598C"/>
    <w:rsid w:val="003D5B65"/>
    <w:rsid w:val="003D5BCD"/>
    <w:rsid w:val="003D5D29"/>
    <w:rsid w:val="003D5D30"/>
    <w:rsid w:val="003D5D7A"/>
    <w:rsid w:val="003D6163"/>
    <w:rsid w:val="003D6636"/>
    <w:rsid w:val="003D6666"/>
    <w:rsid w:val="003D69AE"/>
    <w:rsid w:val="003D6A97"/>
    <w:rsid w:val="003D6E3B"/>
    <w:rsid w:val="003D6EEC"/>
    <w:rsid w:val="003D70F6"/>
    <w:rsid w:val="003D738B"/>
    <w:rsid w:val="003D799A"/>
    <w:rsid w:val="003D7A55"/>
    <w:rsid w:val="003D7B48"/>
    <w:rsid w:val="003D7C54"/>
    <w:rsid w:val="003D7E8A"/>
    <w:rsid w:val="003E0002"/>
    <w:rsid w:val="003E0189"/>
    <w:rsid w:val="003E05F6"/>
    <w:rsid w:val="003E0638"/>
    <w:rsid w:val="003E064E"/>
    <w:rsid w:val="003E069F"/>
    <w:rsid w:val="003E0854"/>
    <w:rsid w:val="003E093E"/>
    <w:rsid w:val="003E0A13"/>
    <w:rsid w:val="003E0D85"/>
    <w:rsid w:val="003E0EDB"/>
    <w:rsid w:val="003E0F17"/>
    <w:rsid w:val="003E1000"/>
    <w:rsid w:val="003E1492"/>
    <w:rsid w:val="003E14D9"/>
    <w:rsid w:val="003E17ED"/>
    <w:rsid w:val="003E19C9"/>
    <w:rsid w:val="003E1AF2"/>
    <w:rsid w:val="003E1D66"/>
    <w:rsid w:val="003E2051"/>
    <w:rsid w:val="003E251A"/>
    <w:rsid w:val="003E27B2"/>
    <w:rsid w:val="003E2A75"/>
    <w:rsid w:val="003E2AC8"/>
    <w:rsid w:val="003E2E2E"/>
    <w:rsid w:val="003E2E34"/>
    <w:rsid w:val="003E30AF"/>
    <w:rsid w:val="003E3328"/>
    <w:rsid w:val="003E3348"/>
    <w:rsid w:val="003E338E"/>
    <w:rsid w:val="003E3392"/>
    <w:rsid w:val="003E347F"/>
    <w:rsid w:val="003E35C1"/>
    <w:rsid w:val="003E3665"/>
    <w:rsid w:val="003E3691"/>
    <w:rsid w:val="003E3A77"/>
    <w:rsid w:val="003E3B45"/>
    <w:rsid w:val="003E3E22"/>
    <w:rsid w:val="003E4312"/>
    <w:rsid w:val="003E438D"/>
    <w:rsid w:val="003E4491"/>
    <w:rsid w:val="003E4697"/>
    <w:rsid w:val="003E4BF6"/>
    <w:rsid w:val="003E4DB5"/>
    <w:rsid w:val="003E50C8"/>
    <w:rsid w:val="003E52B2"/>
    <w:rsid w:val="003E56E0"/>
    <w:rsid w:val="003E5DB5"/>
    <w:rsid w:val="003E6082"/>
    <w:rsid w:val="003E6263"/>
    <w:rsid w:val="003E639D"/>
    <w:rsid w:val="003E63C3"/>
    <w:rsid w:val="003E6432"/>
    <w:rsid w:val="003E65F7"/>
    <w:rsid w:val="003E6C0D"/>
    <w:rsid w:val="003E6E09"/>
    <w:rsid w:val="003E6F54"/>
    <w:rsid w:val="003E703D"/>
    <w:rsid w:val="003E72F9"/>
    <w:rsid w:val="003E773B"/>
    <w:rsid w:val="003E7AC2"/>
    <w:rsid w:val="003E7F28"/>
    <w:rsid w:val="003F008D"/>
    <w:rsid w:val="003F04CE"/>
    <w:rsid w:val="003F05E1"/>
    <w:rsid w:val="003F0898"/>
    <w:rsid w:val="003F08D6"/>
    <w:rsid w:val="003F08F9"/>
    <w:rsid w:val="003F0C9E"/>
    <w:rsid w:val="003F0F23"/>
    <w:rsid w:val="003F0F29"/>
    <w:rsid w:val="003F0F94"/>
    <w:rsid w:val="003F0FEB"/>
    <w:rsid w:val="003F1238"/>
    <w:rsid w:val="003F18E3"/>
    <w:rsid w:val="003F1BA3"/>
    <w:rsid w:val="003F1D40"/>
    <w:rsid w:val="003F1F75"/>
    <w:rsid w:val="003F20BC"/>
    <w:rsid w:val="003F27CD"/>
    <w:rsid w:val="003F286C"/>
    <w:rsid w:val="003F29DC"/>
    <w:rsid w:val="003F2A10"/>
    <w:rsid w:val="003F2A3B"/>
    <w:rsid w:val="003F2B53"/>
    <w:rsid w:val="003F2BC6"/>
    <w:rsid w:val="003F2E12"/>
    <w:rsid w:val="003F307A"/>
    <w:rsid w:val="003F31CD"/>
    <w:rsid w:val="003F3706"/>
    <w:rsid w:val="003F3946"/>
    <w:rsid w:val="003F396A"/>
    <w:rsid w:val="003F3A79"/>
    <w:rsid w:val="003F4363"/>
    <w:rsid w:val="003F4506"/>
    <w:rsid w:val="003F457A"/>
    <w:rsid w:val="003F46EC"/>
    <w:rsid w:val="003F4B18"/>
    <w:rsid w:val="003F4B3F"/>
    <w:rsid w:val="003F4DCE"/>
    <w:rsid w:val="003F4E6B"/>
    <w:rsid w:val="003F4FE3"/>
    <w:rsid w:val="003F5078"/>
    <w:rsid w:val="003F5405"/>
    <w:rsid w:val="003F5408"/>
    <w:rsid w:val="003F56CE"/>
    <w:rsid w:val="003F63B9"/>
    <w:rsid w:val="003F6704"/>
    <w:rsid w:val="003F670E"/>
    <w:rsid w:val="003F681B"/>
    <w:rsid w:val="003F696C"/>
    <w:rsid w:val="003F69B0"/>
    <w:rsid w:val="003F6A01"/>
    <w:rsid w:val="003F6B3E"/>
    <w:rsid w:val="003F6E3B"/>
    <w:rsid w:val="003F6E98"/>
    <w:rsid w:val="003F6F56"/>
    <w:rsid w:val="003F71FF"/>
    <w:rsid w:val="003F7317"/>
    <w:rsid w:val="003F73D5"/>
    <w:rsid w:val="003F74FF"/>
    <w:rsid w:val="003F775E"/>
    <w:rsid w:val="003F7808"/>
    <w:rsid w:val="003F7856"/>
    <w:rsid w:val="003F7DCC"/>
    <w:rsid w:val="0040021B"/>
    <w:rsid w:val="00400371"/>
    <w:rsid w:val="00400435"/>
    <w:rsid w:val="00400856"/>
    <w:rsid w:val="00400B50"/>
    <w:rsid w:val="00400F64"/>
    <w:rsid w:val="00401047"/>
    <w:rsid w:val="00401234"/>
    <w:rsid w:val="00401CA5"/>
    <w:rsid w:val="00401DED"/>
    <w:rsid w:val="00401EA5"/>
    <w:rsid w:val="004022AF"/>
    <w:rsid w:val="00402405"/>
    <w:rsid w:val="0040258B"/>
    <w:rsid w:val="00402BDE"/>
    <w:rsid w:val="00402E6E"/>
    <w:rsid w:val="00402F30"/>
    <w:rsid w:val="0040320B"/>
    <w:rsid w:val="004034A7"/>
    <w:rsid w:val="00403591"/>
    <w:rsid w:val="00403D22"/>
    <w:rsid w:val="004041F3"/>
    <w:rsid w:val="00404285"/>
    <w:rsid w:val="004042D3"/>
    <w:rsid w:val="0040437B"/>
    <w:rsid w:val="00404901"/>
    <w:rsid w:val="00404A22"/>
    <w:rsid w:val="00404E3B"/>
    <w:rsid w:val="00405082"/>
    <w:rsid w:val="004050EC"/>
    <w:rsid w:val="00405183"/>
    <w:rsid w:val="004052AB"/>
    <w:rsid w:val="0040537B"/>
    <w:rsid w:val="004053E4"/>
    <w:rsid w:val="0040581A"/>
    <w:rsid w:val="0040588A"/>
    <w:rsid w:val="004059B8"/>
    <w:rsid w:val="00405AAF"/>
    <w:rsid w:val="00405BEC"/>
    <w:rsid w:val="00405E83"/>
    <w:rsid w:val="0040615E"/>
    <w:rsid w:val="004063D9"/>
    <w:rsid w:val="00406512"/>
    <w:rsid w:val="004065C6"/>
    <w:rsid w:val="0040675D"/>
    <w:rsid w:val="004069D5"/>
    <w:rsid w:val="00406A67"/>
    <w:rsid w:val="00406EE0"/>
    <w:rsid w:val="0040730C"/>
    <w:rsid w:val="004073AF"/>
    <w:rsid w:val="00407401"/>
    <w:rsid w:val="004079AC"/>
    <w:rsid w:val="00407B99"/>
    <w:rsid w:val="00407BCF"/>
    <w:rsid w:val="00407CFA"/>
    <w:rsid w:val="00407FC8"/>
    <w:rsid w:val="00410B1E"/>
    <w:rsid w:val="00410BE5"/>
    <w:rsid w:val="00410F07"/>
    <w:rsid w:val="00410FBD"/>
    <w:rsid w:val="004110BC"/>
    <w:rsid w:val="00411261"/>
    <w:rsid w:val="0041130A"/>
    <w:rsid w:val="004113FC"/>
    <w:rsid w:val="0041149D"/>
    <w:rsid w:val="00411580"/>
    <w:rsid w:val="0041195B"/>
    <w:rsid w:val="00411AF8"/>
    <w:rsid w:val="00411E55"/>
    <w:rsid w:val="00411EF8"/>
    <w:rsid w:val="00411FBA"/>
    <w:rsid w:val="00412436"/>
    <w:rsid w:val="00412582"/>
    <w:rsid w:val="0041267C"/>
    <w:rsid w:val="004127D2"/>
    <w:rsid w:val="00412948"/>
    <w:rsid w:val="004130B6"/>
    <w:rsid w:val="004130F9"/>
    <w:rsid w:val="004131B8"/>
    <w:rsid w:val="004132A1"/>
    <w:rsid w:val="0041390C"/>
    <w:rsid w:val="00413AAE"/>
    <w:rsid w:val="00413BE1"/>
    <w:rsid w:val="00413C19"/>
    <w:rsid w:val="00413C9C"/>
    <w:rsid w:val="00414131"/>
    <w:rsid w:val="004144DE"/>
    <w:rsid w:val="00414A41"/>
    <w:rsid w:val="00414E87"/>
    <w:rsid w:val="0041507D"/>
    <w:rsid w:val="004152E1"/>
    <w:rsid w:val="00415353"/>
    <w:rsid w:val="004158CB"/>
    <w:rsid w:val="00415B3F"/>
    <w:rsid w:val="00415D01"/>
    <w:rsid w:val="00416B30"/>
    <w:rsid w:val="00417116"/>
    <w:rsid w:val="00417152"/>
    <w:rsid w:val="004172D5"/>
    <w:rsid w:val="004173D2"/>
    <w:rsid w:val="0041754A"/>
    <w:rsid w:val="0041757B"/>
    <w:rsid w:val="0041773D"/>
    <w:rsid w:val="004177CF"/>
    <w:rsid w:val="0041791F"/>
    <w:rsid w:val="00417A9A"/>
    <w:rsid w:val="00417CAC"/>
    <w:rsid w:val="00417F28"/>
    <w:rsid w:val="00420493"/>
    <w:rsid w:val="00420999"/>
    <w:rsid w:val="00420B22"/>
    <w:rsid w:val="00420C4F"/>
    <w:rsid w:val="00420E73"/>
    <w:rsid w:val="00420EFA"/>
    <w:rsid w:val="00420F49"/>
    <w:rsid w:val="00421172"/>
    <w:rsid w:val="004212E5"/>
    <w:rsid w:val="004213EC"/>
    <w:rsid w:val="00421B40"/>
    <w:rsid w:val="00421B82"/>
    <w:rsid w:val="00421CD0"/>
    <w:rsid w:val="00422187"/>
    <w:rsid w:val="0042221B"/>
    <w:rsid w:val="00422692"/>
    <w:rsid w:val="00422DC1"/>
    <w:rsid w:val="00423699"/>
    <w:rsid w:val="00423895"/>
    <w:rsid w:val="004239FF"/>
    <w:rsid w:val="00423AF7"/>
    <w:rsid w:val="00423E93"/>
    <w:rsid w:val="00424288"/>
    <w:rsid w:val="004242BD"/>
    <w:rsid w:val="0042462F"/>
    <w:rsid w:val="00424652"/>
    <w:rsid w:val="004248E6"/>
    <w:rsid w:val="00424BD7"/>
    <w:rsid w:val="00424F18"/>
    <w:rsid w:val="00424F20"/>
    <w:rsid w:val="00425129"/>
    <w:rsid w:val="004251CF"/>
    <w:rsid w:val="00425266"/>
    <w:rsid w:val="004252A5"/>
    <w:rsid w:val="004254C3"/>
    <w:rsid w:val="004254DB"/>
    <w:rsid w:val="0042564D"/>
    <w:rsid w:val="00425B95"/>
    <w:rsid w:val="004260D5"/>
    <w:rsid w:val="00426193"/>
    <w:rsid w:val="004264DE"/>
    <w:rsid w:val="004265E2"/>
    <w:rsid w:val="00426962"/>
    <w:rsid w:val="00426A73"/>
    <w:rsid w:val="00426BA3"/>
    <w:rsid w:val="00427067"/>
    <w:rsid w:val="0042732B"/>
    <w:rsid w:val="004273FA"/>
    <w:rsid w:val="004277A6"/>
    <w:rsid w:val="0042790B"/>
    <w:rsid w:val="00427C20"/>
    <w:rsid w:val="00427C22"/>
    <w:rsid w:val="00427C57"/>
    <w:rsid w:val="00427C83"/>
    <w:rsid w:val="00427E10"/>
    <w:rsid w:val="00427F9B"/>
    <w:rsid w:val="00430484"/>
    <w:rsid w:val="0043060D"/>
    <w:rsid w:val="0043064B"/>
    <w:rsid w:val="00430806"/>
    <w:rsid w:val="004308AF"/>
    <w:rsid w:val="00430CC1"/>
    <w:rsid w:val="00430E1A"/>
    <w:rsid w:val="0043149C"/>
    <w:rsid w:val="00431A8C"/>
    <w:rsid w:val="00431C31"/>
    <w:rsid w:val="00431DD2"/>
    <w:rsid w:val="00431FB4"/>
    <w:rsid w:val="00432194"/>
    <w:rsid w:val="004322CC"/>
    <w:rsid w:val="004322F6"/>
    <w:rsid w:val="004325E8"/>
    <w:rsid w:val="00432865"/>
    <w:rsid w:val="00432B75"/>
    <w:rsid w:val="00432E83"/>
    <w:rsid w:val="004330C8"/>
    <w:rsid w:val="004330CC"/>
    <w:rsid w:val="004330DD"/>
    <w:rsid w:val="004332B4"/>
    <w:rsid w:val="004335D8"/>
    <w:rsid w:val="00433665"/>
    <w:rsid w:val="00433C37"/>
    <w:rsid w:val="00433C72"/>
    <w:rsid w:val="00433D13"/>
    <w:rsid w:val="00433DB6"/>
    <w:rsid w:val="00433E1B"/>
    <w:rsid w:val="0043402B"/>
    <w:rsid w:val="0043418C"/>
    <w:rsid w:val="0043434D"/>
    <w:rsid w:val="0043445F"/>
    <w:rsid w:val="0043449F"/>
    <w:rsid w:val="004347EA"/>
    <w:rsid w:val="00434832"/>
    <w:rsid w:val="00434AC2"/>
    <w:rsid w:val="00434AD5"/>
    <w:rsid w:val="00434D62"/>
    <w:rsid w:val="004356B4"/>
    <w:rsid w:val="004356E4"/>
    <w:rsid w:val="004358B9"/>
    <w:rsid w:val="0043590A"/>
    <w:rsid w:val="00435B43"/>
    <w:rsid w:val="00435B54"/>
    <w:rsid w:val="00435C20"/>
    <w:rsid w:val="00435FE4"/>
    <w:rsid w:val="0043601A"/>
    <w:rsid w:val="00436299"/>
    <w:rsid w:val="0043640B"/>
    <w:rsid w:val="0043684F"/>
    <w:rsid w:val="00436E90"/>
    <w:rsid w:val="004373BD"/>
    <w:rsid w:val="0043779C"/>
    <w:rsid w:val="0043793B"/>
    <w:rsid w:val="0043799A"/>
    <w:rsid w:val="00437E8E"/>
    <w:rsid w:val="0044008B"/>
    <w:rsid w:val="004400D1"/>
    <w:rsid w:val="00440369"/>
    <w:rsid w:val="00440462"/>
    <w:rsid w:val="00440679"/>
    <w:rsid w:val="004408C6"/>
    <w:rsid w:val="0044097C"/>
    <w:rsid w:val="00440C6A"/>
    <w:rsid w:val="00440FE1"/>
    <w:rsid w:val="00441423"/>
    <w:rsid w:val="004414B7"/>
    <w:rsid w:val="004415F6"/>
    <w:rsid w:val="004417CE"/>
    <w:rsid w:val="00441A06"/>
    <w:rsid w:val="00441C10"/>
    <w:rsid w:val="00441D72"/>
    <w:rsid w:val="004422D9"/>
    <w:rsid w:val="004425E4"/>
    <w:rsid w:val="0044281A"/>
    <w:rsid w:val="004428B6"/>
    <w:rsid w:val="00442918"/>
    <w:rsid w:val="00442EF9"/>
    <w:rsid w:val="0044306F"/>
    <w:rsid w:val="00443170"/>
    <w:rsid w:val="004432B0"/>
    <w:rsid w:val="00443391"/>
    <w:rsid w:val="004433F3"/>
    <w:rsid w:val="004433F5"/>
    <w:rsid w:val="00443519"/>
    <w:rsid w:val="00443CD8"/>
    <w:rsid w:val="00443E1E"/>
    <w:rsid w:val="00444029"/>
    <w:rsid w:val="00444552"/>
    <w:rsid w:val="004446AE"/>
    <w:rsid w:val="00444710"/>
    <w:rsid w:val="00444FF2"/>
    <w:rsid w:val="004455B2"/>
    <w:rsid w:val="00445E53"/>
    <w:rsid w:val="00445F79"/>
    <w:rsid w:val="00446706"/>
    <w:rsid w:val="0044674F"/>
    <w:rsid w:val="004467BD"/>
    <w:rsid w:val="0044694F"/>
    <w:rsid w:val="0044696E"/>
    <w:rsid w:val="004469EB"/>
    <w:rsid w:val="00446F2B"/>
    <w:rsid w:val="0044706C"/>
    <w:rsid w:val="00447330"/>
    <w:rsid w:val="00447689"/>
    <w:rsid w:val="00447AC9"/>
    <w:rsid w:val="00447CBE"/>
    <w:rsid w:val="00447ED0"/>
    <w:rsid w:val="00450531"/>
    <w:rsid w:val="004508B2"/>
    <w:rsid w:val="00450964"/>
    <w:rsid w:val="00450A51"/>
    <w:rsid w:val="00450A83"/>
    <w:rsid w:val="00450D65"/>
    <w:rsid w:val="00450EDB"/>
    <w:rsid w:val="00451084"/>
    <w:rsid w:val="004515E0"/>
    <w:rsid w:val="004519ED"/>
    <w:rsid w:val="00451B50"/>
    <w:rsid w:val="00451C54"/>
    <w:rsid w:val="004521AB"/>
    <w:rsid w:val="004527EF"/>
    <w:rsid w:val="00452AFC"/>
    <w:rsid w:val="00452D80"/>
    <w:rsid w:val="00452DD3"/>
    <w:rsid w:val="00453621"/>
    <w:rsid w:val="004536CE"/>
    <w:rsid w:val="0045379A"/>
    <w:rsid w:val="00453AB0"/>
    <w:rsid w:val="00453B56"/>
    <w:rsid w:val="00453C22"/>
    <w:rsid w:val="00453C3A"/>
    <w:rsid w:val="00453C68"/>
    <w:rsid w:val="00453E15"/>
    <w:rsid w:val="004540B2"/>
    <w:rsid w:val="00454160"/>
    <w:rsid w:val="004544E1"/>
    <w:rsid w:val="004544F7"/>
    <w:rsid w:val="00454629"/>
    <w:rsid w:val="00454DCF"/>
    <w:rsid w:val="00454FE1"/>
    <w:rsid w:val="0045575E"/>
    <w:rsid w:val="00455D6E"/>
    <w:rsid w:val="0045602F"/>
    <w:rsid w:val="004560BD"/>
    <w:rsid w:val="00456137"/>
    <w:rsid w:val="0045617B"/>
    <w:rsid w:val="004562C2"/>
    <w:rsid w:val="00456A1D"/>
    <w:rsid w:val="00456AAD"/>
    <w:rsid w:val="00456D88"/>
    <w:rsid w:val="00456E13"/>
    <w:rsid w:val="00456E2F"/>
    <w:rsid w:val="00456F83"/>
    <w:rsid w:val="00457008"/>
    <w:rsid w:val="00457123"/>
    <w:rsid w:val="00457213"/>
    <w:rsid w:val="0045724D"/>
    <w:rsid w:val="0045725F"/>
    <w:rsid w:val="0045738D"/>
    <w:rsid w:val="00457450"/>
    <w:rsid w:val="00457520"/>
    <w:rsid w:val="00457739"/>
    <w:rsid w:val="0045794E"/>
    <w:rsid w:val="00457C78"/>
    <w:rsid w:val="00457E07"/>
    <w:rsid w:val="00460111"/>
    <w:rsid w:val="00460DA2"/>
    <w:rsid w:val="00461276"/>
    <w:rsid w:val="0046176C"/>
    <w:rsid w:val="004617AA"/>
    <w:rsid w:val="004619F8"/>
    <w:rsid w:val="00461B92"/>
    <w:rsid w:val="00461F0C"/>
    <w:rsid w:val="00461F79"/>
    <w:rsid w:val="00462350"/>
    <w:rsid w:val="00462796"/>
    <w:rsid w:val="0046284C"/>
    <w:rsid w:val="00462E1A"/>
    <w:rsid w:val="0046343B"/>
    <w:rsid w:val="0046347F"/>
    <w:rsid w:val="00463484"/>
    <w:rsid w:val="00463A17"/>
    <w:rsid w:val="0046408D"/>
    <w:rsid w:val="00464262"/>
    <w:rsid w:val="00464B30"/>
    <w:rsid w:val="00464BAD"/>
    <w:rsid w:val="0046553D"/>
    <w:rsid w:val="00465635"/>
    <w:rsid w:val="0046588A"/>
    <w:rsid w:val="004658D6"/>
    <w:rsid w:val="00465B02"/>
    <w:rsid w:val="00465DBC"/>
    <w:rsid w:val="00465E49"/>
    <w:rsid w:val="0046616A"/>
    <w:rsid w:val="004663FE"/>
    <w:rsid w:val="0046658C"/>
    <w:rsid w:val="00466712"/>
    <w:rsid w:val="0046681C"/>
    <w:rsid w:val="00466C95"/>
    <w:rsid w:val="00466FCE"/>
    <w:rsid w:val="00467227"/>
    <w:rsid w:val="004674DC"/>
    <w:rsid w:val="00467569"/>
    <w:rsid w:val="004676D5"/>
    <w:rsid w:val="0046783A"/>
    <w:rsid w:val="00467930"/>
    <w:rsid w:val="00467F93"/>
    <w:rsid w:val="0047006A"/>
    <w:rsid w:val="004701B3"/>
    <w:rsid w:val="0047027F"/>
    <w:rsid w:val="004703BF"/>
    <w:rsid w:val="00470804"/>
    <w:rsid w:val="00471206"/>
    <w:rsid w:val="004712E7"/>
    <w:rsid w:val="00471694"/>
    <w:rsid w:val="00471A23"/>
    <w:rsid w:val="00471ADC"/>
    <w:rsid w:val="00471FAE"/>
    <w:rsid w:val="00472047"/>
    <w:rsid w:val="0047215B"/>
    <w:rsid w:val="004723D9"/>
    <w:rsid w:val="004723F5"/>
    <w:rsid w:val="00472497"/>
    <w:rsid w:val="004731E9"/>
    <w:rsid w:val="004732B2"/>
    <w:rsid w:val="0047332A"/>
    <w:rsid w:val="0047336F"/>
    <w:rsid w:val="004733EB"/>
    <w:rsid w:val="00473467"/>
    <w:rsid w:val="004734E9"/>
    <w:rsid w:val="00473986"/>
    <w:rsid w:val="00473C0C"/>
    <w:rsid w:val="00473C2C"/>
    <w:rsid w:val="00473CBA"/>
    <w:rsid w:val="00473D1F"/>
    <w:rsid w:val="00473D49"/>
    <w:rsid w:val="00473E45"/>
    <w:rsid w:val="00474486"/>
    <w:rsid w:val="0047456A"/>
    <w:rsid w:val="00474A82"/>
    <w:rsid w:val="00474A8D"/>
    <w:rsid w:val="00474E42"/>
    <w:rsid w:val="00474EA7"/>
    <w:rsid w:val="00474ED1"/>
    <w:rsid w:val="0047547D"/>
    <w:rsid w:val="004755CB"/>
    <w:rsid w:val="004755FA"/>
    <w:rsid w:val="00475811"/>
    <w:rsid w:val="00475842"/>
    <w:rsid w:val="00475860"/>
    <w:rsid w:val="00475A13"/>
    <w:rsid w:val="004760BE"/>
    <w:rsid w:val="00476589"/>
    <w:rsid w:val="004767EF"/>
    <w:rsid w:val="004769E8"/>
    <w:rsid w:val="004772BC"/>
    <w:rsid w:val="0047740D"/>
    <w:rsid w:val="004774D7"/>
    <w:rsid w:val="004776CA"/>
    <w:rsid w:val="00477701"/>
    <w:rsid w:val="004777B9"/>
    <w:rsid w:val="00477948"/>
    <w:rsid w:val="00477A06"/>
    <w:rsid w:val="00477A12"/>
    <w:rsid w:val="00477A52"/>
    <w:rsid w:val="00477B15"/>
    <w:rsid w:val="00477DB5"/>
    <w:rsid w:val="004803BA"/>
    <w:rsid w:val="00480493"/>
    <w:rsid w:val="0048058F"/>
    <w:rsid w:val="004809DE"/>
    <w:rsid w:val="00480A03"/>
    <w:rsid w:val="00480C7B"/>
    <w:rsid w:val="00480E7C"/>
    <w:rsid w:val="00481126"/>
    <w:rsid w:val="00481468"/>
    <w:rsid w:val="0048163E"/>
    <w:rsid w:val="004817B2"/>
    <w:rsid w:val="00482028"/>
    <w:rsid w:val="004821EB"/>
    <w:rsid w:val="00482399"/>
    <w:rsid w:val="00482685"/>
    <w:rsid w:val="0048268E"/>
    <w:rsid w:val="0048279C"/>
    <w:rsid w:val="00482A59"/>
    <w:rsid w:val="00482E8C"/>
    <w:rsid w:val="00482F12"/>
    <w:rsid w:val="00482F82"/>
    <w:rsid w:val="00483339"/>
    <w:rsid w:val="004835C2"/>
    <w:rsid w:val="004837F3"/>
    <w:rsid w:val="004839A6"/>
    <w:rsid w:val="00483A30"/>
    <w:rsid w:val="00483A94"/>
    <w:rsid w:val="00483EB8"/>
    <w:rsid w:val="00484183"/>
    <w:rsid w:val="004841C5"/>
    <w:rsid w:val="004842BF"/>
    <w:rsid w:val="004845C2"/>
    <w:rsid w:val="00484C86"/>
    <w:rsid w:val="00485101"/>
    <w:rsid w:val="00485732"/>
    <w:rsid w:val="004858CF"/>
    <w:rsid w:val="00485F1D"/>
    <w:rsid w:val="00486250"/>
    <w:rsid w:val="004863DC"/>
    <w:rsid w:val="0048671A"/>
    <w:rsid w:val="00486820"/>
    <w:rsid w:val="00486915"/>
    <w:rsid w:val="00486CDF"/>
    <w:rsid w:val="00486CFA"/>
    <w:rsid w:val="0048722D"/>
    <w:rsid w:val="004874A5"/>
    <w:rsid w:val="00487EBC"/>
    <w:rsid w:val="00490175"/>
    <w:rsid w:val="00490459"/>
    <w:rsid w:val="004906A5"/>
    <w:rsid w:val="004907C9"/>
    <w:rsid w:val="00490953"/>
    <w:rsid w:val="00490CA9"/>
    <w:rsid w:val="0049126D"/>
    <w:rsid w:val="004915DB"/>
    <w:rsid w:val="00491976"/>
    <w:rsid w:val="00491A2F"/>
    <w:rsid w:val="00491A59"/>
    <w:rsid w:val="00491BD3"/>
    <w:rsid w:val="00491BE1"/>
    <w:rsid w:val="00491DE3"/>
    <w:rsid w:val="00491ED4"/>
    <w:rsid w:val="0049209B"/>
    <w:rsid w:val="00492485"/>
    <w:rsid w:val="00492755"/>
    <w:rsid w:val="00492A0E"/>
    <w:rsid w:val="00492A68"/>
    <w:rsid w:val="00492B7B"/>
    <w:rsid w:val="004930D4"/>
    <w:rsid w:val="00493121"/>
    <w:rsid w:val="004933CF"/>
    <w:rsid w:val="004938B9"/>
    <w:rsid w:val="00493D24"/>
    <w:rsid w:val="00493E43"/>
    <w:rsid w:val="004941EA"/>
    <w:rsid w:val="004945B7"/>
    <w:rsid w:val="0049467B"/>
    <w:rsid w:val="0049471C"/>
    <w:rsid w:val="004949F4"/>
    <w:rsid w:val="00494A62"/>
    <w:rsid w:val="00494C6E"/>
    <w:rsid w:val="00494CCE"/>
    <w:rsid w:val="00494EFB"/>
    <w:rsid w:val="00494F20"/>
    <w:rsid w:val="00494FCB"/>
    <w:rsid w:val="00495199"/>
    <w:rsid w:val="00495594"/>
    <w:rsid w:val="004955CD"/>
    <w:rsid w:val="004957AA"/>
    <w:rsid w:val="00495AFD"/>
    <w:rsid w:val="00495F84"/>
    <w:rsid w:val="00495FCC"/>
    <w:rsid w:val="00496163"/>
    <w:rsid w:val="004961E0"/>
    <w:rsid w:val="0049625B"/>
    <w:rsid w:val="00496452"/>
    <w:rsid w:val="004965B4"/>
    <w:rsid w:val="004968FA"/>
    <w:rsid w:val="0049698A"/>
    <w:rsid w:val="00496D43"/>
    <w:rsid w:val="00496E58"/>
    <w:rsid w:val="00496E5F"/>
    <w:rsid w:val="00496E6E"/>
    <w:rsid w:val="0049714B"/>
    <w:rsid w:val="00497226"/>
    <w:rsid w:val="00497570"/>
    <w:rsid w:val="00497759"/>
    <w:rsid w:val="00497D3E"/>
    <w:rsid w:val="00497E7A"/>
    <w:rsid w:val="004A01BA"/>
    <w:rsid w:val="004A04C4"/>
    <w:rsid w:val="004A0D49"/>
    <w:rsid w:val="004A0F6A"/>
    <w:rsid w:val="004A1397"/>
    <w:rsid w:val="004A17A1"/>
    <w:rsid w:val="004A18CA"/>
    <w:rsid w:val="004A1970"/>
    <w:rsid w:val="004A19B5"/>
    <w:rsid w:val="004A19FA"/>
    <w:rsid w:val="004A1AB1"/>
    <w:rsid w:val="004A1D5E"/>
    <w:rsid w:val="004A1E32"/>
    <w:rsid w:val="004A20BB"/>
    <w:rsid w:val="004A2367"/>
    <w:rsid w:val="004A26FA"/>
    <w:rsid w:val="004A2C18"/>
    <w:rsid w:val="004A2F9E"/>
    <w:rsid w:val="004A3208"/>
    <w:rsid w:val="004A32EE"/>
    <w:rsid w:val="004A34CC"/>
    <w:rsid w:val="004A3692"/>
    <w:rsid w:val="004A378D"/>
    <w:rsid w:val="004A3830"/>
    <w:rsid w:val="004A3EE3"/>
    <w:rsid w:val="004A3F09"/>
    <w:rsid w:val="004A3F5D"/>
    <w:rsid w:val="004A4054"/>
    <w:rsid w:val="004A419A"/>
    <w:rsid w:val="004A422E"/>
    <w:rsid w:val="004A45FA"/>
    <w:rsid w:val="004A4683"/>
    <w:rsid w:val="004A46C8"/>
    <w:rsid w:val="004A4C1D"/>
    <w:rsid w:val="004A4D05"/>
    <w:rsid w:val="004A4E5F"/>
    <w:rsid w:val="004A5E50"/>
    <w:rsid w:val="004A629D"/>
    <w:rsid w:val="004A67CF"/>
    <w:rsid w:val="004A6988"/>
    <w:rsid w:val="004A6FDA"/>
    <w:rsid w:val="004A73B0"/>
    <w:rsid w:val="004A774E"/>
    <w:rsid w:val="004A78F6"/>
    <w:rsid w:val="004A7923"/>
    <w:rsid w:val="004A7B66"/>
    <w:rsid w:val="004A7C1F"/>
    <w:rsid w:val="004A7C63"/>
    <w:rsid w:val="004B0308"/>
    <w:rsid w:val="004B12A1"/>
    <w:rsid w:val="004B12D1"/>
    <w:rsid w:val="004B1F2B"/>
    <w:rsid w:val="004B2337"/>
    <w:rsid w:val="004B23CF"/>
    <w:rsid w:val="004B2446"/>
    <w:rsid w:val="004B2A9D"/>
    <w:rsid w:val="004B2AC6"/>
    <w:rsid w:val="004B2CEC"/>
    <w:rsid w:val="004B2F26"/>
    <w:rsid w:val="004B3004"/>
    <w:rsid w:val="004B31F2"/>
    <w:rsid w:val="004B32E5"/>
    <w:rsid w:val="004B3324"/>
    <w:rsid w:val="004B33E7"/>
    <w:rsid w:val="004B352A"/>
    <w:rsid w:val="004B378F"/>
    <w:rsid w:val="004B3A01"/>
    <w:rsid w:val="004B3B75"/>
    <w:rsid w:val="004B3F0C"/>
    <w:rsid w:val="004B40B4"/>
    <w:rsid w:val="004B4277"/>
    <w:rsid w:val="004B4287"/>
    <w:rsid w:val="004B43A0"/>
    <w:rsid w:val="004B45C0"/>
    <w:rsid w:val="004B4963"/>
    <w:rsid w:val="004B4AB6"/>
    <w:rsid w:val="004B4BA7"/>
    <w:rsid w:val="004B4BEC"/>
    <w:rsid w:val="004B4C0C"/>
    <w:rsid w:val="004B4CB7"/>
    <w:rsid w:val="004B52E9"/>
    <w:rsid w:val="004B53C9"/>
    <w:rsid w:val="004B5513"/>
    <w:rsid w:val="004B5558"/>
    <w:rsid w:val="004B5C17"/>
    <w:rsid w:val="004B5EDD"/>
    <w:rsid w:val="004B6488"/>
    <w:rsid w:val="004B64C7"/>
    <w:rsid w:val="004B6739"/>
    <w:rsid w:val="004B6781"/>
    <w:rsid w:val="004B68ED"/>
    <w:rsid w:val="004B692A"/>
    <w:rsid w:val="004B69E0"/>
    <w:rsid w:val="004B6C5C"/>
    <w:rsid w:val="004B6C82"/>
    <w:rsid w:val="004B6D12"/>
    <w:rsid w:val="004B6D84"/>
    <w:rsid w:val="004B6FB1"/>
    <w:rsid w:val="004B6FD0"/>
    <w:rsid w:val="004B720A"/>
    <w:rsid w:val="004B7273"/>
    <w:rsid w:val="004B72F2"/>
    <w:rsid w:val="004B74C6"/>
    <w:rsid w:val="004B756C"/>
    <w:rsid w:val="004B7852"/>
    <w:rsid w:val="004B79E3"/>
    <w:rsid w:val="004B7C16"/>
    <w:rsid w:val="004B7C94"/>
    <w:rsid w:val="004B7E70"/>
    <w:rsid w:val="004C01A7"/>
    <w:rsid w:val="004C0364"/>
    <w:rsid w:val="004C060A"/>
    <w:rsid w:val="004C0A41"/>
    <w:rsid w:val="004C0C06"/>
    <w:rsid w:val="004C0C47"/>
    <w:rsid w:val="004C0D6E"/>
    <w:rsid w:val="004C15CA"/>
    <w:rsid w:val="004C1A5D"/>
    <w:rsid w:val="004C1E6E"/>
    <w:rsid w:val="004C20E9"/>
    <w:rsid w:val="004C230C"/>
    <w:rsid w:val="004C23B9"/>
    <w:rsid w:val="004C23CF"/>
    <w:rsid w:val="004C273F"/>
    <w:rsid w:val="004C285C"/>
    <w:rsid w:val="004C285D"/>
    <w:rsid w:val="004C2909"/>
    <w:rsid w:val="004C31F5"/>
    <w:rsid w:val="004C31F8"/>
    <w:rsid w:val="004C385E"/>
    <w:rsid w:val="004C38B0"/>
    <w:rsid w:val="004C3CB5"/>
    <w:rsid w:val="004C3FCD"/>
    <w:rsid w:val="004C4A59"/>
    <w:rsid w:val="004C4CB2"/>
    <w:rsid w:val="004C4D90"/>
    <w:rsid w:val="004C4E6E"/>
    <w:rsid w:val="004C516E"/>
    <w:rsid w:val="004C5394"/>
    <w:rsid w:val="004C5444"/>
    <w:rsid w:val="004C5560"/>
    <w:rsid w:val="004C561D"/>
    <w:rsid w:val="004C57AA"/>
    <w:rsid w:val="004C57FA"/>
    <w:rsid w:val="004C5A6A"/>
    <w:rsid w:val="004C66AA"/>
    <w:rsid w:val="004C66F5"/>
    <w:rsid w:val="004C6890"/>
    <w:rsid w:val="004C6BFE"/>
    <w:rsid w:val="004C6E49"/>
    <w:rsid w:val="004C6EED"/>
    <w:rsid w:val="004C705B"/>
    <w:rsid w:val="004C7105"/>
    <w:rsid w:val="004C7370"/>
    <w:rsid w:val="004C75B9"/>
    <w:rsid w:val="004C7A28"/>
    <w:rsid w:val="004C7E91"/>
    <w:rsid w:val="004D01A1"/>
    <w:rsid w:val="004D02E3"/>
    <w:rsid w:val="004D0300"/>
    <w:rsid w:val="004D03B6"/>
    <w:rsid w:val="004D042E"/>
    <w:rsid w:val="004D04FE"/>
    <w:rsid w:val="004D09ED"/>
    <w:rsid w:val="004D0AC3"/>
    <w:rsid w:val="004D0B76"/>
    <w:rsid w:val="004D0D1C"/>
    <w:rsid w:val="004D0D46"/>
    <w:rsid w:val="004D1841"/>
    <w:rsid w:val="004D1B90"/>
    <w:rsid w:val="004D1E37"/>
    <w:rsid w:val="004D2018"/>
    <w:rsid w:val="004D2087"/>
    <w:rsid w:val="004D2284"/>
    <w:rsid w:val="004D24FC"/>
    <w:rsid w:val="004D253C"/>
    <w:rsid w:val="004D25E2"/>
    <w:rsid w:val="004D33B4"/>
    <w:rsid w:val="004D3493"/>
    <w:rsid w:val="004D3509"/>
    <w:rsid w:val="004D35D8"/>
    <w:rsid w:val="004D36FD"/>
    <w:rsid w:val="004D371C"/>
    <w:rsid w:val="004D399C"/>
    <w:rsid w:val="004D3A61"/>
    <w:rsid w:val="004D3AD5"/>
    <w:rsid w:val="004D3DF3"/>
    <w:rsid w:val="004D3F93"/>
    <w:rsid w:val="004D4007"/>
    <w:rsid w:val="004D4376"/>
    <w:rsid w:val="004D4407"/>
    <w:rsid w:val="004D44D1"/>
    <w:rsid w:val="004D489B"/>
    <w:rsid w:val="004D490C"/>
    <w:rsid w:val="004D4B29"/>
    <w:rsid w:val="004D4DC0"/>
    <w:rsid w:val="004D4E01"/>
    <w:rsid w:val="004D4FF6"/>
    <w:rsid w:val="004D54AD"/>
    <w:rsid w:val="004D55AC"/>
    <w:rsid w:val="004D5803"/>
    <w:rsid w:val="004D5980"/>
    <w:rsid w:val="004D5D14"/>
    <w:rsid w:val="004D5E7B"/>
    <w:rsid w:val="004D5FC0"/>
    <w:rsid w:val="004D60EF"/>
    <w:rsid w:val="004D627D"/>
    <w:rsid w:val="004D6384"/>
    <w:rsid w:val="004D6451"/>
    <w:rsid w:val="004D64D4"/>
    <w:rsid w:val="004D6DF8"/>
    <w:rsid w:val="004D6F6F"/>
    <w:rsid w:val="004D7068"/>
    <w:rsid w:val="004D706F"/>
    <w:rsid w:val="004D71E8"/>
    <w:rsid w:val="004D7495"/>
    <w:rsid w:val="004D7647"/>
    <w:rsid w:val="004D7841"/>
    <w:rsid w:val="004D78D1"/>
    <w:rsid w:val="004D796B"/>
    <w:rsid w:val="004D7B34"/>
    <w:rsid w:val="004D7D63"/>
    <w:rsid w:val="004D7DE3"/>
    <w:rsid w:val="004E00E2"/>
    <w:rsid w:val="004E02C8"/>
    <w:rsid w:val="004E05AA"/>
    <w:rsid w:val="004E05FD"/>
    <w:rsid w:val="004E0692"/>
    <w:rsid w:val="004E0B2B"/>
    <w:rsid w:val="004E0D88"/>
    <w:rsid w:val="004E0DC2"/>
    <w:rsid w:val="004E1480"/>
    <w:rsid w:val="004E15FB"/>
    <w:rsid w:val="004E1801"/>
    <w:rsid w:val="004E187B"/>
    <w:rsid w:val="004E190C"/>
    <w:rsid w:val="004E1C27"/>
    <w:rsid w:val="004E1C3A"/>
    <w:rsid w:val="004E1E72"/>
    <w:rsid w:val="004E1FE9"/>
    <w:rsid w:val="004E2022"/>
    <w:rsid w:val="004E2159"/>
    <w:rsid w:val="004E247F"/>
    <w:rsid w:val="004E287F"/>
    <w:rsid w:val="004E2888"/>
    <w:rsid w:val="004E2975"/>
    <w:rsid w:val="004E2A90"/>
    <w:rsid w:val="004E2DA8"/>
    <w:rsid w:val="004E33D8"/>
    <w:rsid w:val="004E3458"/>
    <w:rsid w:val="004E35A8"/>
    <w:rsid w:val="004E3684"/>
    <w:rsid w:val="004E3726"/>
    <w:rsid w:val="004E3955"/>
    <w:rsid w:val="004E3BF6"/>
    <w:rsid w:val="004E40EF"/>
    <w:rsid w:val="004E4191"/>
    <w:rsid w:val="004E422C"/>
    <w:rsid w:val="004E4623"/>
    <w:rsid w:val="004E4C8A"/>
    <w:rsid w:val="004E50FC"/>
    <w:rsid w:val="004E5460"/>
    <w:rsid w:val="004E5628"/>
    <w:rsid w:val="004E5637"/>
    <w:rsid w:val="004E606B"/>
    <w:rsid w:val="004E61BD"/>
    <w:rsid w:val="004E644F"/>
    <w:rsid w:val="004E6553"/>
    <w:rsid w:val="004E696E"/>
    <w:rsid w:val="004E6A7C"/>
    <w:rsid w:val="004E7452"/>
    <w:rsid w:val="004E7873"/>
    <w:rsid w:val="004E7943"/>
    <w:rsid w:val="004E7A60"/>
    <w:rsid w:val="004E7B73"/>
    <w:rsid w:val="004E7C79"/>
    <w:rsid w:val="004E7EFF"/>
    <w:rsid w:val="004E7F5A"/>
    <w:rsid w:val="004F0440"/>
    <w:rsid w:val="004F04A3"/>
    <w:rsid w:val="004F0551"/>
    <w:rsid w:val="004F07DE"/>
    <w:rsid w:val="004F0BAF"/>
    <w:rsid w:val="004F0DE7"/>
    <w:rsid w:val="004F0F90"/>
    <w:rsid w:val="004F1095"/>
    <w:rsid w:val="004F11FE"/>
    <w:rsid w:val="004F1317"/>
    <w:rsid w:val="004F1455"/>
    <w:rsid w:val="004F1572"/>
    <w:rsid w:val="004F1F5E"/>
    <w:rsid w:val="004F1F9F"/>
    <w:rsid w:val="004F202B"/>
    <w:rsid w:val="004F24FE"/>
    <w:rsid w:val="004F26AE"/>
    <w:rsid w:val="004F27DB"/>
    <w:rsid w:val="004F29FC"/>
    <w:rsid w:val="004F2A66"/>
    <w:rsid w:val="004F2CB8"/>
    <w:rsid w:val="004F2DB4"/>
    <w:rsid w:val="004F2EC8"/>
    <w:rsid w:val="004F305A"/>
    <w:rsid w:val="004F344E"/>
    <w:rsid w:val="004F3706"/>
    <w:rsid w:val="004F3AA2"/>
    <w:rsid w:val="004F3C2E"/>
    <w:rsid w:val="004F3D46"/>
    <w:rsid w:val="004F3DA4"/>
    <w:rsid w:val="004F41D3"/>
    <w:rsid w:val="004F43C4"/>
    <w:rsid w:val="004F4660"/>
    <w:rsid w:val="004F4742"/>
    <w:rsid w:val="004F475A"/>
    <w:rsid w:val="004F4789"/>
    <w:rsid w:val="004F4830"/>
    <w:rsid w:val="004F484D"/>
    <w:rsid w:val="004F487D"/>
    <w:rsid w:val="004F495E"/>
    <w:rsid w:val="004F4BA0"/>
    <w:rsid w:val="004F4CAD"/>
    <w:rsid w:val="004F4FBC"/>
    <w:rsid w:val="004F4FD0"/>
    <w:rsid w:val="004F56FB"/>
    <w:rsid w:val="004F587D"/>
    <w:rsid w:val="004F5C1E"/>
    <w:rsid w:val="004F5E1B"/>
    <w:rsid w:val="004F61F5"/>
    <w:rsid w:val="004F67F9"/>
    <w:rsid w:val="004F6861"/>
    <w:rsid w:val="004F69D5"/>
    <w:rsid w:val="004F6B05"/>
    <w:rsid w:val="004F6E1F"/>
    <w:rsid w:val="004F6EAC"/>
    <w:rsid w:val="004F707B"/>
    <w:rsid w:val="004F7127"/>
    <w:rsid w:val="004F75A5"/>
    <w:rsid w:val="004F76FC"/>
    <w:rsid w:val="004F7E86"/>
    <w:rsid w:val="004F7F6F"/>
    <w:rsid w:val="005000F7"/>
    <w:rsid w:val="00500206"/>
    <w:rsid w:val="0050040B"/>
    <w:rsid w:val="0050079E"/>
    <w:rsid w:val="00500992"/>
    <w:rsid w:val="00500C3E"/>
    <w:rsid w:val="005013DF"/>
    <w:rsid w:val="005018C6"/>
    <w:rsid w:val="005019D0"/>
    <w:rsid w:val="0050200F"/>
    <w:rsid w:val="005020CB"/>
    <w:rsid w:val="0050271D"/>
    <w:rsid w:val="00502B19"/>
    <w:rsid w:val="00502F30"/>
    <w:rsid w:val="00502F6A"/>
    <w:rsid w:val="00503006"/>
    <w:rsid w:val="005030B5"/>
    <w:rsid w:val="00503337"/>
    <w:rsid w:val="005033E6"/>
    <w:rsid w:val="005036BA"/>
    <w:rsid w:val="005036DA"/>
    <w:rsid w:val="00503E51"/>
    <w:rsid w:val="00503F8A"/>
    <w:rsid w:val="005042D0"/>
    <w:rsid w:val="00504401"/>
    <w:rsid w:val="00504482"/>
    <w:rsid w:val="00504566"/>
    <w:rsid w:val="0050479B"/>
    <w:rsid w:val="005049DB"/>
    <w:rsid w:val="00504D8C"/>
    <w:rsid w:val="00504E03"/>
    <w:rsid w:val="00504E21"/>
    <w:rsid w:val="00504E7C"/>
    <w:rsid w:val="00504EBF"/>
    <w:rsid w:val="00505206"/>
    <w:rsid w:val="005054BE"/>
    <w:rsid w:val="00505792"/>
    <w:rsid w:val="00505A9D"/>
    <w:rsid w:val="00505EFE"/>
    <w:rsid w:val="00506067"/>
    <w:rsid w:val="00506284"/>
    <w:rsid w:val="00506750"/>
    <w:rsid w:val="00506831"/>
    <w:rsid w:val="0050699E"/>
    <w:rsid w:val="00506D6F"/>
    <w:rsid w:val="005070DA"/>
    <w:rsid w:val="005071CD"/>
    <w:rsid w:val="00507210"/>
    <w:rsid w:val="00507325"/>
    <w:rsid w:val="00507423"/>
    <w:rsid w:val="0050743E"/>
    <w:rsid w:val="00507775"/>
    <w:rsid w:val="00507807"/>
    <w:rsid w:val="005079EC"/>
    <w:rsid w:val="00507C6D"/>
    <w:rsid w:val="00510331"/>
    <w:rsid w:val="00510520"/>
    <w:rsid w:val="00510905"/>
    <w:rsid w:val="00510B8F"/>
    <w:rsid w:val="00510BBB"/>
    <w:rsid w:val="00510C70"/>
    <w:rsid w:val="00511026"/>
    <w:rsid w:val="005110AD"/>
    <w:rsid w:val="005111AF"/>
    <w:rsid w:val="005117AD"/>
    <w:rsid w:val="00511A83"/>
    <w:rsid w:val="00511BD3"/>
    <w:rsid w:val="00511D83"/>
    <w:rsid w:val="00511F32"/>
    <w:rsid w:val="00512155"/>
    <w:rsid w:val="0051240F"/>
    <w:rsid w:val="005124BE"/>
    <w:rsid w:val="0051263F"/>
    <w:rsid w:val="00512683"/>
    <w:rsid w:val="00512A4E"/>
    <w:rsid w:val="00512A5C"/>
    <w:rsid w:val="00512AE4"/>
    <w:rsid w:val="00513CF7"/>
    <w:rsid w:val="0051426F"/>
    <w:rsid w:val="00514426"/>
    <w:rsid w:val="00514505"/>
    <w:rsid w:val="005145A0"/>
    <w:rsid w:val="0051460E"/>
    <w:rsid w:val="005146C2"/>
    <w:rsid w:val="00514790"/>
    <w:rsid w:val="005149E8"/>
    <w:rsid w:val="00514AD7"/>
    <w:rsid w:val="00514BA9"/>
    <w:rsid w:val="00514DC3"/>
    <w:rsid w:val="00514F1D"/>
    <w:rsid w:val="00515472"/>
    <w:rsid w:val="005157FF"/>
    <w:rsid w:val="005158E1"/>
    <w:rsid w:val="005159D1"/>
    <w:rsid w:val="00515B26"/>
    <w:rsid w:val="00515BFB"/>
    <w:rsid w:val="00515D0C"/>
    <w:rsid w:val="00515D5F"/>
    <w:rsid w:val="00515E14"/>
    <w:rsid w:val="0051608F"/>
    <w:rsid w:val="005160A8"/>
    <w:rsid w:val="005160D2"/>
    <w:rsid w:val="005161E6"/>
    <w:rsid w:val="0051627E"/>
    <w:rsid w:val="0051646D"/>
    <w:rsid w:val="00516517"/>
    <w:rsid w:val="00516B6F"/>
    <w:rsid w:val="00516FA0"/>
    <w:rsid w:val="005170D2"/>
    <w:rsid w:val="00517186"/>
    <w:rsid w:val="005171AB"/>
    <w:rsid w:val="005171BD"/>
    <w:rsid w:val="0051755F"/>
    <w:rsid w:val="005177D7"/>
    <w:rsid w:val="00517950"/>
    <w:rsid w:val="00517991"/>
    <w:rsid w:val="00517CA3"/>
    <w:rsid w:val="00520007"/>
    <w:rsid w:val="0052042F"/>
    <w:rsid w:val="00520450"/>
    <w:rsid w:val="005205F9"/>
    <w:rsid w:val="005206C9"/>
    <w:rsid w:val="00520ECA"/>
    <w:rsid w:val="005215BC"/>
    <w:rsid w:val="005217FF"/>
    <w:rsid w:val="00521A41"/>
    <w:rsid w:val="00521A73"/>
    <w:rsid w:val="00521AA4"/>
    <w:rsid w:val="00521CBC"/>
    <w:rsid w:val="00521E79"/>
    <w:rsid w:val="005225F9"/>
    <w:rsid w:val="00522B71"/>
    <w:rsid w:val="00522C42"/>
    <w:rsid w:val="00522ECA"/>
    <w:rsid w:val="00523001"/>
    <w:rsid w:val="0052307A"/>
    <w:rsid w:val="005230C9"/>
    <w:rsid w:val="005230EA"/>
    <w:rsid w:val="005233A6"/>
    <w:rsid w:val="00523A16"/>
    <w:rsid w:val="00524F5B"/>
    <w:rsid w:val="0052529B"/>
    <w:rsid w:val="0052562B"/>
    <w:rsid w:val="0052597B"/>
    <w:rsid w:val="00525AEB"/>
    <w:rsid w:val="00525C1F"/>
    <w:rsid w:val="00525C86"/>
    <w:rsid w:val="00525E92"/>
    <w:rsid w:val="00525FD0"/>
    <w:rsid w:val="0052606D"/>
    <w:rsid w:val="0052626B"/>
    <w:rsid w:val="00526410"/>
    <w:rsid w:val="00526486"/>
    <w:rsid w:val="00526501"/>
    <w:rsid w:val="005265BC"/>
    <w:rsid w:val="00526703"/>
    <w:rsid w:val="00526916"/>
    <w:rsid w:val="00526A36"/>
    <w:rsid w:val="00526A52"/>
    <w:rsid w:val="00526B42"/>
    <w:rsid w:val="00526FAF"/>
    <w:rsid w:val="005277E2"/>
    <w:rsid w:val="0052784B"/>
    <w:rsid w:val="00527999"/>
    <w:rsid w:val="00527BB2"/>
    <w:rsid w:val="0053002A"/>
    <w:rsid w:val="0053013C"/>
    <w:rsid w:val="00530153"/>
    <w:rsid w:val="00530413"/>
    <w:rsid w:val="0053056C"/>
    <w:rsid w:val="005305F0"/>
    <w:rsid w:val="0053075F"/>
    <w:rsid w:val="005309C4"/>
    <w:rsid w:val="00530D22"/>
    <w:rsid w:val="00531224"/>
    <w:rsid w:val="00531317"/>
    <w:rsid w:val="00531332"/>
    <w:rsid w:val="005314F7"/>
    <w:rsid w:val="0053158D"/>
    <w:rsid w:val="0053167C"/>
    <w:rsid w:val="005316C7"/>
    <w:rsid w:val="00531AEF"/>
    <w:rsid w:val="00531D51"/>
    <w:rsid w:val="00531E18"/>
    <w:rsid w:val="005321A6"/>
    <w:rsid w:val="0053236F"/>
    <w:rsid w:val="0053252A"/>
    <w:rsid w:val="00532856"/>
    <w:rsid w:val="00532AD7"/>
    <w:rsid w:val="00532D05"/>
    <w:rsid w:val="00532DA8"/>
    <w:rsid w:val="00532FFC"/>
    <w:rsid w:val="00533056"/>
    <w:rsid w:val="00533084"/>
    <w:rsid w:val="0053319E"/>
    <w:rsid w:val="005332DE"/>
    <w:rsid w:val="0053341B"/>
    <w:rsid w:val="00533505"/>
    <w:rsid w:val="00533EEF"/>
    <w:rsid w:val="00533F3F"/>
    <w:rsid w:val="005342E1"/>
    <w:rsid w:val="0053432B"/>
    <w:rsid w:val="0053460C"/>
    <w:rsid w:val="00534BFC"/>
    <w:rsid w:val="00534D34"/>
    <w:rsid w:val="00534DC0"/>
    <w:rsid w:val="00534F9F"/>
    <w:rsid w:val="0053546C"/>
    <w:rsid w:val="00535562"/>
    <w:rsid w:val="005356D4"/>
    <w:rsid w:val="00535A16"/>
    <w:rsid w:val="00535AF5"/>
    <w:rsid w:val="00535B5A"/>
    <w:rsid w:val="00535D5A"/>
    <w:rsid w:val="005360C8"/>
    <w:rsid w:val="005361A7"/>
    <w:rsid w:val="005361DE"/>
    <w:rsid w:val="00536411"/>
    <w:rsid w:val="00536589"/>
    <w:rsid w:val="00536624"/>
    <w:rsid w:val="0053667C"/>
    <w:rsid w:val="0053669F"/>
    <w:rsid w:val="0053689D"/>
    <w:rsid w:val="00536939"/>
    <w:rsid w:val="00536D93"/>
    <w:rsid w:val="005371A4"/>
    <w:rsid w:val="0053743A"/>
    <w:rsid w:val="005377FC"/>
    <w:rsid w:val="005379C4"/>
    <w:rsid w:val="00537A61"/>
    <w:rsid w:val="00540051"/>
    <w:rsid w:val="00540172"/>
    <w:rsid w:val="005404A0"/>
    <w:rsid w:val="00540B0A"/>
    <w:rsid w:val="00540B60"/>
    <w:rsid w:val="00540ED8"/>
    <w:rsid w:val="00541083"/>
    <w:rsid w:val="005411B5"/>
    <w:rsid w:val="005417F9"/>
    <w:rsid w:val="005424EF"/>
    <w:rsid w:val="005424FB"/>
    <w:rsid w:val="005427F3"/>
    <w:rsid w:val="005428B8"/>
    <w:rsid w:val="00542A44"/>
    <w:rsid w:val="00542AA4"/>
    <w:rsid w:val="00542D66"/>
    <w:rsid w:val="00543536"/>
    <w:rsid w:val="005438D3"/>
    <w:rsid w:val="005439BA"/>
    <w:rsid w:val="00543DB7"/>
    <w:rsid w:val="00543E5E"/>
    <w:rsid w:val="00543E7A"/>
    <w:rsid w:val="0054464B"/>
    <w:rsid w:val="00544863"/>
    <w:rsid w:val="00544DCC"/>
    <w:rsid w:val="00545084"/>
    <w:rsid w:val="005450AB"/>
    <w:rsid w:val="005451F3"/>
    <w:rsid w:val="005452C5"/>
    <w:rsid w:val="005452D2"/>
    <w:rsid w:val="00545462"/>
    <w:rsid w:val="005454AE"/>
    <w:rsid w:val="005456E1"/>
    <w:rsid w:val="00545938"/>
    <w:rsid w:val="005459EA"/>
    <w:rsid w:val="00546122"/>
    <w:rsid w:val="005468B5"/>
    <w:rsid w:val="00546FCF"/>
    <w:rsid w:val="00547294"/>
    <w:rsid w:val="0054736D"/>
    <w:rsid w:val="00547623"/>
    <w:rsid w:val="00547A4E"/>
    <w:rsid w:val="00547D61"/>
    <w:rsid w:val="00550182"/>
    <w:rsid w:val="005501AF"/>
    <w:rsid w:val="00550A2E"/>
    <w:rsid w:val="00550CAB"/>
    <w:rsid w:val="00550E36"/>
    <w:rsid w:val="00550EC8"/>
    <w:rsid w:val="005511C3"/>
    <w:rsid w:val="00551316"/>
    <w:rsid w:val="00551534"/>
    <w:rsid w:val="0055157D"/>
    <w:rsid w:val="0055162B"/>
    <w:rsid w:val="00551630"/>
    <w:rsid w:val="00551718"/>
    <w:rsid w:val="00551850"/>
    <w:rsid w:val="005518D4"/>
    <w:rsid w:val="0055191C"/>
    <w:rsid w:val="00551A7F"/>
    <w:rsid w:val="00551DFC"/>
    <w:rsid w:val="00551EC7"/>
    <w:rsid w:val="00552065"/>
    <w:rsid w:val="00552288"/>
    <w:rsid w:val="005522E0"/>
    <w:rsid w:val="0055258D"/>
    <w:rsid w:val="0055269D"/>
    <w:rsid w:val="005526E3"/>
    <w:rsid w:val="00552BE8"/>
    <w:rsid w:val="00552DB2"/>
    <w:rsid w:val="00552E47"/>
    <w:rsid w:val="00552FCC"/>
    <w:rsid w:val="0055321D"/>
    <w:rsid w:val="00553242"/>
    <w:rsid w:val="005534C1"/>
    <w:rsid w:val="005534DE"/>
    <w:rsid w:val="005535C1"/>
    <w:rsid w:val="00553683"/>
    <w:rsid w:val="005538C1"/>
    <w:rsid w:val="00553AFD"/>
    <w:rsid w:val="00553D85"/>
    <w:rsid w:val="00553F9F"/>
    <w:rsid w:val="00554038"/>
    <w:rsid w:val="0055418A"/>
    <w:rsid w:val="00554193"/>
    <w:rsid w:val="00554208"/>
    <w:rsid w:val="00554406"/>
    <w:rsid w:val="00554563"/>
    <w:rsid w:val="005548B0"/>
    <w:rsid w:val="005549E0"/>
    <w:rsid w:val="00554A3A"/>
    <w:rsid w:val="00554C10"/>
    <w:rsid w:val="00555208"/>
    <w:rsid w:val="00555483"/>
    <w:rsid w:val="00555571"/>
    <w:rsid w:val="00555764"/>
    <w:rsid w:val="00555887"/>
    <w:rsid w:val="00555BAC"/>
    <w:rsid w:val="00555BD5"/>
    <w:rsid w:val="00555C57"/>
    <w:rsid w:val="00555C67"/>
    <w:rsid w:val="00555D46"/>
    <w:rsid w:val="00555E1E"/>
    <w:rsid w:val="00556067"/>
    <w:rsid w:val="00556202"/>
    <w:rsid w:val="0055622D"/>
    <w:rsid w:val="00556397"/>
    <w:rsid w:val="00556533"/>
    <w:rsid w:val="00556631"/>
    <w:rsid w:val="00556817"/>
    <w:rsid w:val="005568E0"/>
    <w:rsid w:val="00556F80"/>
    <w:rsid w:val="0055741E"/>
    <w:rsid w:val="00557E56"/>
    <w:rsid w:val="005604AE"/>
    <w:rsid w:val="005606AE"/>
    <w:rsid w:val="0056075D"/>
    <w:rsid w:val="0056087A"/>
    <w:rsid w:val="00560920"/>
    <w:rsid w:val="005609AD"/>
    <w:rsid w:val="00560E51"/>
    <w:rsid w:val="00560E79"/>
    <w:rsid w:val="005611D5"/>
    <w:rsid w:val="00561252"/>
    <w:rsid w:val="005612F5"/>
    <w:rsid w:val="005613F1"/>
    <w:rsid w:val="00561D84"/>
    <w:rsid w:val="00561EE3"/>
    <w:rsid w:val="00562221"/>
    <w:rsid w:val="00562420"/>
    <w:rsid w:val="005626F3"/>
    <w:rsid w:val="00562866"/>
    <w:rsid w:val="00562E9E"/>
    <w:rsid w:val="00562EA4"/>
    <w:rsid w:val="00562ED6"/>
    <w:rsid w:val="00563407"/>
    <w:rsid w:val="00563724"/>
    <w:rsid w:val="00563B3D"/>
    <w:rsid w:val="00563C18"/>
    <w:rsid w:val="00563C80"/>
    <w:rsid w:val="00563D6B"/>
    <w:rsid w:val="00563D84"/>
    <w:rsid w:val="00563DC6"/>
    <w:rsid w:val="0056404A"/>
    <w:rsid w:val="00564188"/>
    <w:rsid w:val="005641A5"/>
    <w:rsid w:val="005646F1"/>
    <w:rsid w:val="0056477B"/>
    <w:rsid w:val="005648A9"/>
    <w:rsid w:val="0056497D"/>
    <w:rsid w:val="00564ABD"/>
    <w:rsid w:val="005651ED"/>
    <w:rsid w:val="00565520"/>
    <w:rsid w:val="005655D4"/>
    <w:rsid w:val="00565BBD"/>
    <w:rsid w:val="00565DAC"/>
    <w:rsid w:val="00565E55"/>
    <w:rsid w:val="00565E65"/>
    <w:rsid w:val="00565FB0"/>
    <w:rsid w:val="00566167"/>
    <w:rsid w:val="0056622F"/>
    <w:rsid w:val="00566600"/>
    <w:rsid w:val="005667D3"/>
    <w:rsid w:val="00566F65"/>
    <w:rsid w:val="00567108"/>
    <w:rsid w:val="0056745A"/>
    <w:rsid w:val="0056750A"/>
    <w:rsid w:val="005676A9"/>
    <w:rsid w:val="005679CD"/>
    <w:rsid w:val="00567E2B"/>
    <w:rsid w:val="00567FF7"/>
    <w:rsid w:val="00570235"/>
    <w:rsid w:val="00570976"/>
    <w:rsid w:val="00570A29"/>
    <w:rsid w:val="00570CFD"/>
    <w:rsid w:val="0057102C"/>
    <w:rsid w:val="005712CE"/>
    <w:rsid w:val="005712DE"/>
    <w:rsid w:val="005713BA"/>
    <w:rsid w:val="00571423"/>
    <w:rsid w:val="0057147D"/>
    <w:rsid w:val="00571ADB"/>
    <w:rsid w:val="00571B70"/>
    <w:rsid w:val="00571F9D"/>
    <w:rsid w:val="0057226E"/>
    <w:rsid w:val="0057234F"/>
    <w:rsid w:val="0057238C"/>
    <w:rsid w:val="00572BF5"/>
    <w:rsid w:val="00572C46"/>
    <w:rsid w:val="00572FEB"/>
    <w:rsid w:val="005734DF"/>
    <w:rsid w:val="00573524"/>
    <w:rsid w:val="0057358F"/>
    <w:rsid w:val="00573BF8"/>
    <w:rsid w:val="00573CA5"/>
    <w:rsid w:val="00573E66"/>
    <w:rsid w:val="00573EF4"/>
    <w:rsid w:val="00574396"/>
    <w:rsid w:val="00574467"/>
    <w:rsid w:val="00574685"/>
    <w:rsid w:val="00574842"/>
    <w:rsid w:val="005748B4"/>
    <w:rsid w:val="00574B5B"/>
    <w:rsid w:val="00574C7E"/>
    <w:rsid w:val="00574D53"/>
    <w:rsid w:val="00574E0B"/>
    <w:rsid w:val="00574EE1"/>
    <w:rsid w:val="005754E0"/>
    <w:rsid w:val="0057570B"/>
    <w:rsid w:val="00575841"/>
    <w:rsid w:val="00575A6A"/>
    <w:rsid w:val="00575BC6"/>
    <w:rsid w:val="00575CB1"/>
    <w:rsid w:val="00575F5A"/>
    <w:rsid w:val="005765EF"/>
    <w:rsid w:val="00576A67"/>
    <w:rsid w:val="00576B76"/>
    <w:rsid w:val="00576BED"/>
    <w:rsid w:val="00576C8D"/>
    <w:rsid w:val="0057722B"/>
    <w:rsid w:val="005775C3"/>
    <w:rsid w:val="00577794"/>
    <w:rsid w:val="00577B23"/>
    <w:rsid w:val="00577C18"/>
    <w:rsid w:val="00577C71"/>
    <w:rsid w:val="00577C81"/>
    <w:rsid w:val="00577F6C"/>
    <w:rsid w:val="0058010C"/>
    <w:rsid w:val="005801B7"/>
    <w:rsid w:val="00580297"/>
    <w:rsid w:val="0058039A"/>
    <w:rsid w:val="0058058B"/>
    <w:rsid w:val="005807AA"/>
    <w:rsid w:val="00580B7C"/>
    <w:rsid w:val="00580BCE"/>
    <w:rsid w:val="00580C98"/>
    <w:rsid w:val="00580DB6"/>
    <w:rsid w:val="0058117F"/>
    <w:rsid w:val="0058137D"/>
    <w:rsid w:val="00581652"/>
    <w:rsid w:val="0058167A"/>
    <w:rsid w:val="005818B6"/>
    <w:rsid w:val="00581A18"/>
    <w:rsid w:val="00581ABA"/>
    <w:rsid w:val="00581D90"/>
    <w:rsid w:val="00581E7E"/>
    <w:rsid w:val="00582037"/>
    <w:rsid w:val="00582180"/>
    <w:rsid w:val="00582415"/>
    <w:rsid w:val="00582479"/>
    <w:rsid w:val="0058292C"/>
    <w:rsid w:val="00582A10"/>
    <w:rsid w:val="00582C7B"/>
    <w:rsid w:val="00582F21"/>
    <w:rsid w:val="00582F52"/>
    <w:rsid w:val="00582FA3"/>
    <w:rsid w:val="00583060"/>
    <w:rsid w:val="00583160"/>
    <w:rsid w:val="0058337F"/>
    <w:rsid w:val="0058349C"/>
    <w:rsid w:val="0058358B"/>
    <w:rsid w:val="005836A5"/>
    <w:rsid w:val="00583770"/>
    <w:rsid w:val="00583C8F"/>
    <w:rsid w:val="00583D6F"/>
    <w:rsid w:val="00583E4E"/>
    <w:rsid w:val="0058402D"/>
    <w:rsid w:val="0058409A"/>
    <w:rsid w:val="005840D4"/>
    <w:rsid w:val="0058410B"/>
    <w:rsid w:val="0058429A"/>
    <w:rsid w:val="00584513"/>
    <w:rsid w:val="00584814"/>
    <w:rsid w:val="0058481C"/>
    <w:rsid w:val="00584964"/>
    <w:rsid w:val="00584B37"/>
    <w:rsid w:val="00584BB3"/>
    <w:rsid w:val="00584F25"/>
    <w:rsid w:val="00584F72"/>
    <w:rsid w:val="00584F88"/>
    <w:rsid w:val="00585017"/>
    <w:rsid w:val="00585149"/>
    <w:rsid w:val="005854C8"/>
    <w:rsid w:val="005855B5"/>
    <w:rsid w:val="0058568E"/>
    <w:rsid w:val="00585808"/>
    <w:rsid w:val="0058586F"/>
    <w:rsid w:val="00585949"/>
    <w:rsid w:val="00585A4E"/>
    <w:rsid w:val="00585B27"/>
    <w:rsid w:val="00585D88"/>
    <w:rsid w:val="00585DC0"/>
    <w:rsid w:val="00585E4B"/>
    <w:rsid w:val="00585FCC"/>
    <w:rsid w:val="00586749"/>
    <w:rsid w:val="005869FA"/>
    <w:rsid w:val="00586AEE"/>
    <w:rsid w:val="00587044"/>
    <w:rsid w:val="00587277"/>
    <w:rsid w:val="005872CB"/>
    <w:rsid w:val="00587515"/>
    <w:rsid w:val="005875EA"/>
    <w:rsid w:val="00587B67"/>
    <w:rsid w:val="00587BBC"/>
    <w:rsid w:val="00587DE0"/>
    <w:rsid w:val="00587EC5"/>
    <w:rsid w:val="00587F38"/>
    <w:rsid w:val="00587FE7"/>
    <w:rsid w:val="00590389"/>
    <w:rsid w:val="00590868"/>
    <w:rsid w:val="005908EF"/>
    <w:rsid w:val="00590970"/>
    <w:rsid w:val="00590A35"/>
    <w:rsid w:val="00590B2E"/>
    <w:rsid w:val="00590B9F"/>
    <w:rsid w:val="0059136A"/>
    <w:rsid w:val="00591690"/>
    <w:rsid w:val="005918B7"/>
    <w:rsid w:val="00591D61"/>
    <w:rsid w:val="00592009"/>
    <w:rsid w:val="0059235B"/>
    <w:rsid w:val="005925C3"/>
    <w:rsid w:val="00592983"/>
    <w:rsid w:val="00592B25"/>
    <w:rsid w:val="00592BD1"/>
    <w:rsid w:val="0059323E"/>
    <w:rsid w:val="00593325"/>
    <w:rsid w:val="005933BD"/>
    <w:rsid w:val="00593459"/>
    <w:rsid w:val="00593532"/>
    <w:rsid w:val="005936A4"/>
    <w:rsid w:val="005939E4"/>
    <w:rsid w:val="00593B5D"/>
    <w:rsid w:val="00593BD0"/>
    <w:rsid w:val="00594984"/>
    <w:rsid w:val="00594B16"/>
    <w:rsid w:val="00594D74"/>
    <w:rsid w:val="005952FF"/>
    <w:rsid w:val="00595583"/>
    <w:rsid w:val="00595720"/>
    <w:rsid w:val="00595921"/>
    <w:rsid w:val="00595B2D"/>
    <w:rsid w:val="005960C8"/>
    <w:rsid w:val="005963A2"/>
    <w:rsid w:val="005965A4"/>
    <w:rsid w:val="00596707"/>
    <w:rsid w:val="005967DD"/>
    <w:rsid w:val="005967F7"/>
    <w:rsid w:val="0059681A"/>
    <w:rsid w:val="0059695B"/>
    <w:rsid w:val="005969A4"/>
    <w:rsid w:val="00596B2D"/>
    <w:rsid w:val="00596EE7"/>
    <w:rsid w:val="0059722F"/>
    <w:rsid w:val="00597290"/>
    <w:rsid w:val="005972A7"/>
    <w:rsid w:val="005972C0"/>
    <w:rsid w:val="0059731C"/>
    <w:rsid w:val="00597492"/>
    <w:rsid w:val="00597862"/>
    <w:rsid w:val="005979E5"/>
    <w:rsid w:val="00597E73"/>
    <w:rsid w:val="00597EAA"/>
    <w:rsid w:val="005A04FF"/>
    <w:rsid w:val="005A0565"/>
    <w:rsid w:val="005A0807"/>
    <w:rsid w:val="005A0D30"/>
    <w:rsid w:val="005A0D59"/>
    <w:rsid w:val="005A0F8C"/>
    <w:rsid w:val="005A1181"/>
    <w:rsid w:val="005A1285"/>
    <w:rsid w:val="005A143C"/>
    <w:rsid w:val="005A16D1"/>
    <w:rsid w:val="005A1713"/>
    <w:rsid w:val="005A2037"/>
    <w:rsid w:val="005A20E1"/>
    <w:rsid w:val="005A2139"/>
    <w:rsid w:val="005A217C"/>
    <w:rsid w:val="005A256D"/>
    <w:rsid w:val="005A284F"/>
    <w:rsid w:val="005A2A65"/>
    <w:rsid w:val="005A2A92"/>
    <w:rsid w:val="005A2B25"/>
    <w:rsid w:val="005A2C3F"/>
    <w:rsid w:val="005A2C8E"/>
    <w:rsid w:val="005A2CD8"/>
    <w:rsid w:val="005A2F95"/>
    <w:rsid w:val="005A3217"/>
    <w:rsid w:val="005A3376"/>
    <w:rsid w:val="005A35C9"/>
    <w:rsid w:val="005A3728"/>
    <w:rsid w:val="005A3BD9"/>
    <w:rsid w:val="005A41B2"/>
    <w:rsid w:val="005A442D"/>
    <w:rsid w:val="005A4482"/>
    <w:rsid w:val="005A47F0"/>
    <w:rsid w:val="005A4B0B"/>
    <w:rsid w:val="005A5150"/>
    <w:rsid w:val="005A51C5"/>
    <w:rsid w:val="005A51DF"/>
    <w:rsid w:val="005A5504"/>
    <w:rsid w:val="005A5845"/>
    <w:rsid w:val="005A5921"/>
    <w:rsid w:val="005A59E9"/>
    <w:rsid w:val="005A5DC9"/>
    <w:rsid w:val="005A5E0A"/>
    <w:rsid w:val="005A5E44"/>
    <w:rsid w:val="005A5FC0"/>
    <w:rsid w:val="005A6290"/>
    <w:rsid w:val="005A62A5"/>
    <w:rsid w:val="005A63A8"/>
    <w:rsid w:val="005A6764"/>
    <w:rsid w:val="005A689E"/>
    <w:rsid w:val="005A68C3"/>
    <w:rsid w:val="005A69EB"/>
    <w:rsid w:val="005A69F6"/>
    <w:rsid w:val="005A6D95"/>
    <w:rsid w:val="005A6DA8"/>
    <w:rsid w:val="005A6EA7"/>
    <w:rsid w:val="005A70BE"/>
    <w:rsid w:val="005A70C8"/>
    <w:rsid w:val="005A74D0"/>
    <w:rsid w:val="005A76F3"/>
    <w:rsid w:val="005B03EE"/>
    <w:rsid w:val="005B0665"/>
    <w:rsid w:val="005B0886"/>
    <w:rsid w:val="005B0B0B"/>
    <w:rsid w:val="005B0BE2"/>
    <w:rsid w:val="005B0DF5"/>
    <w:rsid w:val="005B0FA4"/>
    <w:rsid w:val="005B0FD9"/>
    <w:rsid w:val="005B1217"/>
    <w:rsid w:val="005B12C1"/>
    <w:rsid w:val="005B1435"/>
    <w:rsid w:val="005B148A"/>
    <w:rsid w:val="005B1557"/>
    <w:rsid w:val="005B17D2"/>
    <w:rsid w:val="005B18A4"/>
    <w:rsid w:val="005B1A97"/>
    <w:rsid w:val="005B1D91"/>
    <w:rsid w:val="005B1DAB"/>
    <w:rsid w:val="005B1F49"/>
    <w:rsid w:val="005B21EF"/>
    <w:rsid w:val="005B2230"/>
    <w:rsid w:val="005B25FC"/>
    <w:rsid w:val="005B261E"/>
    <w:rsid w:val="005B2714"/>
    <w:rsid w:val="005B2742"/>
    <w:rsid w:val="005B27DE"/>
    <w:rsid w:val="005B2889"/>
    <w:rsid w:val="005B2D6E"/>
    <w:rsid w:val="005B3182"/>
    <w:rsid w:val="005B3263"/>
    <w:rsid w:val="005B32A2"/>
    <w:rsid w:val="005B357D"/>
    <w:rsid w:val="005B3601"/>
    <w:rsid w:val="005B389A"/>
    <w:rsid w:val="005B3B5F"/>
    <w:rsid w:val="005B3B86"/>
    <w:rsid w:val="005B3E3B"/>
    <w:rsid w:val="005B3F25"/>
    <w:rsid w:val="005B40E7"/>
    <w:rsid w:val="005B42B2"/>
    <w:rsid w:val="005B43BB"/>
    <w:rsid w:val="005B43CD"/>
    <w:rsid w:val="005B443F"/>
    <w:rsid w:val="005B452C"/>
    <w:rsid w:val="005B454E"/>
    <w:rsid w:val="005B47BB"/>
    <w:rsid w:val="005B49F1"/>
    <w:rsid w:val="005B4B1A"/>
    <w:rsid w:val="005B4F63"/>
    <w:rsid w:val="005B5114"/>
    <w:rsid w:val="005B56C2"/>
    <w:rsid w:val="005B56E6"/>
    <w:rsid w:val="005B57A0"/>
    <w:rsid w:val="005B58BF"/>
    <w:rsid w:val="005B58FE"/>
    <w:rsid w:val="005B59F9"/>
    <w:rsid w:val="005B5B73"/>
    <w:rsid w:val="005B5C47"/>
    <w:rsid w:val="005B5C77"/>
    <w:rsid w:val="005B5C84"/>
    <w:rsid w:val="005B5CF2"/>
    <w:rsid w:val="005B5CF8"/>
    <w:rsid w:val="005B5D33"/>
    <w:rsid w:val="005B5D9A"/>
    <w:rsid w:val="005B604B"/>
    <w:rsid w:val="005B6297"/>
    <w:rsid w:val="005B6429"/>
    <w:rsid w:val="005B660D"/>
    <w:rsid w:val="005B6E38"/>
    <w:rsid w:val="005B718B"/>
    <w:rsid w:val="005B74E1"/>
    <w:rsid w:val="005B758F"/>
    <w:rsid w:val="005B75C3"/>
    <w:rsid w:val="005B762E"/>
    <w:rsid w:val="005B7A39"/>
    <w:rsid w:val="005B7DC2"/>
    <w:rsid w:val="005B7DD0"/>
    <w:rsid w:val="005C0364"/>
    <w:rsid w:val="005C04D1"/>
    <w:rsid w:val="005C04DF"/>
    <w:rsid w:val="005C10E0"/>
    <w:rsid w:val="005C123F"/>
    <w:rsid w:val="005C1450"/>
    <w:rsid w:val="005C1465"/>
    <w:rsid w:val="005C15A9"/>
    <w:rsid w:val="005C170E"/>
    <w:rsid w:val="005C17BD"/>
    <w:rsid w:val="005C17D3"/>
    <w:rsid w:val="005C17D5"/>
    <w:rsid w:val="005C1B7A"/>
    <w:rsid w:val="005C1CE6"/>
    <w:rsid w:val="005C1F36"/>
    <w:rsid w:val="005C1F5E"/>
    <w:rsid w:val="005C1FDC"/>
    <w:rsid w:val="005C2286"/>
    <w:rsid w:val="005C239C"/>
    <w:rsid w:val="005C2638"/>
    <w:rsid w:val="005C267B"/>
    <w:rsid w:val="005C268C"/>
    <w:rsid w:val="005C27B3"/>
    <w:rsid w:val="005C2EFA"/>
    <w:rsid w:val="005C2F53"/>
    <w:rsid w:val="005C3007"/>
    <w:rsid w:val="005C308E"/>
    <w:rsid w:val="005C30CA"/>
    <w:rsid w:val="005C33FF"/>
    <w:rsid w:val="005C3498"/>
    <w:rsid w:val="005C364B"/>
    <w:rsid w:val="005C371A"/>
    <w:rsid w:val="005C3C62"/>
    <w:rsid w:val="005C3C99"/>
    <w:rsid w:val="005C3CFC"/>
    <w:rsid w:val="005C3F12"/>
    <w:rsid w:val="005C3F74"/>
    <w:rsid w:val="005C4240"/>
    <w:rsid w:val="005C4363"/>
    <w:rsid w:val="005C469B"/>
    <w:rsid w:val="005C46B9"/>
    <w:rsid w:val="005C46BE"/>
    <w:rsid w:val="005C4A5D"/>
    <w:rsid w:val="005C4AFC"/>
    <w:rsid w:val="005C4EA6"/>
    <w:rsid w:val="005C52FC"/>
    <w:rsid w:val="005C53CF"/>
    <w:rsid w:val="005C5457"/>
    <w:rsid w:val="005C546C"/>
    <w:rsid w:val="005C56FB"/>
    <w:rsid w:val="005C59AC"/>
    <w:rsid w:val="005C59D0"/>
    <w:rsid w:val="005C5BC8"/>
    <w:rsid w:val="005C5C2E"/>
    <w:rsid w:val="005C5C70"/>
    <w:rsid w:val="005C5E27"/>
    <w:rsid w:val="005C5EBB"/>
    <w:rsid w:val="005C5EFE"/>
    <w:rsid w:val="005C6124"/>
    <w:rsid w:val="005C65C3"/>
    <w:rsid w:val="005C65D7"/>
    <w:rsid w:val="005C6900"/>
    <w:rsid w:val="005C694F"/>
    <w:rsid w:val="005C6BD1"/>
    <w:rsid w:val="005C73AB"/>
    <w:rsid w:val="005C7465"/>
    <w:rsid w:val="005C7544"/>
    <w:rsid w:val="005C7CDA"/>
    <w:rsid w:val="005C7EF5"/>
    <w:rsid w:val="005D0298"/>
    <w:rsid w:val="005D02AD"/>
    <w:rsid w:val="005D02C3"/>
    <w:rsid w:val="005D034F"/>
    <w:rsid w:val="005D0498"/>
    <w:rsid w:val="005D076E"/>
    <w:rsid w:val="005D1112"/>
    <w:rsid w:val="005D13A0"/>
    <w:rsid w:val="005D14DF"/>
    <w:rsid w:val="005D1951"/>
    <w:rsid w:val="005D1CD6"/>
    <w:rsid w:val="005D1CDF"/>
    <w:rsid w:val="005D20B5"/>
    <w:rsid w:val="005D24D6"/>
    <w:rsid w:val="005D2768"/>
    <w:rsid w:val="005D2777"/>
    <w:rsid w:val="005D28F5"/>
    <w:rsid w:val="005D2A40"/>
    <w:rsid w:val="005D2B03"/>
    <w:rsid w:val="005D2E77"/>
    <w:rsid w:val="005D3124"/>
    <w:rsid w:val="005D312F"/>
    <w:rsid w:val="005D3164"/>
    <w:rsid w:val="005D33A8"/>
    <w:rsid w:val="005D34DD"/>
    <w:rsid w:val="005D34ED"/>
    <w:rsid w:val="005D3ABB"/>
    <w:rsid w:val="005D3EAE"/>
    <w:rsid w:val="005D3FC5"/>
    <w:rsid w:val="005D43E2"/>
    <w:rsid w:val="005D43FA"/>
    <w:rsid w:val="005D475B"/>
    <w:rsid w:val="005D478B"/>
    <w:rsid w:val="005D4D77"/>
    <w:rsid w:val="005D4DEF"/>
    <w:rsid w:val="005D4E8E"/>
    <w:rsid w:val="005D5021"/>
    <w:rsid w:val="005D5178"/>
    <w:rsid w:val="005D5881"/>
    <w:rsid w:val="005D5A21"/>
    <w:rsid w:val="005D5ADC"/>
    <w:rsid w:val="005D5CCF"/>
    <w:rsid w:val="005D5D0C"/>
    <w:rsid w:val="005D5D84"/>
    <w:rsid w:val="005D60B8"/>
    <w:rsid w:val="005D61E1"/>
    <w:rsid w:val="005D6234"/>
    <w:rsid w:val="005D648A"/>
    <w:rsid w:val="005D65F2"/>
    <w:rsid w:val="005D667C"/>
    <w:rsid w:val="005D691A"/>
    <w:rsid w:val="005D69B1"/>
    <w:rsid w:val="005D6DB4"/>
    <w:rsid w:val="005D7024"/>
    <w:rsid w:val="005D7380"/>
    <w:rsid w:val="005D7698"/>
    <w:rsid w:val="005D76D6"/>
    <w:rsid w:val="005D7936"/>
    <w:rsid w:val="005D7CC0"/>
    <w:rsid w:val="005D7FB9"/>
    <w:rsid w:val="005E025E"/>
    <w:rsid w:val="005E039B"/>
    <w:rsid w:val="005E0699"/>
    <w:rsid w:val="005E0790"/>
    <w:rsid w:val="005E085E"/>
    <w:rsid w:val="005E08AC"/>
    <w:rsid w:val="005E09BC"/>
    <w:rsid w:val="005E0B24"/>
    <w:rsid w:val="005E0CC3"/>
    <w:rsid w:val="005E0F43"/>
    <w:rsid w:val="005E0FFD"/>
    <w:rsid w:val="005E143E"/>
    <w:rsid w:val="005E1556"/>
    <w:rsid w:val="005E19C9"/>
    <w:rsid w:val="005E1A71"/>
    <w:rsid w:val="005E1C01"/>
    <w:rsid w:val="005E1C4A"/>
    <w:rsid w:val="005E1CBD"/>
    <w:rsid w:val="005E1EBC"/>
    <w:rsid w:val="005E2273"/>
    <w:rsid w:val="005E2281"/>
    <w:rsid w:val="005E244F"/>
    <w:rsid w:val="005E2508"/>
    <w:rsid w:val="005E256B"/>
    <w:rsid w:val="005E2597"/>
    <w:rsid w:val="005E2A7F"/>
    <w:rsid w:val="005E2BD3"/>
    <w:rsid w:val="005E2D87"/>
    <w:rsid w:val="005E3121"/>
    <w:rsid w:val="005E3297"/>
    <w:rsid w:val="005E3400"/>
    <w:rsid w:val="005E349F"/>
    <w:rsid w:val="005E39D0"/>
    <w:rsid w:val="005E3EA1"/>
    <w:rsid w:val="005E4521"/>
    <w:rsid w:val="005E49A4"/>
    <w:rsid w:val="005E4E61"/>
    <w:rsid w:val="005E4E6F"/>
    <w:rsid w:val="005E4FAC"/>
    <w:rsid w:val="005E50F0"/>
    <w:rsid w:val="005E5145"/>
    <w:rsid w:val="005E5208"/>
    <w:rsid w:val="005E52B6"/>
    <w:rsid w:val="005E532F"/>
    <w:rsid w:val="005E54BA"/>
    <w:rsid w:val="005E5571"/>
    <w:rsid w:val="005E5881"/>
    <w:rsid w:val="005E604A"/>
    <w:rsid w:val="005E60D0"/>
    <w:rsid w:val="005E638E"/>
    <w:rsid w:val="005E63D4"/>
    <w:rsid w:val="005E643E"/>
    <w:rsid w:val="005E6C32"/>
    <w:rsid w:val="005E6D51"/>
    <w:rsid w:val="005E71AA"/>
    <w:rsid w:val="005E7513"/>
    <w:rsid w:val="005E786A"/>
    <w:rsid w:val="005E79B3"/>
    <w:rsid w:val="005E7C93"/>
    <w:rsid w:val="005E7D8F"/>
    <w:rsid w:val="005F0361"/>
    <w:rsid w:val="005F0683"/>
    <w:rsid w:val="005F06B0"/>
    <w:rsid w:val="005F06BB"/>
    <w:rsid w:val="005F06D4"/>
    <w:rsid w:val="005F07CF"/>
    <w:rsid w:val="005F090D"/>
    <w:rsid w:val="005F0C51"/>
    <w:rsid w:val="005F0DA1"/>
    <w:rsid w:val="005F0EE1"/>
    <w:rsid w:val="005F10B4"/>
    <w:rsid w:val="005F1637"/>
    <w:rsid w:val="005F19A1"/>
    <w:rsid w:val="005F1AD7"/>
    <w:rsid w:val="005F215D"/>
    <w:rsid w:val="005F275B"/>
    <w:rsid w:val="005F29B4"/>
    <w:rsid w:val="005F2AFB"/>
    <w:rsid w:val="005F2B17"/>
    <w:rsid w:val="005F2DA1"/>
    <w:rsid w:val="005F30D5"/>
    <w:rsid w:val="005F35A0"/>
    <w:rsid w:val="005F3914"/>
    <w:rsid w:val="005F3EFC"/>
    <w:rsid w:val="005F40CB"/>
    <w:rsid w:val="005F42F8"/>
    <w:rsid w:val="005F44C4"/>
    <w:rsid w:val="005F476E"/>
    <w:rsid w:val="005F4793"/>
    <w:rsid w:val="005F4D31"/>
    <w:rsid w:val="005F509E"/>
    <w:rsid w:val="005F50BC"/>
    <w:rsid w:val="005F5734"/>
    <w:rsid w:val="005F5CA9"/>
    <w:rsid w:val="005F5F82"/>
    <w:rsid w:val="005F6062"/>
    <w:rsid w:val="005F60A4"/>
    <w:rsid w:val="005F6236"/>
    <w:rsid w:val="005F655F"/>
    <w:rsid w:val="005F6721"/>
    <w:rsid w:val="005F67BC"/>
    <w:rsid w:val="005F6B9F"/>
    <w:rsid w:val="005F6CF7"/>
    <w:rsid w:val="005F6EDD"/>
    <w:rsid w:val="005F71E9"/>
    <w:rsid w:val="005F7271"/>
    <w:rsid w:val="005F73DB"/>
    <w:rsid w:val="005F744F"/>
    <w:rsid w:val="005F7457"/>
    <w:rsid w:val="005F7935"/>
    <w:rsid w:val="005F7DBC"/>
    <w:rsid w:val="00600536"/>
    <w:rsid w:val="00600675"/>
    <w:rsid w:val="0060087C"/>
    <w:rsid w:val="00600945"/>
    <w:rsid w:val="006009B5"/>
    <w:rsid w:val="00600A2B"/>
    <w:rsid w:val="00600AB5"/>
    <w:rsid w:val="00600DB5"/>
    <w:rsid w:val="00600E45"/>
    <w:rsid w:val="00600F53"/>
    <w:rsid w:val="006011F6"/>
    <w:rsid w:val="006013A5"/>
    <w:rsid w:val="0060172B"/>
    <w:rsid w:val="00601973"/>
    <w:rsid w:val="00601A1A"/>
    <w:rsid w:val="00601AEB"/>
    <w:rsid w:val="00601E4F"/>
    <w:rsid w:val="0060260A"/>
    <w:rsid w:val="00602698"/>
    <w:rsid w:val="00602746"/>
    <w:rsid w:val="00602A02"/>
    <w:rsid w:val="00602BD6"/>
    <w:rsid w:val="00602DDE"/>
    <w:rsid w:val="00602F88"/>
    <w:rsid w:val="006032E9"/>
    <w:rsid w:val="006033AD"/>
    <w:rsid w:val="006035E8"/>
    <w:rsid w:val="00603A75"/>
    <w:rsid w:val="00603CAD"/>
    <w:rsid w:val="00603E0B"/>
    <w:rsid w:val="00603FA7"/>
    <w:rsid w:val="00604067"/>
    <w:rsid w:val="006040A7"/>
    <w:rsid w:val="00604126"/>
    <w:rsid w:val="00604184"/>
    <w:rsid w:val="00604332"/>
    <w:rsid w:val="006045D6"/>
    <w:rsid w:val="006046B4"/>
    <w:rsid w:val="00605294"/>
    <w:rsid w:val="006055EC"/>
    <w:rsid w:val="006056B0"/>
    <w:rsid w:val="006058EE"/>
    <w:rsid w:val="00605B2C"/>
    <w:rsid w:val="00605BF8"/>
    <w:rsid w:val="00605C33"/>
    <w:rsid w:val="00605FBE"/>
    <w:rsid w:val="00606267"/>
    <w:rsid w:val="006062D2"/>
    <w:rsid w:val="00606670"/>
    <w:rsid w:val="0060679D"/>
    <w:rsid w:val="00606BBC"/>
    <w:rsid w:val="00606CCA"/>
    <w:rsid w:val="00606CEE"/>
    <w:rsid w:val="00606D1B"/>
    <w:rsid w:val="006072E4"/>
    <w:rsid w:val="00607415"/>
    <w:rsid w:val="006077CC"/>
    <w:rsid w:val="00610388"/>
    <w:rsid w:val="00610558"/>
    <w:rsid w:val="006105EC"/>
    <w:rsid w:val="0061069C"/>
    <w:rsid w:val="00610B29"/>
    <w:rsid w:val="00610C5A"/>
    <w:rsid w:val="00610C7E"/>
    <w:rsid w:val="00611051"/>
    <w:rsid w:val="00611241"/>
    <w:rsid w:val="00611428"/>
    <w:rsid w:val="00611753"/>
    <w:rsid w:val="006117E8"/>
    <w:rsid w:val="0061183C"/>
    <w:rsid w:val="00611869"/>
    <w:rsid w:val="0061188E"/>
    <w:rsid w:val="00611C35"/>
    <w:rsid w:val="00611DA8"/>
    <w:rsid w:val="006121D4"/>
    <w:rsid w:val="006123E7"/>
    <w:rsid w:val="00612410"/>
    <w:rsid w:val="0061261F"/>
    <w:rsid w:val="006126BB"/>
    <w:rsid w:val="006126E3"/>
    <w:rsid w:val="006128E3"/>
    <w:rsid w:val="00612B11"/>
    <w:rsid w:val="00612D9A"/>
    <w:rsid w:val="00613091"/>
    <w:rsid w:val="00613203"/>
    <w:rsid w:val="00613399"/>
    <w:rsid w:val="00613459"/>
    <w:rsid w:val="006134D4"/>
    <w:rsid w:val="006135ED"/>
    <w:rsid w:val="0061375C"/>
    <w:rsid w:val="00613C1C"/>
    <w:rsid w:val="00613DDD"/>
    <w:rsid w:val="00613E05"/>
    <w:rsid w:val="00614011"/>
    <w:rsid w:val="006141DC"/>
    <w:rsid w:val="0061431E"/>
    <w:rsid w:val="006143D2"/>
    <w:rsid w:val="00614509"/>
    <w:rsid w:val="006146B3"/>
    <w:rsid w:val="00614878"/>
    <w:rsid w:val="00614972"/>
    <w:rsid w:val="0061499F"/>
    <w:rsid w:val="006149F8"/>
    <w:rsid w:val="00614CEC"/>
    <w:rsid w:val="006155F2"/>
    <w:rsid w:val="00615635"/>
    <w:rsid w:val="00615A4D"/>
    <w:rsid w:val="00615C92"/>
    <w:rsid w:val="0061610B"/>
    <w:rsid w:val="006163A0"/>
    <w:rsid w:val="0061683E"/>
    <w:rsid w:val="0061695A"/>
    <w:rsid w:val="00616E0B"/>
    <w:rsid w:val="00616E2B"/>
    <w:rsid w:val="00616E8F"/>
    <w:rsid w:val="006174D8"/>
    <w:rsid w:val="00617542"/>
    <w:rsid w:val="006178E8"/>
    <w:rsid w:val="00617945"/>
    <w:rsid w:val="00617ADE"/>
    <w:rsid w:val="00617AFA"/>
    <w:rsid w:val="00617B7D"/>
    <w:rsid w:val="00617D03"/>
    <w:rsid w:val="00620323"/>
    <w:rsid w:val="006206F0"/>
    <w:rsid w:val="0062127F"/>
    <w:rsid w:val="0062132D"/>
    <w:rsid w:val="006217E9"/>
    <w:rsid w:val="00621BC3"/>
    <w:rsid w:val="00621EE9"/>
    <w:rsid w:val="006221F0"/>
    <w:rsid w:val="0062234D"/>
    <w:rsid w:val="0062237F"/>
    <w:rsid w:val="006224A6"/>
    <w:rsid w:val="0062299B"/>
    <w:rsid w:val="00622D8D"/>
    <w:rsid w:val="00623071"/>
    <w:rsid w:val="0062313C"/>
    <w:rsid w:val="00623AB8"/>
    <w:rsid w:val="00623F73"/>
    <w:rsid w:val="00624182"/>
    <w:rsid w:val="006242CD"/>
    <w:rsid w:val="006243B5"/>
    <w:rsid w:val="00624556"/>
    <w:rsid w:val="0062466C"/>
    <w:rsid w:val="00624893"/>
    <w:rsid w:val="00624A35"/>
    <w:rsid w:val="00624CBD"/>
    <w:rsid w:val="00624E14"/>
    <w:rsid w:val="00624E52"/>
    <w:rsid w:val="00625855"/>
    <w:rsid w:val="00625AD4"/>
    <w:rsid w:val="00625FCF"/>
    <w:rsid w:val="00626386"/>
    <w:rsid w:val="00626839"/>
    <w:rsid w:val="0062683B"/>
    <w:rsid w:val="006268F1"/>
    <w:rsid w:val="00627451"/>
    <w:rsid w:val="00627671"/>
    <w:rsid w:val="006277A7"/>
    <w:rsid w:val="00627C79"/>
    <w:rsid w:val="00627CE1"/>
    <w:rsid w:val="00627EEB"/>
    <w:rsid w:val="00627F4D"/>
    <w:rsid w:val="006302C3"/>
    <w:rsid w:val="006302D0"/>
    <w:rsid w:val="00630886"/>
    <w:rsid w:val="006309E8"/>
    <w:rsid w:val="00630B61"/>
    <w:rsid w:val="00630DF3"/>
    <w:rsid w:val="00630E1F"/>
    <w:rsid w:val="00631296"/>
    <w:rsid w:val="00631310"/>
    <w:rsid w:val="0063146E"/>
    <w:rsid w:val="00631503"/>
    <w:rsid w:val="00631551"/>
    <w:rsid w:val="00631BA2"/>
    <w:rsid w:val="0063233B"/>
    <w:rsid w:val="00632979"/>
    <w:rsid w:val="00632C24"/>
    <w:rsid w:val="00633102"/>
    <w:rsid w:val="00633235"/>
    <w:rsid w:val="0063335D"/>
    <w:rsid w:val="00633542"/>
    <w:rsid w:val="006336AA"/>
    <w:rsid w:val="006336D3"/>
    <w:rsid w:val="00633A64"/>
    <w:rsid w:val="00633B51"/>
    <w:rsid w:val="00633C06"/>
    <w:rsid w:val="00633EC9"/>
    <w:rsid w:val="00633F27"/>
    <w:rsid w:val="00634127"/>
    <w:rsid w:val="006343E6"/>
    <w:rsid w:val="00634996"/>
    <w:rsid w:val="006349E4"/>
    <w:rsid w:val="00634AFF"/>
    <w:rsid w:val="00634B08"/>
    <w:rsid w:val="00634B8C"/>
    <w:rsid w:val="00634E1B"/>
    <w:rsid w:val="006354AB"/>
    <w:rsid w:val="0063553A"/>
    <w:rsid w:val="006355E7"/>
    <w:rsid w:val="006359D6"/>
    <w:rsid w:val="0063647D"/>
    <w:rsid w:val="00636816"/>
    <w:rsid w:val="006368E1"/>
    <w:rsid w:val="00636967"/>
    <w:rsid w:val="00636B2B"/>
    <w:rsid w:val="00636BCA"/>
    <w:rsid w:val="00636C1A"/>
    <w:rsid w:val="00636CD1"/>
    <w:rsid w:val="00636F4A"/>
    <w:rsid w:val="00636FB6"/>
    <w:rsid w:val="00637044"/>
    <w:rsid w:val="00637585"/>
    <w:rsid w:val="006376CE"/>
    <w:rsid w:val="006376F8"/>
    <w:rsid w:val="00637808"/>
    <w:rsid w:val="00637960"/>
    <w:rsid w:val="00637B7A"/>
    <w:rsid w:val="00637BFF"/>
    <w:rsid w:val="00637F9F"/>
    <w:rsid w:val="00637FD0"/>
    <w:rsid w:val="00637FD7"/>
    <w:rsid w:val="00640018"/>
    <w:rsid w:val="00640131"/>
    <w:rsid w:val="00640603"/>
    <w:rsid w:val="006408D9"/>
    <w:rsid w:val="00640BFD"/>
    <w:rsid w:val="00640CD5"/>
    <w:rsid w:val="00640F50"/>
    <w:rsid w:val="00640F93"/>
    <w:rsid w:val="0064131A"/>
    <w:rsid w:val="006415F5"/>
    <w:rsid w:val="00641B5C"/>
    <w:rsid w:val="00641C1F"/>
    <w:rsid w:val="00641C34"/>
    <w:rsid w:val="00641EFE"/>
    <w:rsid w:val="0064275F"/>
    <w:rsid w:val="006429E8"/>
    <w:rsid w:val="00642A08"/>
    <w:rsid w:val="00642A0A"/>
    <w:rsid w:val="00642BE4"/>
    <w:rsid w:val="006434F9"/>
    <w:rsid w:val="0064359F"/>
    <w:rsid w:val="006435D1"/>
    <w:rsid w:val="00643BB1"/>
    <w:rsid w:val="00643E3C"/>
    <w:rsid w:val="00643F7F"/>
    <w:rsid w:val="00644068"/>
    <w:rsid w:val="00644171"/>
    <w:rsid w:val="006442FC"/>
    <w:rsid w:val="0064457D"/>
    <w:rsid w:val="0064459D"/>
    <w:rsid w:val="00644AE7"/>
    <w:rsid w:val="00644B21"/>
    <w:rsid w:val="00644E6D"/>
    <w:rsid w:val="0064510D"/>
    <w:rsid w:val="006452A9"/>
    <w:rsid w:val="00645381"/>
    <w:rsid w:val="00645582"/>
    <w:rsid w:val="006456D9"/>
    <w:rsid w:val="006456EE"/>
    <w:rsid w:val="00645777"/>
    <w:rsid w:val="006457A3"/>
    <w:rsid w:val="00645864"/>
    <w:rsid w:val="00645E0B"/>
    <w:rsid w:val="006460CA"/>
    <w:rsid w:val="006468C3"/>
    <w:rsid w:val="006468D8"/>
    <w:rsid w:val="0064694B"/>
    <w:rsid w:val="00646963"/>
    <w:rsid w:val="00646A4C"/>
    <w:rsid w:val="00646EC1"/>
    <w:rsid w:val="00646ED9"/>
    <w:rsid w:val="00646F99"/>
    <w:rsid w:val="00647059"/>
    <w:rsid w:val="006470F8"/>
    <w:rsid w:val="0064761B"/>
    <w:rsid w:val="006477B8"/>
    <w:rsid w:val="00647B1D"/>
    <w:rsid w:val="006503FD"/>
    <w:rsid w:val="006504FD"/>
    <w:rsid w:val="006507E0"/>
    <w:rsid w:val="00650A70"/>
    <w:rsid w:val="0065130B"/>
    <w:rsid w:val="00651370"/>
    <w:rsid w:val="006514C5"/>
    <w:rsid w:val="00651965"/>
    <w:rsid w:val="00651B8B"/>
    <w:rsid w:val="00651D13"/>
    <w:rsid w:val="00652344"/>
    <w:rsid w:val="0065237C"/>
    <w:rsid w:val="00652728"/>
    <w:rsid w:val="00652787"/>
    <w:rsid w:val="00652835"/>
    <w:rsid w:val="006529A4"/>
    <w:rsid w:val="00652E1C"/>
    <w:rsid w:val="00652ECC"/>
    <w:rsid w:val="00652F95"/>
    <w:rsid w:val="00652FCA"/>
    <w:rsid w:val="00653090"/>
    <w:rsid w:val="00653176"/>
    <w:rsid w:val="006533C9"/>
    <w:rsid w:val="006536C4"/>
    <w:rsid w:val="00653709"/>
    <w:rsid w:val="00653D39"/>
    <w:rsid w:val="00653D59"/>
    <w:rsid w:val="00653DA2"/>
    <w:rsid w:val="00653F71"/>
    <w:rsid w:val="0065429F"/>
    <w:rsid w:val="0065436C"/>
    <w:rsid w:val="0065443A"/>
    <w:rsid w:val="00654667"/>
    <w:rsid w:val="006547A3"/>
    <w:rsid w:val="006547AF"/>
    <w:rsid w:val="0065481B"/>
    <w:rsid w:val="00654ACB"/>
    <w:rsid w:val="00654F7E"/>
    <w:rsid w:val="006550DE"/>
    <w:rsid w:val="0065553F"/>
    <w:rsid w:val="006558DB"/>
    <w:rsid w:val="00655E19"/>
    <w:rsid w:val="00655E7C"/>
    <w:rsid w:val="00655F74"/>
    <w:rsid w:val="006560B1"/>
    <w:rsid w:val="006562EF"/>
    <w:rsid w:val="0065639F"/>
    <w:rsid w:val="006564FA"/>
    <w:rsid w:val="00656780"/>
    <w:rsid w:val="0065679B"/>
    <w:rsid w:val="00656850"/>
    <w:rsid w:val="00656ADD"/>
    <w:rsid w:val="00656D4C"/>
    <w:rsid w:val="00656F2B"/>
    <w:rsid w:val="00657350"/>
    <w:rsid w:val="00657857"/>
    <w:rsid w:val="00657BD2"/>
    <w:rsid w:val="00657BD9"/>
    <w:rsid w:val="00657C35"/>
    <w:rsid w:val="00657CC3"/>
    <w:rsid w:val="00660223"/>
    <w:rsid w:val="00660D0F"/>
    <w:rsid w:val="00660ED8"/>
    <w:rsid w:val="00660F35"/>
    <w:rsid w:val="006610D7"/>
    <w:rsid w:val="00661145"/>
    <w:rsid w:val="006616AD"/>
    <w:rsid w:val="006617DC"/>
    <w:rsid w:val="00661A13"/>
    <w:rsid w:val="00661A63"/>
    <w:rsid w:val="00661CA8"/>
    <w:rsid w:val="00661D15"/>
    <w:rsid w:val="00661D8C"/>
    <w:rsid w:val="00661EB8"/>
    <w:rsid w:val="00661EE3"/>
    <w:rsid w:val="00661FB3"/>
    <w:rsid w:val="00662151"/>
    <w:rsid w:val="00662159"/>
    <w:rsid w:val="0066244B"/>
    <w:rsid w:val="00662681"/>
    <w:rsid w:val="006626CC"/>
    <w:rsid w:val="00662733"/>
    <w:rsid w:val="006628C9"/>
    <w:rsid w:val="00662D5E"/>
    <w:rsid w:val="0066319E"/>
    <w:rsid w:val="0066344F"/>
    <w:rsid w:val="0066346B"/>
    <w:rsid w:val="00663811"/>
    <w:rsid w:val="00663B55"/>
    <w:rsid w:val="00663DD1"/>
    <w:rsid w:val="00663FDB"/>
    <w:rsid w:val="00664212"/>
    <w:rsid w:val="006645B2"/>
    <w:rsid w:val="00664686"/>
    <w:rsid w:val="0066469E"/>
    <w:rsid w:val="0066472D"/>
    <w:rsid w:val="006648BA"/>
    <w:rsid w:val="00664986"/>
    <w:rsid w:val="00664D3F"/>
    <w:rsid w:val="00664E56"/>
    <w:rsid w:val="006652B9"/>
    <w:rsid w:val="0066588E"/>
    <w:rsid w:val="00666052"/>
    <w:rsid w:val="006660E0"/>
    <w:rsid w:val="00666155"/>
    <w:rsid w:val="006664DE"/>
    <w:rsid w:val="006666E6"/>
    <w:rsid w:val="0066690B"/>
    <w:rsid w:val="0066691A"/>
    <w:rsid w:val="006669D3"/>
    <w:rsid w:val="00666D6D"/>
    <w:rsid w:val="00667004"/>
    <w:rsid w:val="00667091"/>
    <w:rsid w:val="0066712F"/>
    <w:rsid w:val="006671F8"/>
    <w:rsid w:val="00667248"/>
    <w:rsid w:val="006672BA"/>
    <w:rsid w:val="00667541"/>
    <w:rsid w:val="006677C4"/>
    <w:rsid w:val="00667B27"/>
    <w:rsid w:val="00667BE4"/>
    <w:rsid w:val="00667D09"/>
    <w:rsid w:val="006701B4"/>
    <w:rsid w:val="006701E5"/>
    <w:rsid w:val="0067024C"/>
    <w:rsid w:val="00670290"/>
    <w:rsid w:val="0067069B"/>
    <w:rsid w:val="0067071B"/>
    <w:rsid w:val="006708FC"/>
    <w:rsid w:val="00670BDD"/>
    <w:rsid w:val="00670C25"/>
    <w:rsid w:val="00670CE5"/>
    <w:rsid w:val="00671438"/>
    <w:rsid w:val="00671AD6"/>
    <w:rsid w:val="00671D55"/>
    <w:rsid w:val="00671DAF"/>
    <w:rsid w:val="0067240B"/>
    <w:rsid w:val="00672B17"/>
    <w:rsid w:val="00672B1D"/>
    <w:rsid w:val="00672D82"/>
    <w:rsid w:val="006730A3"/>
    <w:rsid w:val="006731EF"/>
    <w:rsid w:val="006735AE"/>
    <w:rsid w:val="00673717"/>
    <w:rsid w:val="00673897"/>
    <w:rsid w:val="00673BA7"/>
    <w:rsid w:val="0067415F"/>
    <w:rsid w:val="00674866"/>
    <w:rsid w:val="00674B48"/>
    <w:rsid w:val="00674C5B"/>
    <w:rsid w:val="00674FA6"/>
    <w:rsid w:val="006750B5"/>
    <w:rsid w:val="00675173"/>
    <w:rsid w:val="0067533F"/>
    <w:rsid w:val="00675445"/>
    <w:rsid w:val="006754D5"/>
    <w:rsid w:val="00675D6A"/>
    <w:rsid w:val="00675F61"/>
    <w:rsid w:val="00676111"/>
    <w:rsid w:val="00676EEC"/>
    <w:rsid w:val="00676F69"/>
    <w:rsid w:val="0067748B"/>
    <w:rsid w:val="0067792B"/>
    <w:rsid w:val="00677B01"/>
    <w:rsid w:val="00677F0D"/>
    <w:rsid w:val="00677FAB"/>
    <w:rsid w:val="00680062"/>
    <w:rsid w:val="006804C0"/>
    <w:rsid w:val="006807AC"/>
    <w:rsid w:val="00680858"/>
    <w:rsid w:val="006808C0"/>
    <w:rsid w:val="006808C3"/>
    <w:rsid w:val="00680C2F"/>
    <w:rsid w:val="00680C47"/>
    <w:rsid w:val="00680F3A"/>
    <w:rsid w:val="00680FB7"/>
    <w:rsid w:val="00681018"/>
    <w:rsid w:val="006814E7"/>
    <w:rsid w:val="006815EE"/>
    <w:rsid w:val="006818B6"/>
    <w:rsid w:val="00681D2E"/>
    <w:rsid w:val="00681F24"/>
    <w:rsid w:val="0068246B"/>
    <w:rsid w:val="00682DA7"/>
    <w:rsid w:val="00682E08"/>
    <w:rsid w:val="00682EF4"/>
    <w:rsid w:val="006833DF"/>
    <w:rsid w:val="00683448"/>
    <w:rsid w:val="00683CCE"/>
    <w:rsid w:val="00684266"/>
    <w:rsid w:val="0068428E"/>
    <w:rsid w:val="006845D5"/>
    <w:rsid w:val="00684720"/>
    <w:rsid w:val="00684B19"/>
    <w:rsid w:val="00684D9C"/>
    <w:rsid w:val="00684E41"/>
    <w:rsid w:val="00684F53"/>
    <w:rsid w:val="00684F5A"/>
    <w:rsid w:val="00684FB3"/>
    <w:rsid w:val="006853A0"/>
    <w:rsid w:val="006856AF"/>
    <w:rsid w:val="00685C5E"/>
    <w:rsid w:val="00685CCC"/>
    <w:rsid w:val="00686656"/>
    <w:rsid w:val="00686C01"/>
    <w:rsid w:val="00686D05"/>
    <w:rsid w:val="00686E92"/>
    <w:rsid w:val="006871AA"/>
    <w:rsid w:val="00687217"/>
    <w:rsid w:val="00687449"/>
    <w:rsid w:val="006875F4"/>
    <w:rsid w:val="00687953"/>
    <w:rsid w:val="00687EAF"/>
    <w:rsid w:val="00687EF6"/>
    <w:rsid w:val="006901FC"/>
    <w:rsid w:val="0069047B"/>
    <w:rsid w:val="00690C53"/>
    <w:rsid w:val="00690D4F"/>
    <w:rsid w:val="00690E9C"/>
    <w:rsid w:val="006915AC"/>
    <w:rsid w:val="00691690"/>
    <w:rsid w:val="00691DF1"/>
    <w:rsid w:val="00691F41"/>
    <w:rsid w:val="006920C4"/>
    <w:rsid w:val="006923D6"/>
    <w:rsid w:val="00692429"/>
    <w:rsid w:val="006927CF"/>
    <w:rsid w:val="006929CF"/>
    <w:rsid w:val="00692A91"/>
    <w:rsid w:val="00692D88"/>
    <w:rsid w:val="00692E08"/>
    <w:rsid w:val="00692E3F"/>
    <w:rsid w:val="00692F20"/>
    <w:rsid w:val="00692F9C"/>
    <w:rsid w:val="006931A5"/>
    <w:rsid w:val="0069325E"/>
    <w:rsid w:val="0069328E"/>
    <w:rsid w:val="006936FF"/>
    <w:rsid w:val="0069375C"/>
    <w:rsid w:val="00693BF9"/>
    <w:rsid w:val="00693D82"/>
    <w:rsid w:val="00693DB5"/>
    <w:rsid w:val="00693FF0"/>
    <w:rsid w:val="00694096"/>
    <w:rsid w:val="00694738"/>
    <w:rsid w:val="00694881"/>
    <w:rsid w:val="00694882"/>
    <w:rsid w:val="00694897"/>
    <w:rsid w:val="006948E8"/>
    <w:rsid w:val="006949C4"/>
    <w:rsid w:val="00694D59"/>
    <w:rsid w:val="00694F71"/>
    <w:rsid w:val="0069505F"/>
    <w:rsid w:val="006950B0"/>
    <w:rsid w:val="006951B8"/>
    <w:rsid w:val="00695D94"/>
    <w:rsid w:val="00695DFD"/>
    <w:rsid w:val="00695E8B"/>
    <w:rsid w:val="00696071"/>
    <w:rsid w:val="006960AE"/>
    <w:rsid w:val="006967AC"/>
    <w:rsid w:val="00696A74"/>
    <w:rsid w:val="00696D0A"/>
    <w:rsid w:val="00696DF2"/>
    <w:rsid w:val="00696F49"/>
    <w:rsid w:val="006971AF"/>
    <w:rsid w:val="00697B62"/>
    <w:rsid w:val="00697B8B"/>
    <w:rsid w:val="00697CAF"/>
    <w:rsid w:val="00697F92"/>
    <w:rsid w:val="006A0025"/>
    <w:rsid w:val="006A0033"/>
    <w:rsid w:val="006A03DD"/>
    <w:rsid w:val="006A0402"/>
    <w:rsid w:val="006A06D4"/>
    <w:rsid w:val="006A0897"/>
    <w:rsid w:val="006A09A2"/>
    <w:rsid w:val="006A0A17"/>
    <w:rsid w:val="006A0A1F"/>
    <w:rsid w:val="006A0A76"/>
    <w:rsid w:val="006A0C46"/>
    <w:rsid w:val="006A0D57"/>
    <w:rsid w:val="006A0ED1"/>
    <w:rsid w:val="006A1481"/>
    <w:rsid w:val="006A1568"/>
    <w:rsid w:val="006A193B"/>
    <w:rsid w:val="006A1ACF"/>
    <w:rsid w:val="006A1B23"/>
    <w:rsid w:val="006A1B3A"/>
    <w:rsid w:val="006A1C42"/>
    <w:rsid w:val="006A1E3B"/>
    <w:rsid w:val="006A1F9E"/>
    <w:rsid w:val="006A21FC"/>
    <w:rsid w:val="006A292F"/>
    <w:rsid w:val="006A296A"/>
    <w:rsid w:val="006A2A0A"/>
    <w:rsid w:val="006A2B72"/>
    <w:rsid w:val="006A2B7D"/>
    <w:rsid w:val="006A2CCF"/>
    <w:rsid w:val="006A2D59"/>
    <w:rsid w:val="006A2DAA"/>
    <w:rsid w:val="006A3095"/>
    <w:rsid w:val="006A310E"/>
    <w:rsid w:val="006A3660"/>
    <w:rsid w:val="006A3AED"/>
    <w:rsid w:val="006A3C1F"/>
    <w:rsid w:val="006A3CDA"/>
    <w:rsid w:val="006A3FA5"/>
    <w:rsid w:val="006A3FBF"/>
    <w:rsid w:val="006A4305"/>
    <w:rsid w:val="006A4541"/>
    <w:rsid w:val="006A4834"/>
    <w:rsid w:val="006A4926"/>
    <w:rsid w:val="006A4A11"/>
    <w:rsid w:val="006A4B69"/>
    <w:rsid w:val="006A4EF6"/>
    <w:rsid w:val="006A4F7A"/>
    <w:rsid w:val="006A4FA2"/>
    <w:rsid w:val="006A56F4"/>
    <w:rsid w:val="006A5A0A"/>
    <w:rsid w:val="006A5EC5"/>
    <w:rsid w:val="006A5F18"/>
    <w:rsid w:val="006A61FB"/>
    <w:rsid w:val="006A67DA"/>
    <w:rsid w:val="006A6807"/>
    <w:rsid w:val="006A6F88"/>
    <w:rsid w:val="006A6F8C"/>
    <w:rsid w:val="006A71CA"/>
    <w:rsid w:val="006A73BF"/>
    <w:rsid w:val="006A765A"/>
    <w:rsid w:val="006A7743"/>
    <w:rsid w:val="006A790B"/>
    <w:rsid w:val="006A7DEB"/>
    <w:rsid w:val="006A7EFE"/>
    <w:rsid w:val="006A7FDC"/>
    <w:rsid w:val="006A7FF7"/>
    <w:rsid w:val="006B026B"/>
    <w:rsid w:val="006B027D"/>
    <w:rsid w:val="006B0280"/>
    <w:rsid w:val="006B0375"/>
    <w:rsid w:val="006B0422"/>
    <w:rsid w:val="006B07D5"/>
    <w:rsid w:val="006B07EB"/>
    <w:rsid w:val="006B0E24"/>
    <w:rsid w:val="006B1042"/>
    <w:rsid w:val="006B117D"/>
    <w:rsid w:val="006B17CA"/>
    <w:rsid w:val="006B1825"/>
    <w:rsid w:val="006B1BAB"/>
    <w:rsid w:val="006B1F2D"/>
    <w:rsid w:val="006B21ED"/>
    <w:rsid w:val="006B264E"/>
    <w:rsid w:val="006B2870"/>
    <w:rsid w:val="006B2C82"/>
    <w:rsid w:val="006B2D5F"/>
    <w:rsid w:val="006B2E4C"/>
    <w:rsid w:val="006B2E65"/>
    <w:rsid w:val="006B31DC"/>
    <w:rsid w:val="006B31E9"/>
    <w:rsid w:val="006B33AC"/>
    <w:rsid w:val="006B34CB"/>
    <w:rsid w:val="006B3A5A"/>
    <w:rsid w:val="006B3A7A"/>
    <w:rsid w:val="006B40B4"/>
    <w:rsid w:val="006B40DE"/>
    <w:rsid w:val="006B422E"/>
    <w:rsid w:val="006B4309"/>
    <w:rsid w:val="006B4713"/>
    <w:rsid w:val="006B4AE3"/>
    <w:rsid w:val="006B4FDD"/>
    <w:rsid w:val="006B50E3"/>
    <w:rsid w:val="006B54F0"/>
    <w:rsid w:val="006B55AB"/>
    <w:rsid w:val="006B5655"/>
    <w:rsid w:val="006B5693"/>
    <w:rsid w:val="006B589A"/>
    <w:rsid w:val="006B5AB2"/>
    <w:rsid w:val="006B5C6E"/>
    <w:rsid w:val="006B5CDF"/>
    <w:rsid w:val="006B5EA1"/>
    <w:rsid w:val="006B5F60"/>
    <w:rsid w:val="006B6231"/>
    <w:rsid w:val="006B6313"/>
    <w:rsid w:val="006B64C1"/>
    <w:rsid w:val="006B699E"/>
    <w:rsid w:val="006B6BC7"/>
    <w:rsid w:val="006B6BD0"/>
    <w:rsid w:val="006B6BFD"/>
    <w:rsid w:val="006B6F4F"/>
    <w:rsid w:val="006B6FC6"/>
    <w:rsid w:val="006B78BF"/>
    <w:rsid w:val="006B79EB"/>
    <w:rsid w:val="006B7C61"/>
    <w:rsid w:val="006B7F42"/>
    <w:rsid w:val="006C019B"/>
    <w:rsid w:val="006C040B"/>
    <w:rsid w:val="006C0459"/>
    <w:rsid w:val="006C06EC"/>
    <w:rsid w:val="006C0A2D"/>
    <w:rsid w:val="006C0AAE"/>
    <w:rsid w:val="006C0B8D"/>
    <w:rsid w:val="006C0BBD"/>
    <w:rsid w:val="006C0D5D"/>
    <w:rsid w:val="006C0D73"/>
    <w:rsid w:val="006C11C6"/>
    <w:rsid w:val="006C122A"/>
    <w:rsid w:val="006C1446"/>
    <w:rsid w:val="006C164C"/>
    <w:rsid w:val="006C179E"/>
    <w:rsid w:val="006C19D3"/>
    <w:rsid w:val="006C1B96"/>
    <w:rsid w:val="006C1C64"/>
    <w:rsid w:val="006C20DB"/>
    <w:rsid w:val="006C2272"/>
    <w:rsid w:val="006C2395"/>
    <w:rsid w:val="006C2608"/>
    <w:rsid w:val="006C273F"/>
    <w:rsid w:val="006C28F3"/>
    <w:rsid w:val="006C29C9"/>
    <w:rsid w:val="006C2ED6"/>
    <w:rsid w:val="006C300F"/>
    <w:rsid w:val="006C34DA"/>
    <w:rsid w:val="006C350B"/>
    <w:rsid w:val="006C35F6"/>
    <w:rsid w:val="006C38F0"/>
    <w:rsid w:val="006C3B36"/>
    <w:rsid w:val="006C3E70"/>
    <w:rsid w:val="006C3F39"/>
    <w:rsid w:val="006C42B8"/>
    <w:rsid w:val="006C460B"/>
    <w:rsid w:val="006C4753"/>
    <w:rsid w:val="006C4866"/>
    <w:rsid w:val="006C4D58"/>
    <w:rsid w:val="006C4D5A"/>
    <w:rsid w:val="006C4DE4"/>
    <w:rsid w:val="006C4E5E"/>
    <w:rsid w:val="006C4E9E"/>
    <w:rsid w:val="006C4F84"/>
    <w:rsid w:val="006C52CB"/>
    <w:rsid w:val="006C54F8"/>
    <w:rsid w:val="006C55B4"/>
    <w:rsid w:val="006C5781"/>
    <w:rsid w:val="006C5A4B"/>
    <w:rsid w:val="006C5B7D"/>
    <w:rsid w:val="006C62FF"/>
    <w:rsid w:val="006C6667"/>
    <w:rsid w:val="006C6849"/>
    <w:rsid w:val="006C684E"/>
    <w:rsid w:val="006C68AF"/>
    <w:rsid w:val="006C6B6C"/>
    <w:rsid w:val="006C6BBF"/>
    <w:rsid w:val="006C6FF6"/>
    <w:rsid w:val="006C747F"/>
    <w:rsid w:val="006C756A"/>
    <w:rsid w:val="006C75A8"/>
    <w:rsid w:val="006C76AA"/>
    <w:rsid w:val="006C76D9"/>
    <w:rsid w:val="006C7EDA"/>
    <w:rsid w:val="006D0018"/>
    <w:rsid w:val="006D027C"/>
    <w:rsid w:val="006D0999"/>
    <w:rsid w:val="006D09FD"/>
    <w:rsid w:val="006D0A09"/>
    <w:rsid w:val="006D0ECD"/>
    <w:rsid w:val="006D0FEA"/>
    <w:rsid w:val="006D157B"/>
    <w:rsid w:val="006D16AF"/>
    <w:rsid w:val="006D195C"/>
    <w:rsid w:val="006D19F4"/>
    <w:rsid w:val="006D1B32"/>
    <w:rsid w:val="006D1D35"/>
    <w:rsid w:val="006D1F17"/>
    <w:rsid w:val="006D204F"/>
    <w:rsid w:val="006D22BF"/>
    <w:rsid w:val="006D2492"/>
    <w:rsid w:val="006D2B2B"/>
    <w:rsid w:val="006D2CA6"/>
    <w:rsid w:val="006D2F9C"/>
    <w:rsid w:val="006D3159"/>
    <w:rsid w:val="006D32C9"/>
    <w:rsid w:val="006D3772"/>
    <w:rsid w:val="006D3821"/>
    <w:rsid w:val="006D3822"/>
    <w:rsid w:val="006D3A2F"/>
    <w:rsid w:val="006D3A92"/>
    <w:rsid w:val="006D3B82"/>
    <w:rsid w:val="006D3D44"/>
    <w:rsid w:val="006D406C"/>
    <w:rsid w:val="006D46E2"/>
    <w:rsid w:val="006D4B4D"/>
    <w:rsid w:val="006D4B51"/>
    <w:rsid w:val="006D50F7"/>
    <w:rsid w:val="006D539B"/>
    <w:rsid w:val="006D54D5"/>
    <w:rsid w:val="006D558B"/>
    <w:rsid w:val="006D5706"/>
    <w:rsid w:val="006D580D"/>
    <w:rsid w:val="006D5AC2"/>
    <w:rsid w:val="006D5B87"/>
    <w:rsid w:val="006D5C9B"/>
    <w:rsid w:val="006D5F1F"/>
    <w:rsid w:val="006D6183"/>
    <w:rsid w:val="006D63A0"/>
    <w:rsid w:val="006D64A3"/>
    <w:rsid w:val="006D65EA"/>
    <w:rsid w:val="006D669C"/>
    <w:rsid w:val="006D6AA9"/>
    <w:rsid w:val="006D6B4F"/>
    <w:rsid w:val="006D6F55"/>
    <w:rsid w:val="006D6F99"/>
    <w:rsid w:val="006D7260"/>
    <w:rsid w:val="006D7735"/>
    <w:rsid w:val="006D77B0"/>
    <w:rsid w:val="006D7A3B"/>
    <w:rsid w:val="006D7C2C"/>
    <w:rsid w:val="006E003D"/>
    <w:rsid w:val="006E043F"/>
    <w:rsid w:val="006E04A8"/>
    <w:rsid w:val="006E04BD"/>
    <w:rsid w:val="006E066A"/>
    <w:rsid w:val="006E0742"/>
    <w:rsid w:val="006E090E"/>
    <w:rsid w:val="006E0933"/>
    <w:rsid w:val="006E0AAC"/>
    <w:rsid w:val="006E0D62"/>
    <w:rsid w:val="006E0E99"/>
    <w:rsid w:val="006E1321"/>
    <w:rsid w:val="006E15A0"/>
    <w:rsid w:val="006E1602"/>
    <w:rsid w:val="006E171E"/>
    <w:rsid w:val="006E1C74"/>
    <w:rsid w:val="006E1DD0"/>
    <w:rsid w:val="006E1F56"/>
    <w:rsid w:val="006E1F95"/>
    <w:rsid w:val="006E233E"/>
    <w:rsid w:val="006E2400"/>
    <w:rsid w:val="006E2807"/>
    <w:rsid w:val="006E2B56"/>
    <w:rsid w:val="006E2D2E"/>
    <w:rsid w:val="006E3094"/>
    <w:rsid w:val="006E3353"/>
    <w:rsid w:val="006E346B"/>
    <w:rsid w:val="006E3537"/>
    <w:rsid w:val="006E35F4"/>
    <w:rsid w:val="006E3898"/>
    <w:rsid w:val="006E3955"/>
    <w:rsid w:val="006E3C94"/>
    <w:rsid w:val="006E3D73"/>
    <w:rsid w:val="006E40A1"/>
    <w:rsid w:val="006E4623"/>
    <w:rsid w:val="006E4697"/>
    <w:rsid w:val="006E4829"/>
    <w:rsid w:val="006E500B"/>
    <w:rsid w:val="006E50FF"/>
    <w:rsid w:val="006E5581"/>
    <w:rsid w:val="006E5E48"/>
    <w:rsid w:val="006E60AB"/>
    <w:rsid w:val="006E61DE"/>
    <w:rsid w:val="006E63A4"/>
    <w:rsid w:val="006E63CE"/>
    <w:rsid w:val="006E6466"/>
    <w:rsid w:val="006E6788"/>
    <w:rsid w:val="006E6A15"/>
    <w:rsid w:val="006E6A41"/>
    <w:rsid w:val="006E6A9E"/>
    <w:rsid w:val="006E6BCB"/>
    <w:rsid w:val="006E6CCF"/>
    <w:rsid w:val="006E7092"/>
    <w:rsid w:val="006E70FF"/>
    <w:rsid w:val="006E7185"/>
    <w:rsid w:val="006E7585"/>
    <w:rsid w:val="006E76C6"/>
    <w:rsid w:val="006E7B99"/>
    <w:rsid w:val="006E7BCA"/>
    <w:rsid w:val="006E7CC1"/>
    <w:rsid w:val="006E7DAB"/>
    <w:rsid w:val="006E7DC0"/>
    <w:rsid w:val="006F0349"/>
    <w:rsid w:val="006F06BB"/>
    <w:rsid w:val="006F0C5F"/>
    <w:rsid w:val="006F0D3D"/>
    <w:rsid w:val="006F0EEA"/>
    <w:rsid w:val="006F0F55"/>
    <w:rsid w:val="006F105C"/>
    <w:rsid w:val="006F1126"/>
    <w:rsid w:val="006F1177"/>
    <w:rsid w:val="006F11E9"/>
    <w:rsid w:val="006F12B2"/>
    <w:rsid w:val="006F1606"/>
    <w:rsid w:val="006F17BE"/>
    <w:rsid w:val="006F1B09"/>
    <w:rsid w:val="006F1CE7"/>
    <w:rsid w:val="006F1DDF"/>
    <w:rsid w:val="006F1EE7"/>
    <w:rsid w:val="006F2159"/>
    <w:rsid w:val="006F228E"/>
    <w:rsid w:val="006F2291"/>
    <w:rsid w:val="006F25E9"/>
    <w:rsid w:val="006F2ECB"/>
    <w:rsid w:val="006F305F"/>
    <w:rsid w:val="006F39D9"/>
    <w:rsid w:val="006F45DF"/>
    <w:rsid w:val="006F48B4"/>
    <w:rsid w:val="006F49D3"/>
    <w:rsid w:val="006F4ACC"/>
    <w:rsid w:val="006F4AE1"/>
    <w:rsid w:val="006F4C34"/>
    <w:rsid w:val="006F4C7A"/>
    <w:rsid w:val="006F4CF0"/>
    <w:rsid w:val="006F5286"/>
    <w:rsid w:val="006F55AB"/>
    <w:rsid w:val="006F55B3"/>
    <w:rsid w:val="006F55B8"/>
    <w:rsid w:val="006F580A"/>
    <w:rsid w:val="006F5939"/>
    <w:rsid w:val="006F5E33"/>
    <w:rsid w:val="006F5F11"/>
    <w:rsid w:val="006F5F1B"/>
    <w:rsid w:val="006F5F25"/>
    <w:rsid w:val="006F6451"/>
    <w:rsid w:val="006F65F4"/>
    <w:rsid w:val="006F6CA5"/>
    <w:rsid w:val="006F72FC"/>
    <w:rsid w:val="006F738A"/>
    <w:rsid w:val="006F7507"/>
    <w:rsid w:val="006F7811"/>
    <w:rsid w:val="006F78E0"/>
    <w:rsid w:val="006F78E7"/>
    <w:rsid w:val="006F78FE"/>
    <w:rsid w:val="006F7944"/>
    <w:rsid w:val="006F796B"/>
    <w:rsid w:val="006F7AAD"/>
    <w:rsid w:val="006F7D25"/>
    <w:rsid w:val="0070020F"/>
    <w:rsid w:val="007002BE"/>
    <w:rsid w:val="00700B70"/>
    <w:rsid w:val="00700DC9"/>
    <w:rsid w:val="00701046"/>
    <w:rsid w:val="007010FA"/>
    <w:rsid w:val="0070116B"/>
    <w:rsid w:val="007013EC"/>
    <w:rsid w:val="00701E1E"/>
    <w:rsid w:val="00701F95"/>
    <w:rsid w:val="00702B11"/>
    <w:rsid w:val="00702BE1"/>
    <w:rsid w:val="00704127"/>
    <w:rsid w:val="0070485E"/>
    <w:rsid w:val="0070488F"/>
    <w:rsid w:val="0070513A"/>
    <w:rsid w:val="007052CB"/>
    <w:rsid w:val="007054B5"/>
    <w:rsid w:val="007055EE"/>
    <w:rsid w:val="00705B94"/>
    <w:rsid w:val="00705C8B"/>
    <w:rsid w:val="00705DD5"/>
    <w:rsid w:val="00705E37"/>
    <w:rsid w:val="0070654D"/>
    <w:rsid w:val="007068CA"/>
    <w:rsid w:val="007069BD"/>
    <w:rsid w:val="00706BCE"/>
    <w:rsid w:val="00706E3E"/>
    <w:rsid w:val="007072CB"/>
    <w:rsid w:val="0070777D"/>
    <w:rsid w:val="00707BC5"/>
    <w:rsid w:val="00707F3B"/>
    <w:rsid w:val="00707FCB"/>
    <w:rsid w:val="007100A4"/>
    <w:rsid w:val="007101AB"/>
    <w:rsid w:val="007104B8"/>
    <w:rsid w:val="00710538"/>
    <w:rsid w:val="00710654"/>
    <w:rsid w:val="00710686"/>
    <w:rsid w:val="00710762"/>
    <w:rsid w:val="00710B2C"/>
    <w:rsid w:val="00710CA9"/>
    <w:rsid w:val="00710F94"/>
    <w:rsid w:val="007112D5"/>
    <w:rsid w:val="007114B5"/>
    <w:rsid w:val="00711771"/>
    <w:rsid w:val="007118FF"/>
    <w:rsid w:val="007119A4"/>
    <w:rsid w:val="00711BDB"/>
    <w:rsid w:val="00711F82"/>
    <w:rsid w:val="00712096"/>
    <w:rsid w:val="00712142"/>
    <w:rsid w:val="00712387"/>
    <w:rsid w:val="00712741"/>
    <w:rsid w:val="00712E86"/>
    <w:rsid w:val="00712FE3"/>
    <w:rsid w:val="0071324D"/>
    <w:rsid w:val="00713542"/>
    <w:rsid w:val="0071375F"/>
    <w:rsid w:val="0071386D"/>
    <w:rsid w:val="0071388D"/>
    <w:rsid w:val="007139FA"/>
    <w:rsid w:val="00713BA7"/>
    <w:rsid w:val="00713C29"/>
    <w:rsid w:val="007141C3"/>
    <w:rsid w:val="00714481"/>
    <w:rsid w:val="00714AA8"/>
    <w:rsid w:val="00714ACE"/>
    <w:rsid w:val="0071505A"/>
    <w:rsid w:val="007153EA"/>
    <w:rsid w:val="00715486"/>
    <w:rsid w:val="00715640"/>
    <w:rsid w:val="00715642"/>
    <w:rsid w:val="0071581D"/>
    <w:rsid w:val="007158E7"/>
    <w:rsid w:val="00715A09"/>
    <w:rsid w:val="00715A5B"/>
    <w:rsid w:val="00715F5D"/>
    <w:rsid w:val="00716129"/>
    <w:rsid w:val="0071645F"/>
    <w:rsid w:val="00716598"/>
    <w:rsid w:val="00716638"/>
    <w:rsid w:val="00716807"/>
    <w:rsid w:val="00716C1F"/>
    <w:rsid w:val="00716CCE"/>
    <w:rsid w:val="00716ECA"/>
    <w:rsid w:val="00717102"/>
    <w:rsid w:val="00717164"/>
    <w:rsid w:val="00717205"/>
    <w:rsid w:val="00717245"/>
    <w:rsid w:val="0071757A"/>
    <w:rsid w:val="007178CE"/>
    <w:rsid w:val="00717DA3"/>
    <w:rsid w:val="00720430"/>
    <w:rsid w:val="007205E6"/>
    <w:rsid w:val="00720628"/>
    <w:rsid w:val="007206F6"/>
    <w:rsid w:val="0072081C"/>
    <w:rsid w:val="00720A0C"/>
    <w:rsid w:val="00720B90"/>
    <w:rsid w:val="0072116D"/>
    <w:rsid w:val="007211DD"/>
    <w:rsid w:val="00721332"/>
    <w:rsid w:val="00721433"/>
    <w:rsid w:val="00721784"/>
    <w:rsid w:val="00721786"/>
    <w:rsid w:val="00721846"/>
    <w:rsid w:val="00721AE7"/>
    <w:rsid w:val="00721C9F"/>
    <w:rsid w:val="0072259A"/>
    <w:rsid w:val="007226E2"/>
    <w:rsid w:val="00722A96"/>
    <w:rsid w:val="00722DD2"/>
    <w:rsid w:val="00722F90"/>
    <w:rsid w:val="00723390"/>
    <w:rsid w:val="007234AA"/>
    <w:rsid w:val="00723663"/>
    <w:rsid w:val="00723906"/>
    <w:rsid w:val="00723E25"/>
    <w:rsid w:val="00723F05"/>
    <w:rsid w:val="007240DC"/>
    <w:rsid w:val="007245CE"/>
    <w:rsid w:val="00724616"/>
    <w:rsid w:val="00724681"/>
    <w:rsid w:val="00724B0E"/>
    <w:rsid w:val="00724FD5"/>
    <w:rsid w:val="00725606"/>
    <w:rsid w:val="007256B7"/>
    <w:rsid w:val="00725AD5"/>
    <w:rsid w:val="00725B42"/>
    <w:rsid w:val="007260D0"/>
    <w:rsid w:val="007265B7"/>
    <w:rsid w:val="00726856"/>
    <w:rsid w:val="00726AFA"/>
    <w:rsid w:val="00726BFA"/>
    <w:rsid w:val="00726D00"/>
    <w:rsid w:val="00726D89"/>
    <w:rsid w:val="00727281"/>
    <w:rsid w:val="00727438"/>
    <w:rsid w:val="00727525"/>
    <w:rsid w:val="007276F5"/>
    <w:rsid w:val="00727B33"/>
    <w:rsid w:val="00727EBD"/>
    <w:rsid w:val="0073030F"/>
    <w:rsid w:val="0073035F"/>
    <w:rsid w:val="007304F4"/>
    <w:rsid w:val="00730544"/>
    <w:rsid w:val="007305AD"/>
    <w:rsid w:val="00730630"/>
    <w:rsid w:val="00730BDF"/>
    <w:rsid w:val="00730DAA"/>
    <w:rsid w:val="00731136"/>
    <w:rsid w:val="0073168A"/>
    <w:rsid w:val="007318B3"/>
    <w:rsid w:val="007319E6"/>
    <w:rsid w:val="00731A01"/>
    <w:rsid w:val="00731C34"/>
    <w:rsid w:val="00731DB8"/>
    <w:rsid w:val="007320F2"/>
    <w:rsid w:val="007323DB"/>
    <w:rsid w:val="00732797"/>
    <w:rsid w:val="007329A4"/>
    <w:rsid w:val="00732E53"/>
    <w:rsid w:val="00732EE9"/>
    <w:rsid w:val="00732F4B"/>
    <w:rsid w:val="00733105"/>
    <w:rsid w:val="007332B3"/>
    <w:rsid w:val="0073399C"/>
    <w:rsid w:val="00733C1E"/>
    <w:rsid w:val="00733C91"/>
    <w:rsid w:val="0073409B"/>
    <w:rsid w:val="007342BE"/>
    <w:rsid w:val="007343D7"/>
    <w:rsid w:val="00734539"/>
    <w:rsid w:val="00734594"/>
    <w:rsid w:val="0073480C"/>
    <w:rsid w:val="00734AEB"/>
    <w:rsid w:val="00734DFD"/>
    <w:rsid w:val="00734E3E"/>
    <w:rsid w:val="00734EF4"/>
    <w:rsid w:val="00734F61"/>
    <w:rsid w:val="0073515E"/>
    <w:rsid w:val="00735533"/>
    <w:rsid w:val="007357C6"/>
    <w:rsid w:val="00735A6C"/>
    <w:rsid w:val="00735DCA"/>
    <w:rsid w:val="00735FA2"/>
    <w:rsid w:val="00736151"/>
    <w:rsid w:val="00736171"/>
    <w:rsid w:val="00736246"/>
    <w:rsid w:val="00736448"/>
    <w:rsid w:val="007366DE"/>
    <w:rsid w:val="007369A1"/>
    <w:rsid w:val="00736A06"/>
    <w:rsid w:val="00736C8D"/>
    <w:rsid w:val="00737086"/>
    <w:rsid w:val="0073768A"/>
    <w:rsid w:val="007376B6"/>
    <w:rsid w:val="007376CE"/>
    <w:rsid w:val="007376CF"/>
    <w:rsid w:val="007378C6"/>
    <w:rsid w:val="007379DD"/>
    <w:rsid w:val="00737BBD"/>
    <w:rsid w:val="00737C72"/>
    <w:rsid w:val="00737CC5"/>
    <w:rsid w:val="00737DB0"/>
    <w:rsid w:val="00737EA9"/>
    <w:rsid w:val="00737F84"/>
    <w:rsid w:val="00737FF1"/>
    <w:rsid w:val="007401F3"/>
    <w:rsid w:val="007403B5"/>
    <w:rsid w:val="00740670"/>
    <w:rsid w:val="00740828"/>
    <w:rsid w:val="007408D7"/>
    <w:rsid w:val="00740A7F"/>
    <w:rsid w:val="00740B4B"/>
    <w:rsid w:val="00740C89"/>
    <w:rsid w:val="00741128"/>
    <w:rsid w:val="00741881"/>
    <w:rsid w:val="00741B59"/>
    <w:rsid w:val="00741FFB"/>
    <w:rsid w:val="00742069"/>
    <w:rsid w:val="0074208B"/>
    <w:rsid w:val="0074212C"/>
    <w:rsid w:val="007425C9"/>
    <w:rsid w:val="00742C4F"/>
    <w:rsid w:val="00743056"/>
    <w:rsid w:val="007434A8"/>
    <w:rsid w:val="0074350D"/>
    <w:rsid w:val="007436BB"/>
    <w:rsid w:val="00743866"/>
    <w:rsid w:val="007439F6"/>
    <w:rsid w:val="00743C1E"/>
    <w:rsid w:val="00743DA7"/>
    <w:rsid w:val="00744280"/>
    <w:rsid w:val="007442AF"/>
    <w:rsid w:val="007443CE"/>
    <w:rsid w:val="0074464D"/>
    <w:rsid w:val="0074471F"/>
    <w:rsid w:val="00744A87"/>
    <w:rsid w:val="00744B30"/>
    <w:rsid w:val="00744B53"/>
    <w:rsid w:val="00744C35"/>
    <w:rsid w:val="00744D72"/>
    <w:rsid w:val="00744F14"/>
    <w:rsid w:val="00745780"/>
    <w:rsid w:val="007457E3"/>
    <w:rsid w:val="00745F3E"/>
    <w:rsid w:val="0074614C"/>
    <w:rsid w:val="007461A8"/>
    <w:rsid w:val="00746439"/>
    <w:rsid w:val="00746661"/>
    <w:rsid w:val="0074672D"/>
    <w:rsid w:val="0074679A"/>
    <w:rsid w:val="00746815"/>
    <w:rsid w:val="00746A4F"/>
    <w:rsid w:val="00746F40"/>
    <w:rsid w:val="00747195"/>
    <w:rsid w:val="0074766F"/>
    <w:rsid w:val="007500EA"/>
    <w:rsid w:val="007505A4"/>
    <w:rsid w:val="007507CA"/>
    <w:rsid w:val="00750C15"/>
    <w:rsid w:val="00750C6C"/>
    <w:rsid w:val="00750DB5"/>
    <w:rsid w:val="007511FF"/>
    <w:rsid w:val="00751214"/>
    <w:rsid w:val="00751458"/>
    <w:rsid w:val="007514A0"/>
    <w:rsid w:val="007514A6"/>
    <w:rsid w:val="007514B7"/>
    <w:rsid w:val="00751755"/>
    <w:rsid w:val="007518D1"/>
    <w:rsid w:val="00751924"/>
    <w:rsid w:val="00751EC7"/>
    <w:rsid w:val="007523B4"/>
    <w:rsid w:val="00752542"/>
    <w:rsid w:val="007527AD"/>
    <w:rsid w:val="007528E7"/>
    <w:rsid w:val="00752AC6"/>
    <w:rsid w:val="00752DB9"/>
    <w:rsid w:val="0075304A"/>
    <w:rsid w:val="00753065"/>
    <w:rsid w:val="0075346C"/>
    <w:rsid w:val="00753A16"/>
    <w:rsid w:val="00753A6D"/>
    <w:rsid w:val="00753BF9"/>
    <w:rsid w:val="00753D26"/>
    <w:rsid w:val="00754A05"/>
    <w:rsid w:val="00754B7E"/>
    <w:rsid w:val="00754D32"/>
    <w:rsid w:val="00754D6B"/>
    <w:rsid w:val="00754F6C"/>
    <w:rsid w:val="007552D9"/>
    <w:rsid w:val="0075545C"/>
    <w:rsid w:val="00755DEC"/>
    <w:rsid w:val="0075601D"/>
    <w:rsid w:val="00756816"/>
    <w:rsid w:val="007568F4"/>
    <w:rsid w:val="00756A63"/>
    <w:rsid w:val="00756AA2"/>
    <w:rsid w:val="00756E91"/>
    <w:rsid w:val="00757033"/>
    <w:rsid w:val="00757182"/>
    <w:rsid w:val="0075727D"/>
    <w:rsid w:val="007573B2"/>
    <w:rsid w:val="007576C7"/>
    <w:rsid w:val="007577B6"/>
    <w:rsid w:val="0075783D"/>
    <w:rsid w:val="00757A22"/>
    <w:rsid w:val="00757B16"/>
    <w:rsid w:val="00757BC1"/>
    <w:rsid w:val="00757D5C"/>
    <w:rsid w:val="007602BC"/>
    <w:rsid w:val="0076043D"/>
    <w:rsid w:val="0076050C"/>
    <w:rsid w:val="00760AA0"/>
    <w:rsid w:val="00760D5B"/>
    <w:rsid w:val="00760F35"/>
    <w:rsid w:val="00760F7B"/>
    <w:rsid w:val="00761182"/>
    <w:rsid w:val="00761330"/>
    <w:rsid w:val="00761673"/>
    <w:rsid w:val="007616D4"/>
    <w:rsid w:val="00761D9A"/>
    <w:rsid w:val="00761DF0"/>
    <w:rsid w:val="0076217B"/>
    <w:rsid w:val="00762250"/>
    <w:rsid w:val="00762283"/>
    <w:rsid w:val="007629F0"/>
    <w:rsid w:val="00762B7D"/>
    <w:rsid w:val="00763018"/>
    <w:rsid w:val="00763236"/>
    <w:rsid w:val="007634F3"/>
    <w:rsid w:val="0076386B"/>
    <w:rsid w:val="007639D7"/>
    <w:rsid w:val="007639E5"/>
    <w:rsid w:val="00763A74"/>
    <w:rsid w:val="00763E4B"/>
    <w:rsid w:val="00764024"/>
    <w:rsid w:val="0076424B"/>
    <w:rsid w:val="00764266"/>
    <w:rsid w:val="007643C5"/>
    <w:rsid w:val="00764582"/>
    <w:rsid w:val="007647C7"/>
    <w:rsid w:val="0076492C"/>
    <w:rsid w:val="00764C99"/>
    <w:rsid w:val="00764D35"/>
    <w:rsid w:val="00764EA5"/>
    <w:rsid w:val="00764F5F"/>
    <w:rsid w:val="00764FCA"/>
    <w:rsid w:val="007655C9"/>
    <w:rsid w:val="00765702"/>
    <w:rsid w:val="00765A5E"/>
    <w:rsid w:val="00765B1E"/>
    <w:rsid w:val="00765B76"/>
    <w:rsid w:val="00766154"/>
    <w:rsid w:val="00766242"/>
    <w:rsid w:val="00766602"/>
    <w:rsid w:val="0076660D"/>
    <w:rsid w:val="007666B4"/>
    <w:rsid w:val="007667F2"/>
    <w:rsid w:val="00766CE5"/>
    <w:rsid w:val="00766CF1"/>
    <w:rsid w:val="00766F00"/>
    <w:rsid w:val="00766F4E"/>
    <w:rsid w:val="0076715F"/>
    <w:rsid w:val="00767564"/>
    <w:rsid w:val="007675AD"/>
    <w:rsid w:val="00767695"/>
    <w:rsid w:val="0076770B"/>
    <w:rsid w:val="00767909"/>
    <w:rsid w:val="00767A40"/>
    <w:rsid w:val="00767C37"/>
    <w:rsid w:val="00767E89"/>
    <w:rsid w:val="00767FD9"/>
    <w:rsid w:val="00770277"/>
    <w:rsid w:val="007703AB"/>
    <w:rsid w:val="00770602"/>
    <w:rsid w:val="00770739"/>
    <w:rsid w:val="007709FC"/>
    <w:rsid w:val="00770A68"/>
    <w:rsid w:val="00770AA3"/>
    <w:rsid w:val="00770B8A"/>
    <w:rsid w:val="00770BC7"/>
    <w:rsid w:val="00770C17"/>
    <w:rsid w:val="00770C7F"/>
    <w:rsid w:val="00771255"/>
    <w:rsid w:val="0077143A"/>
    <w:rsid w:val="007714CA"/>
    <w:rsid w:val="00771842"/>
    <w:rsid w:val="0077184A"/>
    <w:rsid w:val="0077188B"/>
    <w:rsid w:val="0077239D"/>
    <w:rsid w:val="007724CC"/>
    <w:rsid w:val="0077280D"/>
    <w:rsid w:val="00772CF9"/>
    <w:rsid w:val="00772E1A"/>
    <w:rsid w:val="00772E54"/>
    <w:rsid w:val="0077320A"/>
    <w:rsid w:val="007732CA"/>
    <w:rsid w:val="00773432"/>
    <w:rsid w:val="0077382B"/>
    <w:rsid w:val="00773A1D"/>
    <w:rsid w:val="007742CB"/>
    <w:rsid w:val="00774464"/>
    <w:rsid w:val="007746B5"/>
    <w:rsid w:val="00774A29"/>
    <w:rsid w:val="00774A6C"/>
    <w:rsid w:val="00774A9E"/>
    <w:rsid w:val="00774BA4"/>
    <w:rsid w:val="00774EE2"/>
    <w:rsid w:val="00774FA2"/>
    <w:rsid w:val="00775200"/>
    <w:rsid w:val="00775210"/>
    <w:rsid w:val="0077527B"/>
    <w:rsid w:val="00775A79"/>
    <w:rsid w:val="00775B84"/>
    <w:rsid w:val="007761F0"/>
    <w:rsid w:val="007761FE"/>
    <w:rsid w:val="007762BE"/>
    <w:rsid w:val="00776386"/>
    <w:rsid w:val="00776755"/>
    <w:rsid w:val="00776A59"/>
    <w:rsid w:val="00776EED"/>
    <w:rsid w:val="00777547"/>
    <w:rsid w:val="0077761E"/>
    <w:rsid w:val="00777A0C"/>
    <w:rsid w:val="00777A54"/>
    <w:rsid w:val="00777C72"/>
    <w:rsid w:val="00777F03"/>
    <w:rsid w:val="00777FB2"/>
    <w:rsid w:val="0078005C"/>
    <w:rsid w:val="007804EC"/>
    <w:rsid w:val="00780531"/>
    <w:rsid w:val="00780674"/>
    <w:rsid w:val="00780EBB"/>
    <w:rsid w:val="00780F54"/>
    <w:rsid w:val="00781140"/>
    <w:rsid w:val="0078118A"/>
    <w:rsid w:val="00781365"/>
    <w:rsid w:val="007818D6"/>
    <w:rsid w:val="00781910"/>
    <w:rsid w:val="0078195F"/>
    <w:rsid w:val="00781ACB"/>
    <w:rsid w:val="00781FC0"/>
    <w:rsid w:val="007822BF"/>
    <w:rsid w:val="007824CC"/>
    <w:rsid w:val="007825BD"/>
    <w:rsid w:val="007827CC"/>
    <w:rsid w:val="00782924"/>
    <w:rsid w:val="007829BE"/>
    <w:rsid w:val="00783111"/>
    <w:rsid w:val="00783196"/>
    <w:rsid w:val="007831DE"/>
    <w:rsid w:val="007835DD"/>
    <w:rsid w:val="0078365E"/>
    <w:rsid w:val="00783895"/>
    <w:rsid w:val="00783955"/>
    <w:rsid w:val="00783BD6"/>
    <w:rsid w:val="0078414B"/>
    <w:rsid w:val="0078430A"/>
    <w:rsid w:val="00784371"/>
    <w:rsid w:val="00784714"/>
    <w:rsid w:val="00784934"/>
    <w:rsid w:val="00784E8A"/>
    <w:rsid w:val="00784EBE"/>
    <w:rsid w:val="00785749"/>
    <w:rsid w:val="007857A4"/>
    <w:rsid w:val="00785B4E"/>
    <w:rsid w:val="00785D05"/>
    <w:rsid w:val="00785D59"/>
    <w:rsid w:val="00785E40"/>
    <w:rsid w:val="00786182"/>
    <w:rsid w:val="00786967"/>
    <w:rsid w:val="00786CFA"/>
    <w:rsid w:val="00786D27"/>
    <w:rsid w:val="00786DE4"/>
    <w:rsid w:val="00786E83"/>
    <w:rsid w:val="00786EE3"/>
    <w:rsid w:val="00787400"/>
    <w:rsid w:val="00787403"/>
    <w:rsid w:val="00787487"/>
    <w:rsid w:val="00787765"/>
    <w:rsid w:val="00787BF6"/>
    <w:rsid w:val="00787D94"/>
    <w:rsid w:val="00787DF2"/>
    <w:rsid w:val="00787E3C"/>
    <w:rsid w:val="00787E50"/>
    <w:rsid w:val="00787ECC"/>
    <w:rsid w:val="00790180"/>
    <w:rsid w:val="00790608"/>
    <w:rsid w:val="0079060B"/>
    <w:rsid w:val="007908FB"/>
    <w:rsid w:val="0079090F"/>
    <w:rsid w:val="00790B4D"/>
    <w:rsid w:val="00790C22"/>
    <w:rsid w:val="00790CD7"/>
    <w:rsid w:val="00790CE9"/>
    <w:rsid w:val="00791307"/>
    <w:rsid w:val="00791478"/>
    <w:rsid w:val="007914DD"/>
    <w:rsid w:val="00791BA3"/>
    <w:rsid w:val="007920C1"/>
    <w:rsid w:val="007920F1"/>
    <w:rsid w:val="007921EF"/>
    <w:rsid w:val="00792209"/>
    <w:rsid w:val="00792333"/>
    <w:rsid w:val="00792BB8"/>
    <w:rsid w:val="00792C7D"/>
    <w:rsid w:val="00792E98"/>
    <w:rsid w:val="00792E9A"/>
    <w:rsid w:val="00792F71"/>
    <w:rsid w:val="0079304D"/>
    <w:rsid w:val="0079306B"/>
    <w:rsid w:val="0079331C"/>
    <w:rsid w:val="00793762"/>
    <w:rsid w:val="007937F0"/>
    <w:rsid w:val="00793C9B"/>
    <w:rsid w:val="00793CFD"/>
    <w:rsid w:val="00793D75"/>
    <w:rsid w:val="00793EC5"/>
    <w:rsid w:val="007940E6"/>
    <w:rsid w:val="0079439A"/>
    <w:rsid w:val="007944E7"/>
    <w:rsid w:val="00794979"/>
    <w:rsid w:val="00794C8C"/>
    <w:rsid w:val="00794C9E"/>
    <w:rsid w:val="00794D83"/>
    <w:rsid w:val="00794E25"/>
    <w:rsid w:val="00794FF9"/>
    <w:rsid w:val="007950DB"/>
    <w:rsid w:val="007950E5"/>
    <w:rsid w:val="007951E1"/>
    <w:rsid w:val="007953E8"/>
    <w:rsid w:val="00795430"/>
    <w:rsid w:val="007954D1"/>
    <w:rsid w:val="0079561A"/>
    <w:rsid w:val="007956A7"/>
    <w:rsid w:val="00795725"/>
    <w:rsid w:val="007958A7"/>
    <w:rsid w:val="00795963"/>
    <w:rsid w:val="007959C1"/>
    <w:rsid w:val="00795A02"/>
    <w:rsid w:val="00795A77"/>
    <w:rsid w:val="00795E9E"/>
    <w:rsid w:val="00796275"/>
    <w:rsid w:val="007963FE"/>
    <w:rsid w:val="007967C1"/>
    <w:rsid w:val="007969E5"/>
    <w:rsid w:val="00796A37"/>
    <w:rsid w:val="00796ABF"/>
    <w:rsid w:val="00796B53"/>
    <w:rsid w:val="00796EF8"/>
    <w:rsid w:val="007971CC"/>
    <w:rsid w:val="007977B4"/>
    <w:rsid w:val="007978E1"/>
    <w:rsid w:val="007979D0"/>
    <w:rsid w:val="00797EC1"/>
    <w:rsid w:val="007A0558"/>
    <w:rsid w:val="007A073F"/>
    <w:rsid w:val="007A0886"/>
    <w:rsid w:val="007A0D6E"/>
    <w:rsid w:val="007A0E5E"/>
    <w:rsid w:val="007A0FC5"/>
    <w:rsid w:val="007A142B"/>
    <w:rsid w:val="007A1592"/>
    <w:rsid w:val="007A175A"/>
    <w:rsid w:val="007A1993"/>
    <w:rsid w:val="007A1AB5"/>
    <w:rsid w:val="007A1BFA"/>
    <w:rsid w:val="007A1D0E"/>
    <w:rsid w:val="007A1E9F"/>
    <w:rsid w:val="007A1F39"/>
    <w:rsid w:val="007A223B"/>
    <w:rsid w:val="007A24D3"/>
    <w:rsid w:val="007A27E0"/>
    <w:rsid w:val="007A2B7F"/>
    <w:rsid w:val="007A2BBD"/>
    <w:rsid w:val="007A2F44"/>
    <w:rsid w:val="007A3036"/>
    <w:rsid w:val="007A39BF"/>
    <w:rsid w:val="007A3CED"/>
    <w:rsid w:val="007A4226"/>
    <w:rsid w:val="007A436A"/>
    <w:rsid w:val="007A496B"/>
    <w:rsid w:val="007A497A"/>
    <w:rsid w:val="007A4A7C"/>
    <w:rsid w:val="007A4C67"/>
    <w:rsid w:val="007A4ECE"/>
    <w:rsid w:val="007A4F1E"/>
    <w:rsid w:val="007A5142"/>
    <w:rsid w:val="007A561E"/>
    <w:rsid w:val="007A5709"/>
    <w:rsid w:val="007A5998"/>
    <w:rsid w:val="007A5D40"/>
    <w:rsid w:val="007A5DCC"/>
    <w:rsid w:val="007A5EE9"/>
    <w:rsid w:val="007A6000"/>
    <w:rsid w:val="007A651C"/>
    <w:rsid w:val="007A660B"/>
    <w:rsid w:val="007A6661"/>
    <w:rsid w:val="007A6675"/>
    <w:rsid w:val="007A66B0"/>
    <w:rsid w:val="007A67AF"/>
    <w:rsid w:val="007A67D8"/>
    <w:rsid w:val="007A70DD"/>
    <w:rsid w:val="007A715C"/>
    <w:rsid w:val="007A741C"/>
    <w:rsid w:val="007A7578"/>
    <w:rsid w:val="007A75B6"/>
    <w:rsid w:val="007A7934"/>
    <w:rsid w:val="007A7B8D"/>
    <w:rsid w:val="007A7C06"/>
    <w:rsid w:val="007A7CDB"/>
    <w:rsid w:val="007B0045"/>
    <w:rsid w:val="007B04F1"/>
    <w:rsid w:val="007B0755"/>
    <w:rsid w:val="007B077E"/>
    <w:rsid w:val="007B08E0"/>
    <w:rsid w:val="007B0981"/>
    <w:rsid w:val="007B0AA5"/>
    <w:rsid w:val="007B0B1C"/>
    <w:rsid w:val="007B0BB5"/>
    <w:rsid w:val="007B0D6D"/>
    <w:rsid w:val="007B0D88"/>
    <w:rsid w:val="007B0D9D"/>
    <w:rsid w:val="007B0E31"/>
    <w:rsid w:val="007B0E85"/>
    <w:rsid w:val="007B0EC8"/>
    <w:rsid w:val="007B0ED2"/>
    <w:rsid w:val="007B1145"/>
    <w:rsid w:val="007B12D3"/>
    <w:rsid w:val="007B17F8"/>
    <w:rsid w:val="007B18D4"/>
    <w:rsid w:val="007B19D0"/>
    <w:rsid w:val="007B1A44"/>
    <w:rsid w:val="007B1AFB"/>
    <w:rsid w:val="007B1B1C"/>
    <w:rsid w:val="007B1B58"/>
    <w:rsid w:val="007B1CAB"/>
    <w:rsid w:val="007B1F7F"/>
    <w:rsid w:val="007B2265"/>
    <w:rsid w:val="007B24C0"/>
    <w:rsid w:val="007B251E"/>
    <w:rsid w:val="007B25D8"/>
    <w:rsid w:val="007B2838"/>
    <w:rsid w:val="007B2951"/>
    <w:rsid w:val="007B2A3E"/>
    <w:rsid w:val="007B2A77"/>
    <w:rsid w:val="007B2B20"/>
    <w:rsid w:val="007B2E9E"/>
    <w:rsid w:val="007B2FB2"/>
    <w:rsid w:val="007B3074"/>
    <w:rsid w:val="007B31D1"/>
    <w:rsid w:val="007B3605"/>
    <w:rsid w:val="007B360F"/>
    <w:rsid w:val="007B3CA1"/>
    <w:rsid w:val="007B3CA8"/>
    <w:rsid w:val="007B3DC6"/>
    <w:rsid w:val="007B4075"/>
    <w:rsid w:val="007B41C3"/>
    <w:rsid w:val="007B41CE"/>
    <w:rsid w:val="007B4239"/>
    <w:rsid w:val="007B448C"/>
    <w:rsid w:val="007B4704"/>
    <w:rsid w:val="007B490F"/>
    <w:rsid w:val="007B4923"/>
    <w:rsid w:val="007B496C"/>
    <w:rsid w:val="007B4AE9"/>
    <w:rsid w:val="007B55C9"/>
    <w:rsid w:val="007B5B65"/>
    <w:rsid w:val="007B5E2E"/>
    <w:rsid w:val="007B5F82"/>
    <w:rsid w:val="007B601A"/>
    <w:rsid w:val="007B6118"/>
    <w:rsid w:val="007B61BA"/>
    <w:rsid w:val="007B6342"/>
    <w:rsid w:val="007B64D4"/>
    <w:rsid w:val="007B69A3"/>
    <w:rsid w:val="007B6B00"/>
    <w:rsid w:val="007B6C79"/>
    <w:rsid w:val="007B6CEA"/>
    <w:rsid w:val="007B7213"/>
    <w:rsid w:val="007B744D"/>
    <w:rsid w:val="007B75F1"/>
    <w:rsid w:val="007B77DA"/>
    <w:rsid w:val="007B7A39"/>
    <w:rsid w:val="007B7B1C"/>
    <w:rsid w:val="007C030B"/>
    <w:rsid w:val="007C037E"/>
    <w:rsid w:val="007C0396"/>
    <w:rsid w:val="007C04DF"/>
    <w:rsid w:val="007C0526"/>
    <w:rsid w:val="007C0CDA"/>
    <w:rsid w:val="007C0EA0"/>
    <w:rsid w:val="007C14CE"/>
    <w:rsid w:val="007C1D45"/>
    <w:rsid w:val="007C1D50"/>
    <w:rsid w:val="007C1E64"/>
    <w:rsid w:val="007C1F52"/>
    <w:rsid w:val="007C1F7A"/>
    <w:rsid w:val="007C2094"/>
    <w:rsid w:val="007C218E"/>
    <w:rsid w:val="007C253D"/>
    <w:rsid w:val="007C2D8B"/>
    <w:rsid w:val="007C2F70"/>
    <w:rsid w:val="007C3093"/>
    <w:rsid w:val="007C30D9"/>
    <w:rsid w:val="007C319D"/>
    <w:rsid w:val="007C31F8"/>
    <w:rsid w:val="007C3286"/>
    <w:rsid w:val="007C3888"/>
    <w:rsid w:val="007C396F"/>
    <w:rsid w:val="007C3A3C"/>
    <w:rsid w:val="007C3A6C"/>
    <w:rsid w:val="007C3DD3"/>
    <w:rsid w:val="007C4641"/>
    <w:rsid w:val="007C4690"/>
    <w:rsid w:val="007C47AC"/>
    <w:rsid w:val="007C4C06"/>
    <w:rsid w:val="007C4C32"/>
    <w:rsid w:val="007C4DD6"/>
    <w:rsid w:val="007C4FBC"/>
    <w:rsid w:val="007C52DC"/>
    <w:rsid w:val="007C5671"/>
    <w:rsid w:val="007C56D5"/>
    <w:rsid w:val="007C5AA3"/>
    <w:rsid w:val="007C637B"/>
    <w:rsid w:val="007C6790"/>
    <w:rsid w:val="007C6E51"/>
    <w:rsid w:val="007C6F83"/>
    <w:rsid w:val="007C6FAD"/>
    <w:rsid w:val="007C7193"/>
    <w:rsid w:val="007C7599"/>
    <w:rsid w:val="007C7655"/>
    <w:rsid w:val="007C78EB"/>
    <w:rsid w:val="007C7AF3"/>
    <w:rsid w:val="007C7BC2"/>
    <w:rsid w:val="007C7E41"/>
    <w:rsid w:val="007C7EA4"/>
    <w:rsid w:val="007C7EF7"/>
    <w:rsid w:val="007D00BD"/>
    <w:rsid w:val="007D023C"/>
    <w:rsid w:val="007D046C"/>
    <w:rsid w:val="007D07FE"/>
    <w:rsid w:val="007D0B44"/>
    <w:rsid w:val="007D1195"/>
    <w:rsid w:val="007D152D"/>
    <w:rsid w:val="007D1978"/>
    <w:rsid w:val="007D1DD6"/>
    <w:rsid w:val="007D1E8C"/>
    <w:rsid w:val="007D1F1D"/>
    <w:rsid w:val="007D2329"/>
    <w:rsid w:val="007D23F0"/>
    <w:rsid w:val="007D2663"/>
    <w:rsid w:val="007D28BE"/>
    <w:rsid w:val="007D3296"/>
    <w:rsid w:val="007D3396"/>
    <w:rsid w:val="007D33E5"/>
    <w:rsid w:val="007D3A24"/>
    <w:rsid w:val="007D3B17"/>
    <w:rsid w:val="007D3BDF"/>
    <w:rsid w:val="007D3C84"/>
    <w:rsid w:val="007D3CAB"/>
    <w:rsid w:val="007D3EA3"/>
    <w:rsid w:val="007D3F1A"/>
    <w:rsid w:val="007D4620"/>
    <w:rsid w:val="007D48E2"/>
    <w:rsid w:val="007D4BC2"/>
    <w:rsid w:val="007D5088"/>
    <w:rsid w:val="007D5190"/>
    <w:rsid w:val="007D536F"/>
    <w:rsid w:val="007D56D0"/>
    <w:rsid w:val="007D56E0"/>
    <w:rsid w:val="007D5BEF"/>
    <w:rsid w:val="007D5C79"/>
    <w:rsid w:val="007D5C95"/>
    <w:rsid w:val="007D5F04"/>
    <w:rsid w:val="007D6241"/>
    <w:rsid w:val="007D63C8"/>
    <w:rsid w:val="007D6418"/>
    <w:rsid w:val="007D6614"/>
    <w:rsid w:val="007D6670"/>
    <w:rsid w:val="007D6A2F"/>
    <w:rsid w:val="007D6AB3"/>
    <w:rsid w:val="007D6AEA"/>
    <w:rsid w:val="007D71F1"/>
    <w:rsid w:val="007D7219"/>
    <w:rsid w:val="007D724F"/>
    <w:rsid w:val="007D7476"/>
    <w:rsid w:val="007D74B2"/>
    <w:rsid w:val="007D751F"/>
    <w:rsid w:val="007D7615"/>
    <w:rsid w:val="007D76F7"/>
    <w:rsid w:val="007D7729"/>
    <w:rsid w:val="007D7B02"/>
    <w:rsid w:val="007D7DA3"/>
    <w:rsid w:val="007D7E92"/>
    <w:rsid w:val="007E0027"/>
    <w:rsid w:val="007E0550"/>
    <w:rsid w:val="007E09E7"/>
    <w:rsid w:val="007E0C3E"/>
    <w:rsid w:val="007E0D36"/>
    <w:rsid w:val="007E0E03"/>
    <w:rsid w:val="007E0EDE"/>
    <w:rsid w:val="007E1108"/>
    <w:rsid w:val="007E13EB"/>
    <w:rsid w:val="007E14F1"/>
    <w:rsid w:val="007E1626"/>
    <w:rsid w:val="007E17AF"/>
    <w:rsid w:val="007E18CF"/>
    <w:rsid w:val="007E190A"/>
    <w:rsid w:val="007E1E42"/>
    <w:rsid w:val="007E1F08"/>
    <w:rsid w:val="007E2012"/>
    <w:rsid w:val="007E20A8"/>
    <w:rsid w:val="007E210E"/>
    <w:rsid w:val="007E21F9"/>
    <w:rsid w:val="007E23A3"/>
    <w:rsid w:val="007E23D1"/>
    <w:rsid w:val="007E2434"/>
    <w:rsid w:val="007E2475"/>
    <w:rsid w:val="007E271F"/>
    <w:rsid w:val="007E2850"/>
    <w:rsid w:val="007E28D6"/>
    <w:rsid w:val="007E2DD2"/>
    <w:rsid w:val="007E2E6B"/>
    <w:rsid w:val="007E2F51"/>
    <w:rsid w:val="007E31C0"/>
    <w:rsid w:val="007E3363"/>
    <w:rsid w:val="007E38A4"/>
    <w:rsid w:val="007E393B"/>
    <w:rsid w:val="007E3D71"/>
    <w:rsid w:val="007E3DEB"/>
    <w:rsid w:val="007E3E50"/>
    <w:rsid w:val="007E3EBD"/>
    <w:rsid w:val="007E4104"/>
    <w:rsid w:val="007E4230"/>
    <w:rsid w:val="007E484D"/>
    <w:rsid w:val="007E486C"/>
    <w:rsid w:val="007E496E"/>
    <w:rsid w:val="007E4D95"/>
    <w:rsid w:val="007E53EB"/>
    <w:rsid w:val="007E5832"/>
    <w:rsid w:val="007E5974"/>
    <w:rsid w:val="007E5BD9"/>
    <w:rsid w:val="007E5C73"/>
    <w:rsid w:val="007E5E19"/>
    <w:rsid w:val="007E6120"/>
    <w:rsid w:val="007E6171"/>
    <w:rsid w:val="007E62BA"/>
    <w:rsid w:val="007E63F2"/>
    <w:rsid w:val="007E68A2"/>
    <w:rsid w:val="007E6FC4"/>
    <w:rsid w:val="007E72C2"/>
    <w:rsid w:val="007E7376"/>
    <w:rsid w:val="007E7680"/>
    <w:rsid w:val="007E791F"/>
    <w:rsid w:val="007E79BF"/>
    <w:rsid w:val="007E7B7F"/>
    <w:rsid w:val="007E7D3A"/>
    <w:rsid w:val="007E7D8E"/>
    <w:rsid w:val="007E7EF9"/>
    <w:rsid w:val="007F0056"/>
    <w:rsid w:val="007F041D"/>
    <w:rsid w:val="007F065B"/>
    <w:rsid w:val="007F06AB"/>
    <w:rsid w:val="007F0782"/>
    <w:rsid w:val="007F090F"/>
    <w:rsid w:val="007F096A"/>
    <w:rsid w:val="007F0CA3"/>
    <w:rsid w:val="007F0D1B"/>
    <w:rsid w:val="007F0ED6"/>
    <w:rsid w:val="007F10E6"/>
    <w:rsid w:val="007F1113"/>
    <w:rsid w:val="007F11D5"/>
    <w:rsid w:val="007F1463"/>
    <w:rsid w:val="007F1477"/>
    <w:rsid w:val="007F15FF"/>
    <w:rsid w:val="007F188F"/>
    <w:rsid w:val="007F18E9"/>
    <w:rsid w:val="007F1AA6"/>
    <w:rsid w:val="007F1C72"/>
    <w:rsid w:val="007F1D7A"/>
    <w:rsid w:val="007F1F9D"/>
    <w:rsid w:val="007F2247"/>
    <w:rsid w:val="007F2320"/>
    <w:rsid w:val="007F255C"/>
    <w:rsid w:val="007F2672"/>
    <w:rsid w:val="007F26A4"/>
    <w:rsid w:val="007F26F3"/>
    <w:rsid w:val="007F2913"/>
    <w:rsid w:val="007F2977"/>
    <w:rsid w:val="007F29D9"/>
    <w:rsid w:val="007F2AD3"/>
    <w:rsid w:val="007F2CA9"/>
    <w:rsid w:val="007F2D8F"/>
    <w:rsid w:val="007F338C"/>
    <w:rsid w:val="007F36EE"/>
    <w:rsid w:val="007F3780"/>
    <w:rsid w:val="007F38B4"/>
    <w:rsid w:val="007F3A03"/>
    <w:rsid w:val="007F3AB9"/>
    <w:rsid w:val="007F3C77"/>
    <w:rsid w:val="007F3CEB"/>
    <w:rsid w:val="007F44CE"/>
    <w:rsid w:val="007F466B"/>
    <w:rsid w:val="007F498E"/>
    <w:rsid w:val="007F4B78"/>
    <w:rsid w:val="007F4DEB"/>
    <w:rsid w:val="007F4E64"/>
    <w:rsid w:val="007F55AB"/>
    <w:rsid w:val="007F578B"/>
    <w:rsid w:val="007F5952"/>
    <w:rsid w:val="007F5AB3"/>
    <w:rsid w:val="007F5E0B"/>
    <w:rsid w:val="007F6064"/>
    <w:rsid w:val="007F628A"/>
    <w:rsid w:val="007F6499"/>
    <w:rsid w:val="007F6521"/>
    <w:rsid w:val="007F65C1"/>
    <w:rsid w:val="007F6614"/>
    <w:rsid w:val="007F66D5"/>
    <w:rsid w:val="007F6724"/>
    <w:rsid w:val="007F6735"/>
    <w:rsid w:val="007F6786"/>
    <w:rsid w:val="007F69E5"/>
    <w:rsid w:val="007F6CD2"/>
    <w:rsid w:val="007F6E8E"/>
    <w:rsid w:val="007F706A"/>
    <w:rsid w:val="007F717E"/>
    <w:rsid w:val="007F726E"/>
    <w:rsid w:val="007F73AF"/>
    <w:rsid w:val="007F7544"/>
    <w:rsid w:val="007F7C8C"/>
    <w:rsid w:val="007F7E9B"/>
    <w:rsid w:val="007F7EE4"/>
    <w:rsid w:val="007F7FF8"/>
    <w:rsid w:val="008003B5"/>
    <w:rsid w:val="008006F3"/>
    <w:rsid w:val="0080098E"/>
    <w:rsid w:val="00801084"/>
    <w:rsid w:val="0080117C"/>
    <w:rsid w:val="00801634"/>
    <w:rsid w:val="008016A7"/>
    <w:rsid w:val="00801857"/>
    <w:rsid w:val="00801A20"/>
    <w:rsid w:val="0080208C"/>
    <w:rsid w:val="0080220D"/>
    <w:rsid w:val="008022FF"/>
    <w:rsid w:val="008026E3"/>
    <w:rsid w:val="0080270E"/>
    <w:rsid w:val="0080272B"/>
    <w:rsid w:val="0080292A"/>
    <w:rsid w:val="008029C8"/>
    <w:rsid w:val="00802B3C"/>
    <w:rsid w:val="00802D33"/>
    <w:rsid w:val="00803155"/>
    <w:rsid w:val="0080339B"/>
    <w:rsid w:val="00803566"/>
    <w:rsid w:val="008035AE"/>
    <w:rsid w:val="00803A68"/>
    <w:rsid w:val="00803B83"/>
    <w:rsid w:val="00803E30"/>
    <w:rsid w:val="008040EC"/>
    <w:rsid w:val="008043D5"/>
    <w:rsid w:val="00804533"/>
    <w:rsid w:val="00804872"/>
    <w:rsid w:val="00804A41"/>
    <w:rsid w:val="00804A5D"/>
    <w:rsid w:val="00804E73"/>
    <w:rsid w:val="00805173"/>
    <w:rsid w:val="0080552D"/>
    <w:rsid w:val="00805779"/>
    <w:rsid w:val="00805825"/>
    <w:rsid w:val="008058D8"/>
    <w:rsid w:val="0080597E"/>
    <w:rsid w:val="00805A5B"/>
    <w:rsid w:val="00806258"/>
    <w:rsid w:val="008063CC"/>
    <w:rsid w:val="00806948"/>
    <w:rsid w:val="00806AC8"/>
    <w:rsid w:val="00806C13"/>
    <w:rsid w:val="00806D23"/>
    <w:rsid w:val="008074FC"/>
    <w:rsid w:val="008074FD"/>
    <w:rsid w:val="008076A3"/>
    <w:rsid w:val="00807880"/>
    <w:rsid w:val="008079CB"/>
    <w:rsid w:val="00807A36"/>
    <w:rsid w:val="00807ED7"/>
    <w:rsid w:val="008104FD"/>
    <w:rsid w:val="0081056B"/>
    <w:rsid w:val="0081058C"/>
    <w:rsid w:val="008107ED"/>
    <w:rsid w:val="0081090F"/>
    <w:rsid w:val="00810ADF"/>
    <w:rsid w:val="00810B0E"/>
    <w:rsid w:val="00811377"/>
    <w:rsid w:val="0081142A"/>
    <w:rsid w:val="008114DA"/>
    <w:rsid w:val="008115F3"/>
    <w:rsid w:val="00811796"/>
    <w:rsid w:val="0081179E"/>
    <w:rsid w:val="00811BF6"/>
    <w:rsid w:val="00811C79"/>
    <w:rsid w:val="00811CBF"/>
    <w:rsid w:val="00811EDF"/>
    <w:rsid w:val="00812712"/>
    <w:rsid w:val="008127D1"/>
    <w:rsid w:val="00812F72"/>
    <w:rsid w:val="008131D3"/>
    <w:rsid w:val="008133D3"/>
    <w:rsid w:val="00813667"/>
    <w:rsid w:val="00813C16"/>
    <w:rsid w:val="00813DA0"/>
    <w:rsid w:val="00813EF0"/>
    <w:rsid w:val="00813FA4"/>
    <w:rsid w:val="0081495F"/>
    <w:rsid w:val="00814A84"/>
    <w:rsid w:val="00814A98"/>
    <w:rsid w:val="00814C86"/>
    <w:rsid w:val="00814DDF"/>
    <w:rsid w:val="00814F83"/>
    <w:rsid w:val="00815256"/>
    <w:rsid w:val="00815359"/>
    <w:rsid w:val="00815513"/>
    <w:rsid w:val="00815541"/>
    <w:rsid w:val="008157A5"/>
    <w:rsid w:val="008157CE"/>
    <w:rsid w:val="0081589D"/>
    <w:rsid w:val="0081591C"/>
    <w:rsid w:val="00815A6C"/>
    <w:rsid w:val="00816058"/>
    <w:rsid w:val="008162FD"/>
    <w:rsid w:val="0081685F"/>
    <w:rsid w:val="00816A18"/>
    <w:rsid w:val="00816BE5"/>
    <w:rsid w:val="00816DAE"/>
    <w:rsid w:val="008170D9"/>
    <w:rsid w:val="0081719E"/>
    <w:rsid w:val="008174A6"/>
    <w:rsid w:val="00817CC1"/>
    <w:rsid w:val="008200E1"/>
    <w:rsid w:val="00820260"/>
    <w:rsid w:val="008207C5"/>
    <w:rsid w:val="00820A44"/>
    <w:rsid w:val="00820E27"/>
    <w:rsid w:val="00821376"/>
    <w:rsid w:val="008215A6"/>
    <w:rsid w:val="008217BC"/>
    <w:rsid w:val="008218C4"/>
    <w:rsid w:val="008219CE"/>
    <w:rsid w:val="00821B89"/>
    <w:rsid w:val="00822244"/>
    <w:rsid w:val="00822355"/>
    <w:rsid w:val="008223C5"/>
    <w:rsid w:val="00822B55"/>
    <w:rsid w:val="00822CC8"/>
    <w:rsid w:val="00822F4B"/>
    <w:rsid w:val="008232BC"/>
    <w:rsid w:val="008237BE"/>
    <w:rsid w:val="008239A0"/>
    <w:rsid w:val="00823DEC"/>
    <w:rsid w:val="00824161"/>
    <w:rsid w:val="0082456F"/>
    <w:rsid w:val="00824624"/>
    <w:rsid w:val="00824A22"/>
    <w:rsid w:val="00824B16"/>
    <w:rsid w:val="0082567C"/>
    <w:rsid w:val="008257A2"/>
    <w:rsid w:val="00825974"/>
    <w:rsid w:val="00826093"/>
    <w:rsid w:val="0082610C"/>
    <w:rsid w:val="0082616D"/>
    <w:rsid w:val="008264AA"/>
    <w:rsid w:val="00826814"/>
    <w:rsid w:val="0082698A"/>
    <w:rsid w:val="00826B61"/>
    <w:rsid w:val="008272D2"/>
    <w:rsid w:val="008273BF"/>
    <w:rsid w:val="00827404"/>
    <w:rsid w:val="008276F7"/>
    <w:rsid w:val="00827723"/>
    <w:rsid w:val="008279C0"/>
    <w:rsid w:val="00827B32"/>
    <w:rsid w:val="00827D21"/>
    <w:rsid w:val="00827D97"/>
    <w:rsid w:val="00827DEE"/>
    <w:rsid w:val="008301A8"/>
    <w:rsid w:val="00830305"/>
    <w:rsid w:val="00830337"/>
    <w:rsid w:val="00830421"/>
    <w:rsid w:val="0083045D"/>
    <w:rsid w:val="00830752"/>
    <w:rsid w:val="00830763"/>
    <w:rsid w:val="00830C05"/>
    <w:rsid w:val="00830E01"/>
    <w:rsid w:val="0083129B"/>
    <w:rsid w:val="008312E9"/>
    <w:rsid w:val="008318C7"/>
    <w:rsid w:val="00831C26"/>
    <w:rsid w:val="00831DE5"/>
    <w:rsid w:val="00832033"/>
    <w:rsid w:val="00832041"/>
    <w:rsid w:val="008320D3"/>
    <w:rsid w:val="00832185"/>
    <w:rsid w:val="0083219D"/>
    <w:rsid w:val="00832607"/>
    <w:rsid w:val="0083274C"/>
    <w:rsid w:val="00832BF5"/>
    <w:rsid w:val="00832C7E"/>
    <w:rsid w:val="00833229"/>
    <w:rsid w:val="008338CC"/>
    <w:rsid w:val="00833DE0"/>
    <w:rsid w:val="00833F1B"/>
    <w:rsid w:val="0083413E"/>
    <w:rsid w:val="00834557"/>
    <w:rsid w:val="008345C6"/>
    <w:rsid w:val="00834950"/>
    <w:rsid w:val="00834995"/>
    <w:rsid w:val="00834A0D"/>
    <w:rsid w:val="00834A2C"/>
    <w:rsid w:val="00834B9B"/>
    <w:rsid w:val="008352FA"/>
    <w:rsid w:val="008353D8"/>
    <w:rsid w:val="00835436"/>
    <w:rsid w:val="00835AC0"/>
    <w:rsid w:val="00835EDE"/>
    <w:rsid w:val="0083614F"/>
    <w:rsid w:val="008361A7"/>
    <w:rsid w:val="008361E7"/>
    <w:rsid w:val="0083643A"/>
    <w:rsid w:val="00836708"/>
    <w:rsid w:val="0083672C"/>
    <w:rsid w:val="00836AA9"/>
    <w:rsid w:val="00836CA4"/>
    <w:rsid w:val="00836F30"/>
    <w:rsid w:val="008374D1"/>
    <w:rsid w:val="0083764A"/>
    <w:rsid w:val="008377D5"/>
    <w:rsid w:val="00837854"/>
    <w:rsid w:val="00837992"/>
    <w:rsid w:val="00837AD5"/>
    <w:rsid w:val="00837BAA"/>
    <w:rsid w:val="00837D80"/>
    <w:rsid w:val="00840141"/>
    <w:rsid w:val="008401A5"/>
    <w:rsid w:val="00840727"/>
    <w:rsid w:val="008409EA"/>
    <w:rsid w:val="00840B4B"/>
    <w:rsid w:val="00840DC0"/>
    <w:rsid w:val="00840E1C"/>
    <w:rsid w:val="00840E2C"/>
    <w:rsid w:val="00841025"/>
    <w:rsid w:val="00841081"/>
    <w:rsid w:val="00841A22"/>
    <w:rsid w:val="00841C13"/>
    <w:rsid w:val="00842193"/>
    <w:rsid w:val="008421B5"/>
    <w:rsid w:val="00842393"/>
    <w:rsid w:val="008424EE"/>
    <w:rsid w:val="0084251F"/>
    <w:rsid w:val="008426CA"/>
    <w:rsid w:val="00842D3C"/>
    <w:rsid w:val="00842DBF"/>
    <w:rsid w:val="00842F17"/>
    <w:rsid w:val="00842FA3"/>
    <w:rsid w:val="008430E8"/>
    <w:rsid w:val="00843168"/>
    <w:rsid w:val="0084364C"/>
    <w:rsid w:val="008438B8"/>
    <w:rsid w:val="008438FD"/>
    <w:rsid w:val="00843998"/>
    <w:rsid w:val="00843DF3"/>
    <w:rsid w:val="00843E96"/>
    <w:rsid w:val="008442B9"/>
    <w:rsid w:val="008442F7"/>
    <w:rsid w:val="0084478C"/>
    <w:rsid w:val="00844927"/>
    <w:rsid w:val="00844963"/>
    <w:rsid w:val="00844E56"/>
    <w:rsid w:val="00845152"/>
    <w:rsid w:val="0084561C"/>
    <w:rsid w:val="00845BAB"/>
    <w:rsid w:val="00845DE6"/>
    <w:rsid w:val="00845F02"/>
    <w:rsid w:val="00845F55"/>
    <w:rsid w:val="0084637E"/>
    <w:rsid w:val="0084648C"/>
    <w:rsid w:val="008469DF"/>
    <w:rsid w:val="00846A17"/>
    <w:rsid w:val="00846AB6"/>
    <w:rsid w:val="00846BD7"/>
    <w:rsid w:val="00846E47"/>
    <w:rsid w:val="00846E51"/>
    <w:rsid w:val="008476C7"/>
    <w:rsid w:val="008476DC"/>
    <w:rsid w:val="008476E7"/>
    <w:rsid w:val="00847752"/>
    <w:rsid w:val="008478CD"/>
    <w:rsid w:val="00847B22"/>
    <w:rsid w:val="00847B9D"/>
    <w:rsid w:val="00847E9B"/>
    <w:rsid w:val="00850303"/>
    <w:rsid w:val="008503E5"/>
    <w:rsid w:val="008508AC"/>
    <w:rsid w:val="00850949"/>
    <w:rsid w:val="008509B5"/>
    <w:rsid w:val="00850F28"/>
    <w:rsid w:val="00851051"/>
    <w:rsid w:val="008510BC"/>
    <w:rsid w:val="0085138C"/>
    <w:rsid w:val="0085143C"/>
    <w:rsid w:val="0085161F"/>
    <w:rsid w:val="00851675"/>
    <w:rsid w:val="008516E7"/>
    <w:rsid w:val="00851804"/>
    <w:rsid w:val="00851B59"/>
    <w:rsid w:val="00851D60"/>
    <w:rsid w:val="00851F09"/>
    <w:rsid w:val="008528C7"/>
    <w:rsid w:val="00852901"/>
    <w:rsid w:val="00853152"/>
    <w:rsid w:val="00853245"/>
    <w:rsid w:val="00853268"/>
    <w:rsid w:val="0085326A"/>
    <w:rsid w:val="00853514"/>
    <w:rsid w:val="00853AAD"/>
    <w:rsid w:val="00853CB8"/>
    <w:rsid w:val="00853D61"/>
    <w:rsid w:val="00853F28"/>
    <w:rsid w:val="008542F0"/>
    <w:rsid w:val="00854303"/>
    <w:rsid w:val="00854305"/>
    <w:rsid w:val="008544A6"/>
    <w:rsid w:val="0085485A"/>
    <w:rsid w:val="00854D98"/>
    <w:rsid w:val="00854EFD"/>
    <w:rsid w:val="00855230"/>
    <w:rsid w:val="008552BC"/>
    <w:rsid w:val="008556AB"/>
    <w:rsid w:val="0085622D"/>
    <w:rsid w:val="00856279"/>
    <w:rsid w:val="008565F5"/>
    <w:rsid w:val="008568D0"/>
    <w:rsid w:val="00856ADC"/>
    <w:rsid w:val="00856C3A"/>
    <w:rsid w:val="00856E57"/>
    <w:rsid w:val="00856FAA"/>
    <w:rsid w:val="0085725F"/>
    <w:rsid w:val="00857285"/>
    <w:rsid w:val="008577D6"/>
    <w:rsid w:val="008578FB"/>
    <w:rsid w:val="00857C29"/>
    <w:rsid w:val="008600D8"/>
    <w:rsid w:val="008601FB"/>
    <w:rsid w:val="008602FB"/>
    <w:rsid w:val="0086055D"/>
    <w:rsid w:val="00860828"/>
    <w:rsid w:val="00860B3F"/>
    <w:rsid w:val="00860B53"/>
    <w:rsid w:val="00860C93"/>
    <w:rsid w:val="00860F91"/>
    <w:rsid w:val="00860F96"/>
    <w:rsid w:val="00861068"/>
    <w:rsid w:val="00861100"/>
    <w:rsid w:val="00861197"/>
    <w:rsid w:val="008611C6"/>
    <w:rsid w:val="008614B0"/>
    <w:rsid w:val="00861C40"/>
    <w:rsid w:val="00861E45"/>
    <w:rsid w:val="00862022"/>
    <w:rsid w:val="008623CB"/>
    <w:rsid w:val="008625A1"/>
    <w:rsid w:val="00862A5F"/>
    <w:rsid w:val="00862B2C"/>
    <w:rsid w:val="00862C2E"/>
    <w:rsid w:val="00862F66"/>
    <w:rsid w:val="008630AB"/>
    <w:rsid w:val="00863148"/>
    <w:rsid w:val="00863167"/>
    <w:rsid w:val="00863259"/>
    <w:rsid w:val="00863549"/>
    <w:rsid w:val="00863570"/>
    <w:rsid w:val="008635BD"/>
    <w:rsid w:val="008636C0"/>
    <w:rsid w:val="008636ED"/>
    <w:rsid w:val="008638B2"/>
    <w:rsid w:val="00863A3A"/>
    <w:rsid w:val="00863C8E"/>
    <w:rsid w:val="00863CDB"/>
    <w:rsid w:val="00864038"/>
    <w:rsid w:val="0086412F"/>
    <w:rsid w:val="00864328"/>
    <w:rsid w:val="00864382"/>
    <w:rsid w:val="00864867"/>
    <w:rsid w:val="008651DD"/>
    <w:rsid w:val="00865492"/>
    <w:rsid w:val="00865530"/>
    <w:rsid w:val="00865575"/>
    <w:rsid w:val="0086572B"/>
    <w:rsid w:val="008659B1"/>
    <w:rsid w:val="00865B4C"/>
    <w:rsid w:val="00865B97"/>
    <w:rsid w:val="00865B9B"/>
    <w:rsid w:val="00865BE3"/>
    <w:rsid w:val="0086614E"/>
    <w:rsid w:val="0086672C"/>
    <w:rsid w:val="008669AB"/>
    <w:rsid w:val="00866D65"/>
    <w:rsid w:val="00866FB3"/>
    <w:rsid w:val="0086779E"/>
    <w:rsid w:val="00867916"/>
    <w:rsid w:val="0086792B"/>
    <w:rsid w:val="00867DE5"/>
    <w:rsid w:val="00867F25"/>
    <w:rsid w:val="008700CA"/>
    <w:rsid w:val="00870216"/>
    <w:rsid w:val="0087057E"/>
    <w:rsid w:val="008705B7"/>
    <w:rsid w:val="0087098A"/>
    <w:rsid w:val="00870DB6"/>
    <w:rsid w:val="00871151"/>
    <w:rsid w:val="008713AF"/>
    <w:rsid w:val="00871581"/>
    <w:rsid w:val="0087164D"/>
    <w:rsid w:val="008716B7"/>
    <w:rsid w:val="0087174C"/>
    <w:rsid w:val="008718AB"/>
    <w:rsid w:val="00871CB9"/>
    <w:rsid w:val="008720B3"/>
    <w:rsid w:val="008723DC"/>
    <w:rsid w:val="008724F7"/>
    <w:rsid w:val="00872602"/>
    <w:rsid w:val="008727A6"/>
    <w:rsid w:val="00872802"/>
    <w:rsid w:val="008728E2"/>
    <w:rsid w:val="00872900"/>
    <w:rsid w:val="00872F79"/>
    <w:rsid w:val="0087300E"/>
    <w:rsid w:val="008734D2"/>
    <w:rsid w:val="008735DE"/>
    <w:rsid w:val="008736CA"/>
    <w:rsid w:val="00873C6A"/>
    <w:rsid w:val="00873F1C"/>
    <w:rsid w:val="00873F23"/>
    <w:rsid w:val="008740CB"/>
    <w:rsid w:val="0087418C"/>
    <w:rsid w:val="00874195"/>
    <w:rsid w:val="008743CA"/>
    <w:rsid w:val="008744E5"/>
    <w:rsid w:val="0087471A"/>
    <w:rsid w:val="008747D9"/>
    <w:rsid w:val="00874A2D"/>
    <w:rsid w:val="00874C80"/>
    <w:rsid w:val="00875628"/>
    <w:rsid w:val="0087570C"/>
    <w:rsid w:val="0087592C"/>
    <w:rsid w:val="0087598D"/>
    <w:rsid w:val="00875A13"/>
    <w:rsid w:val="00875E37"/>
    <w:rsid w:val="00875ED5"/>
    <w:rsid w:val="00875FD2"/>
    <w:rsid w:val="008761B9"/>
    <w:rsid w:val="008764A3"/>
    <w:rsid w:val="0087676E"/>
    <w:rsid w:val="00876881"/>
    <w:rsid w:val="008768F7"/>
    <w:rsid w:val="00876B19"/>
    <w:rsid w:val="00876D23"/>
    <w:rsid w:val="00876D60"/>
    <w:rsid w:val="008771F5"/>
    <w:rsid w:val="008771FB"/>
    <w:rsid w:val="00877268"/>
    <w:rsid w:val="008773A4"/>
    <w:rsid w:val="008774E9"/>
    <w:rsid w:val="00877665"/>
    <w:rsid w:val="0087782F"/>
    <w:rsid w:val="0087786B"/>
    <w:rsid w:val="00877977"/>
    <w:rsid w:val="00877981"/>
    <w:rsid w:val="00877BEA"/>
    <w:rsid w:val="00880040"/>
    <w:rsid w:val="00880168"/>
    <w:rsid w:val="0088027A"/>
    <w:rsid w:val="008802BC"/>
    <w:rsid w:val="00880333"/>
    <w:rsid w:val="0088043F"/>
    <w:rsid w:val="008804C5"/>
    <w:rsid w:val="0088056C"/>
    <w:rsid w:val="008805C1"/>
    <w:rsid w:val="00880F8B"/>
    <w:rsid w:val="008814E2"/>
    <w:rsid w:val="0088173A"/>
    <w:rsid w:val="008819C7"/>
    <w:rsid w:val="00881BFE"/>
    <w:rsid w:val="00881C41"/>
    <w:rsid w:val="00881D28"/>
    <w:rsid w:val="00881E0B"/>
    <w:rsid w:val="00881E81"/>
    <w:rsid w:val="00881EB3"/>
    <w:rsid w:val="00881F1F"/>
    <w:rsid w:val="00881F60"/>
    <w:rsid w:val="0088207F"/>
    <w:rsid w:val="008821A2"/>
    <w:rsid w:val="008821F4"/>
    <w:rsid w:val="00882367"/>
    <w:rsid w:val="00882980"/>
    <w:rsid w:val="00882C43"/>
    <w:rsid w:val="00882EA8"/>
    <w:rsid w:val="00883308"/>
    <w:rsid w:val="00883516"/>
    <w:rsid w:val="00883528"/>
    <w:rsid w:val="00883A90"/>
    <w:rsid w:val="00883D73"/>
    <w:rsid w:val="00883E09"/>
    <w:rsid w:val="00883E82"/>
    <w:rsid w:val="00883EB9"/>
    <w:rsid w:val="00883ECA"/>
    <w:rsid w:val="00883F14"/>
    <w:rsid w:val="00884193"/>
    <w:rsid w:val="0088445A"/>
    <w:rsid w:val="008845D1"/>
    <w:rsid w:val="008848BE"/>
    <w:rsid w:val="00884B09"/>
    <w:rsid w:val="00884B98"/>
    <w:rsid w:val="0088505D"/>
    <w:rsid w:val="0088506E"/>
    <w:rsid w:val="0088560B"/>
    <w:rsid w:val="00885782"/>
    <w:rsid w:val="008857EA"/>
    <w:rsid w:val="00885A76"/>
    <w:rsid w:val="00885ACF"/>
    <w:rsid w:val="00885C47"/>
    <w:rsid w:val="00885CB8"/>
    <w:rsid w:val="00885F13"/>
    <w:rsid w:val="00886470"/>
    <w:rsid w:val="0088656C"/>
    <w:rsid w:val="00886599"/>
    <w:rsid w:val="008866B6"/>
    <w:rsid w:val="00886A3C"/>
    <w:rsid w:val="00886C99"/>
    <w:rsid w:val="00886DC5"/>
    <w:rsid w:val="00886ECA"/>
    <w:rsid w:val="0088701D"/>
    <w:rsid w:val="00887107"/>
    <w:rsid w:val="00887126"/>
    <w:rsid w:val="00887130"/>
    <w:rsid w:val="00887197"/>
    <w:rsid w:val="0088720C"/>
    <w:rsid w:val="00887403"/>
    <w:rsid w:val="00887524"/>
    <w:rsid w:val="00887A8D"/>
    <w:rsid w:val="00890325"/>
    <w:rsid w:val="008906D4"/>
    <w:rsid w:val="0089072A"/>
    <w:rsid w:val="00890BF6"/>
    <w:rsid w:val="00890C2C"/>
    <w:rsid w:val="00891014"/>
    <w:rsid w:val="00891357"/>
    <w:rsid w:val="00891478"/>
    <w:rsid w:val="008914C6"/>
    <w:rsid w:val="00891643"/>
    <w:rsid w:val="008917EC"/>
    <w:rsid w:val="00891B1C"/>
    <w:rsid w:val="00891BFB"/>
    <w:rsid w:val="00891E9B"/>
    <w:rsid w:val="00891F33"/>
    <w:rsid w:val="00892138"/>
    <w:rsid w:val="008922A5"/>
    <w:rsid w:val="00892483"/>
    <w:rsid w:val="0089255B"/>
    <w:rsid w:val="00892895"/>
    <w:rsid w:val="00892A5F"/>
    <w:rsid w:val="00892D1F"/>
    <w:rsid w:val="00892EAD"/>
    <w:rsid w:val="00893057"/>
    <w:rsid w:val="008936B4"/>
    <w:rsid w:val="00893786"/>
    <w:rsid w:val="00893944"/>
    <w:rsid w:val="008940BD"/>
    <w:rsid w:val="00894316"/>
    <w:rsid w:val="008944A5"/>
    <w:rsid w:val="008948C9"/>
    <w:rsid w:val="008949BD"/>
    <w:rsid w:val="00894AAE"/>
    <w:rsid w:val="00894C58"/>
    <w:rsid w:val="00894F0E"/>
    <w:rsid w:val="00895048"/>
    <w:rsid w:val="008950A3"/>
    <w:rsid w:val="008954B0"/>
    <w:rsid w:val="00895724"/>
    <w:rsid w:val="00895C8C"/>
    <w:rsid w:val="00895D32"/>
    <w:rsid w:val="00895DDE"/>
    <w:rsid w:val="00895FDD"/>
    <w:rsid w:val="00896149"/>
    <w:rsid w:val="0089623C"/>
    <w:rsid w:val="008962DD"/>
    <w:rsid w:val="0089651E"/>
    <w:rsid w:val="00896AD0"/>
    <w:rsid w:val="00896ED5"/>
    <w:rsid w:val="0089785C"/>
    <w:rsid w:val="008978C8"/>
    <w:rsid w:val="00897B9A"/>
    <w:rsid w:val="00897EDC"/>
    <w:rsid w:val="00897EDE"/>
    <w:rsid w:val="00897F35"/>
    <w:rsid w:val="008A0452"/>
    <w:rsid w:val="008A04A6"/>
    <w:rsid w:val="008A057E"/>
    <w:rsid w:val="008A05B6"/>
    <w:rsid w:val="008A05FF"/>
    <w:rsid w:val="008A07BA"/>
    <w:rsid w:val="008A0F17"/>
    <w:rsid w:val="008A0F6E"/>
    <w:rsid w:val="008A10E1"/>
    <w:rsid w:val="008A115D"/>
    <w:rsid w:val="008A1334"/>
    <w:rsid w:val="008A1A61"/>
    <w:rsid w:val="008A1C82"/>
    <w:rsid w:val="008A2153"/>
    <w:rsid w:val="008A229A"/>
    <w:rsid w:val="008A263E"/>
    <w:rsid w:val="008A2785"/>
    <w:rsid w:val="008A2929"/>
    <w:rsid w:val="008A2A63"/>
    <w:rsid w:val="008A2C1E"/>
    <w:rsid w:val="008A3510"/>
    <w:rsid w:val="008A3544"/>
    <w:rsid w:val="008A38B3"/>
    <w:rsid w:val="008A4067"/>
    <w:rsid w:val="008A41A6"/>
    <w:rsid w:val="008A423E"/>
    <w:rsid w:val="008A431C"/>
    <w:rsid w:val="008A4621"/>
    <w:rsid w:val="008A4638"/>
    <w:rsid w:val="008A4999"/>
    <w:rsid w:val="008A4A3C"/>
    <w:rsid w:val="008A4DB0"/>
    <w:rsid w:val="008A51EB"/>
    <w:rsid w:val="008A5683"/>
    <w:rsid w:val="008A57A4"/>
    <w:rsid w:val="008A583C"/>
    <w:rsid w:val="008A5A1D"/>
    <w:rsid w:val="008A5BFE"/>
    <w:rsid w:val="008A5F44"/>
    <w:rsid w:val="008A60B3"/>
    <w:rsid w:val="008A666E"/>
    <w:rsid w:val="008A675D"/>
    <w:rsid w:val="008A6907"/>
    <w:rsid w:val="008A6C6B"/>
    <w:rsid w:val="008A6E9F"/>
    <w:rsid w:val="008A6F3B"/>
    <w:rsid w:val="008A7082"/>
    <w:rsid w:val="008A71B3"/>
    <w:rsid w:val="008A77E6"/>
    <w:rsid w:val="008A7848"/>
    <w:rsid w:val="008A7AB2"/>
    <w:rsid w:val="008A7B3F"/>
    <w:rsid w:val="008A7D52"/>
    <w:rsid w:val="008A7F26"/>
    <w:rsid w:val="008B03B7"/>
    <w:rsid w:val="008B03D8"/>
    <w:rsid w:val="008B04F9"/>
    <w:rsid w:val="008B0549"/>
    <w:rsid w:val="008B077B"/>
    <w:rsid w:val="008B07B6"/>
    <w:rsid w:val="008B09FA"/>
    <w:rsid w:val="008B0AFE"/>
    <w:rsid w:val="008B0BEF"/>
    <w:rsid w:val="008B1093"/>
    <w:rsid w:val="008B10D6"/>
    <w:rsid w:val="008B12AE"/>
    <w:rsid w:val="008B1439"/>
    <w:rsid w:val="008B18D3"/>
    <w:rsid w:val="008B192A"/>
    <w:rsid w:val="008B1BB6"/>
    <w:rsid w:val="008B1E04"/>
    <w:rsid w:val="008B1FC5"/>
    <w:rsid w:val="008B1FDA"/>
    <w:rsid w:val="008B20CA"/>
    <w:rsid w:val="008B27AB"/>
    <w:rsid w:val="008B2AF2"/>
    <w:rsid w:val="008B2BEE"/>
    <w:rsid w:val="008B2D1F"/>
    <w:rsid w:val="008B30BC"/>
    <w:rsid w:val="008B34C2"/>
    <w:rsid w:val="008B3911"/>
    <w:rsid w:val="008B3915"/>
    <w:rsid w:val="008B3C19"/>
    <w:rsid w:val="008B3D1F"/>
    <w:rsid w:val="008B3ED3"/>
    <w:rsid w:val="008B4205"/>
    <w:rsid w:val="008B4B33"/>
    <w:rsid w:val="008B50CA"/>
    <w:rsid w:val="008B55FD"/>
    <w:rsid w:val="008B5892"/>
    <w:rsid w:val="008B5A23"/>
    <w:rsid w:val="008B5C74"/>
    <w:rsid w:val="008B5CD6"/>
    <w:rsid w:val="008B601C"/>
    <w:rsid w:val="008B6223"/>
    <w:rsid w:val="008B6913"/>
    <w:rsid w:val="008B6A82"/>
    <w:rsid w:val="008B6BF9"/>
    <w:rsid w:val="008B6E75"/>
    <w:rsid w:val="008B6EB3"/>
    <w:rsid w:val="008B6F9C"/>
    <w:rsid w:val="008B6FBA"/>
    <w:rsid w:val="008B701A"/>
    <w:rsid w:val="008B7661"/>
    <w:rsid w:val="008B78AB"/>
    <w:rsid w:val="008B7BB7"/>
    <w:rsid w:val="008B7CAA"/>
    <w:rsid w:val="008B7D52"/>
    <w:rsid w:val="008C0382"/>
    <w:rsid w:val="008C0463"/>
    <w:rsid w:val="008C07E9"/>
    <w:rsid w:val="008C0A32"/>
    <w:rsid w:val="008C0BCD"/>
    <w:rsid w:val="008C0C29"/>
    <w:rsid w:val="008C0C86"/>
    <w:rsid w:val="008C0D40"/>
    <w:rsid w:val="008C0DE0"/>
    <w:rsid w:val="008C0E23"/>
    <w:rsid w:val="008C0E24"/>
    <w:rsid w:val="008C0F4D"/>
    <w:rsid w:val="008C12CB"/>
    <w:rsid w:val="008C178B"/>
    <w:rsid w:val="008C19E8"/>
    <w:rsid w:val="008C1AA9"/>
    <w:rsid w:val="008C1BFD"/>
    <w:rsid w:val="008C1C60"/>
    <w:rsid w:val="008C1E66"/>
    <w:rsid w:val="008C2074"/>
    <w:rsid w:val="008C20A1"/>
    <w:rsid w:val="008C214A"/>
    <w:rsid w:val="008C271E"/>
    <w:rsid w:val="008C273E"/>
    <w:rsid w:val="008C2954"/>
    <w:rsid w:val="008C2A28"/>
    <w:rsid w:val="008C2D25"/>
    <w:rsid w:val="008C2DE3"/>
    <w:rsid w:val="008C2EF3"/>
    <w:rsid w:val="008C3045"/>
    <w:rsid w:val="008C315E"/>
    <w:rsid w:val="008C3257"/>
    <w:rsid w:val="008C3861"/>
    <w:rsid w:val="008C388B"/>
    <w:rsid w:val="008C3AE2"/>
    <w:rsid w:val="008C3F98"/>
    <w:rsid w:val="008C46F5"/>
    <w:rsid w:val="008C4967"/>
    <w:rsid w:val="008C4DED"/>
    <w:rsid w:val="008C5369"/>
    <w:rsid w:val="008C53A1"/>
    <w:rsid w:val="008C5464"/>
    <w:rsid w:val="008C55F2"/>
    <w:rsid w:val="008C574D"/>
    <w:rsid w:val="008C575B"/>
    <w:rsid w:val="008C5995"/>
    <w:rsid w:val="008C5A66"/>
    <w:rsid w:val="008C5B5C"/>
    <w:rsid w:val="008C5B80"/>
    <w:rsid w:val="008C5EEB"/>
    <w:rsid w:val="008C5FF9"/>
    <w:rsid w:val="008C63C5"/>
    <w:rsid w:val="008C641C"/>
    <w:rsid w:val="008C6975"/>
    <w:rsid w:val="008C6A97"/>
    <w:rsid w:val="008C6F42"/>
    <w:rsid w:val="008C72FA"/>
    <w:rsid w:val="008C7304"/>
    <w:rsid w:val="008C7419"/>
    <w:rsid w:val="008C7469"/>
    <w:rsid w:val="008C7792"/>
    <w:rsid w:val="008C78C1"/>
    <w:rsid w:val="008C7AB0"/>
    <w:rsid w:val="008D02B8"/>
    <w:rsid w:val="008D0567"/>
    <w:rsid w:val="008D05F5"/>
    <w:rsid w:val="008D0C80"/>
    <w:rsid w:val="008D133F"/>
    <w:rsid w:val="008D13A8"/>
    <w:rsid w:val="008D1428"/>
    <w:rsid w:val="008D1554"/>
    <w:rsid w:val="008D18CF"/>
    <w:rsid w:val="008D1A08"/>
    <w:rsid w:val="008D1B15"/>
    <w:rsid w:val="008D1C05"/>
    <w:rsid w:val="008D225A"/>
    <w:rsid w:val="008D2350"/>
    <w:rsid w:val="008D260A"/>
    <w:rsid w:val="008D26B2"/>
    <w:rsid w:val="008D2734"/>
    <w:rsid w:val="008D2897"/>
    <w:rsid w:val="008D2E0D"/>
    <w:rsid w:val="008D2E22"/>
    <w:rsid w:val="008D2E65"/>
    <w:rsid w:val="008D2F9D"/>
    <w:rsid w:val="008D321C"/>
    <w:rsid w:val="008D338E"/>
    <w:rsid w:val="008D3492"/>
    <w:rsid w:val="008D3989"/>
    <w:rsid w:val="008D39DF"/>
    <w:rsid w:val="008D3C1B"/>
    <w:rsid w:val="008D3C5D"/>
    <w:rsid w:val="008D3C8C"/>
    <w:rsid w:val="008D3F9E"/>
    <w:rsid w:val="008D43CC"/>
    <w:rsid w:val="008D4576"/>
    <w:rsid w:val="008D462F"/>
    <w:rsid w:val="008D4648"/>
    <w:rsid w:val="008D4692"/>
    <w:rsid w:val="008D46F0"/>
    <w:rsid w:val="008D48AB"/>
    <w:rsid w:val="008D4A72"/>
    <w:rsid w:val="008D4AD9"/>
    <w:rsid w:val="008D4B67"/>
    <w:rsid w:val="008D4D49"/>
    <w:rsid w:val="008D4F13"/>
    <w:rsid w:val="008D4F94"/>
    <w:rsid w:val="008D507B"/>
    <w:rsid w:val="008D57E7"/>
    <w:rsid w:val="008D5A12"/>
    <w:rsid w:val="008D5A4D"/>
    <w:rsid w:val="008D5B16"/>
    <w:rsid w:val="008D5B1C"/>
    <w:rsid w:val="008D5E88"/>
    <w:rsid w:val="008D5FD0"/>
    <w:rsid w:val="008D60A4"/>
    <w:rsid w:val="008D6173"/>
    <w:rsid w:val="008D6577"/>
    <w:rsid w:val="008D6782"/>
    <w:rsid w:val="008D680A"/>
    <w:rsid w:val="008D6B4B"/>
    <w:rsid w:val="008D6C1C"/>
    <w:rsid w:val="008D6C48"/>
    <w:rsid w:val="008D6CB1"/>
    <w:rsid w:val="008D6F39"/>
    <w:rsid w:val="008D7223"/>
    <w:rsid w:val="008D73F7"/>
    <w:rsid w:val="008D7702"/>
    <w:rsid w:val="008D7A32"/>
    <w:rsid w:val="008D7AC6"/>
    <w:rsid w:val="008D7DD9"/>
    <w:rsid w:val="008E00DE"/>
    <w:rsid w:val="008E0256"/>
    <w:rsid w:val="008E05D6"/>
    <w:rsid w:val="008E06A4"/>
    <w:rsid w:val="008E0880"/>
    <w:rsid w:val="008E0953"/>
    <w:rsid w:val="008E097C"/>
    <w:rsid w:val="008E0AA4"/>
    <w:rsid w:val="008E0CAD"/>
    <w:rsid w:val="008E1266"/>
    <w:rsid w:val="008E1408"/>
    <w:rsid w:val="008E194B"/>
    <w:rsid w:val="008E19C7"/>
    <w:rsid w:val="008E1BFE"/>
    <w:rsid w:val="008E1CC6"/>
    <w:rsid w:val="008E1D8F"/>
    <w:rsid w:val="008E1DF4"/>
    <w:rsid w:val="008E1E71"/>
    <w:rsid w:val="008E1F8C"/>
    <w:rsid w:val="008E28D6"/>
    <w:rsid w:val="008E28E1"/>
    <w:rsid w:val="008E2B88"/>
    <w:rsid w:val="008E2BD9"/>
    <w:rsid w:val="008E3126"/>
    <w:rsid w:val="008E312D"/>
    <w:rsid w:val="008E32FE"/>
    <w:rsid w:val="008E3565"/>
    <w:rsid w:val="008E3615"/>
    <w:rsid w:val="008E36BE"/>
    <w:rsid w:val="008E3ABB"/>
    <w:rsid w:val="008E3B8D"/>
    <w:rsid w:val="008E40EB"/>
    <w:rsid w:val="008E4505"/>
    <w:rsid w:val="008E472A"/>
    <w:rsid w:val="008E486A"/>
    <w:rsid w:val="008E49FC"/>
    <w:rsid w:val="008E4B9A"/>
    <w:rsid w:val="008E4DF8"/>
    <w:rsid w:val="008E4E2E"/>
    <w:rsid w:val="008E5189"/>
    <w:rsid w:val="008E5233"/>
    <w:rsid w:val="008E5298"/>
    <w:rsid w:val="008E533C"/>
    <w:rsid w:val="008E588E"/>
    <w:rsid w:val="008E590C"/>
    <w:rsid w:val="008E5A9E"/>
    <w:rsid w:val="008E5CC0"/>
    <w:rsid w:val="008E603E"/>
    <w:rsid w:val="008E6185"/>
    <w:rsid w:val="008E62F4"/>
    <w:rsid w:val="008E64A2"/>
    <w:rsid w:val="008E66B4"/>
    <w:rsid w:val="008E6710"/>
    <w:rsid w:val="008E6A5A"/>
    <w:rsid w:val="008E6B17"/>
    <w:rsid w:val="008E6E77"/>
    <w:rsid w:val="008E75DE"/>
    <w:rsid w:val="008E77B9"/>
    <w:rsid w:val="008E7930"/>
    <w:rsid w:val="008E7D1F"/>
    <w:rsid w:val="008E7E0C"/>
    <w:rsid w:val="008F023F"/>
    <w:rsid w:val="008F03C0"/>
    <w:rsid w:val="008F0632"/>
    <w:rsid w:val="008F0745"/>
    <w:rsid w:val="008F07C6"/>
    <w:rsid w:val="008F07E1"/>
    <w:rsid w:val="008F09AA"/>
    <w:rsid w:val="008F0BFE"/>
    <w:rsid w:val="008F0DDE"/>
    <w:rsid w:val="008F1042"/>
    <w:rsid w:val="008F11F1"/>
    <w:rsid w:val="008F1261"/>
    <w:rsid w:val="008F152F"/>
    <w:rsid w:val="008F172E"/>
    <w:rsid w:val="008F193A"/>
    <w:rsid w:val="008F1967"/>
    <w:rsid w:val="008F1A13"/>
    <w:rsid w:val="008F1CAD"/>
    <w:rsid w:val="008F1D9B"/>
    <w:rsid w:val="008F1E79"/>
    <w:rsid w:val="008F1F20"/>
    <w:rsid w:val="008F1FF3"/>
    <w:rsid w:val="008F2119"/>
    <w:rsid w:val="008F232C"/>
    <w:rsid w:val="008F252A"/>
    <w:rsid w:val="008F2765"/>
    <w:rsid w:val="008F27FB"/>
    <w:rsid w:val="008F2E28"/>
    <w:rsid w:val="008F2E56"/>
    <w:rsid w:val="008F334B"/>
    <w:rsid w:val="008F3355"/>
    <w:rsid w:val="008F344C"/>
    <w:rsid w:val="008F34A4"/>
    <w:rsid w:val="008F377C"/>
    <w:rsid w:val="008F3A78"/>
    <w:rsid w:val="008F3AAF"/>
    <w:rsid w:val="008F4011"/>
    <w:rsid w:val="008F42E5"/>
    <w:rsid w:val="008F43DC"/>
    <w:rsid w:val="008F46B8"/>
    <w:rsid w:val="008F49C2"/>
    <w:rsid w:val="008F49C9"/>
    <w:rsid w:val="008F4B6E"/>
    <w:rsid w:val="008F4D36"/>
    <w:rsid w:val="008F4D5D"/>
    <w:rsid w:val="008F5087"/>
    <w:rsid w:val="008F50CF"/>
    <w:rsid w:val="008F5283"/>
    <w:rsid w:val="008F545E"/>
    <w:rsid w:val="008F558F"/>
    <w:rsid w:val="008F56BD"/>
    <w:rsid w:val="008F5878"/>
    <w:rsid w:val="008F5CD2"/>
    <w:rsid w:val="008F5E82"/>
    <w:rsid w:val="008F60F4"/>
    <w:rsid w:val="008F62DB"/>
    <w:rsid w:val="008F66BE"/>
    <w:rsid w:val="008F6B74"/>
    <w:rsid w:val="008F6C6B"/>
    <w:rsid w:val="008F75FD"/>
    <w:rsid w:val="008F7799"/>
    <w:rsid w:val="008F77D2"/>
    <w:rsid w:val="008F7809"/>
    <w:rsid w:val="008F78A5"/>
    <w:rsid w:val="00900214"/>
    <w:rsid w:val="00900324"/>
    <w:rsid w:val="009003EB"/>
    <w:rsid w:val="00900636"/>
    <w:rsid w:val="009008ED"/>
    <w:rsid w:val="00900D35"/>
    <w:rsid w:val="009017E5"/>
    <w:rsid w:val="00901B19"/>
    <w:rsid w:val="00901B1E"/>
    <w:rsid w:val="00901CA9"/>
    <w:rsid w:val="00901D5F"/>
    <w:rsid w:val="00901FF4"/>
    <w:rsid w:val="009025C2"/>
    <w:rsid w:val="0090270E"/>
    <w:rsid w:val="00902787"/>
    <w:rsid w:val="009027F1"/>
    <w:rsid w:val="0090283B"/>
    <w:rsid w:val="00902B1A"/>
    <w:rsid w:val="00902F1A"/>
    <w:rsid w:val="009030D2"/>
    <w:rsid w:val="009032CF"/>
    <w:rsid w:val="00903345"/>
    <w:rsid w:val="0090351C"/>
    <w:rsid w:val="009037D4"/>
    <w:rsid w:val="009037F5"/>
    <w:rsid w:val="00903894"/>
    <w:rsid w:val="00903DCB"/>
    <w:rsid w:val="009045BC"/>
    <w:rsid w:val="00904722"/>
    <w:rsid w:val="0090483E"/>
    <w:rsid w:val="00904997"/>
    <w:rsid w:val="00904A76"/>
    <w:rsid w:val="00904A8E"/>
    <w:rsid w:val="00904EC6"/>
    <w:rsid w:val="00904FB3"/>
    <w:rsid w:val="009050AC"/>
    <w:rsid w:val="00905769"/>
    <w:rsid w:val="009058EF"/>
    <w:rsid w:val="009061A1"/>
    <w:rsid w:val="009061C6"/>
    <w:rsid w:val="00906360"/>
    <w:rsid w:val="009068A2"/>
    <w:rsid w:val="00906915"/>
    <w:rsid w:val="009069B2"/>
    <w:rsid w:val="00906DC7"/>
    <w:rsid w:val="00906E26"/>
    <w:rsid w:val="00906F8B"/>
    <w:rsid w:val="00907044"/>
    <w:rsid w:val="00907505"/>
    <w:rsid w:val="0090762A"/>
    <w:rsid w:val="00907650"/>
    <w:rsid w:val="009078BB"/>
    <w:rsid w:val="00907C0A"/>
    <w:rsid w:val="00907CF4"/>
    <w:rsid w:val="00907E2F"/>
    <w:rsid w:val="00907E30"/>
    <w:rsid w:val="00907EF4"/>
    <w:rsid w:val="00907F4A"/>
    <w:rsid w:val="0091019D"/>
    <w:rsid w:val="0091101D"/>
    <w:rsid w:val="009110D4"/>
    <w:rsid w:val="009114BF"/>
    <w:rsid w:val="009115F6"/>
    <w:rsid w:val="009122C3"/>
    <w:rsid w:val="00912314"/>
    <w:rsid w:val="009125C0"/>
    <w:rsid w:val="0091278A"/>
    <w:rsid w:val="00912A22"/>
    <w:rsid w:val="00912A85"/>
    <w:rsid w:val="00912AFB"/>
    <w:rsid w:val="00912B11"/>
    <w:rsid w:val="00912C13"/>
    <w:rsid w:val="00912C71"/>
    <w:rsid w:val="00913010"/>
    <w:rsid w:val="009130DB"/>
    <w:rsid w:val="00913288"/>
    <w:rsid w:val="00913667"/>
    <w:rsid w:val="0091391B"/>
    <w:rsid w:val="00913C85"/>
    <w:rsid w:val="00913D02"/>
    <w:rsid w:val="00913D86"/>
    <w:rsid w:val="00913FA5"/>
    <w:rsid w:val="009140F8"/>
    <w:rsid w:val="009144E8"/>
    <w:rsid w:val="00914514"/>
    <w:rsid w:val="009145A7"/>
    <w:rsid w:val="009145C2"/>
    <w:rsid w:val="0091476F"/>
    <w:rsid w:val="00914C38"/>
    <w:rsid w:val="00914E14"/>
    <w:rsid w:val="00914F40"/>
    <w:rsid w:val="009150DD"/>
    <w:rsid w:val="009152AD"/>
    <w:rsid w:val="009153CE"/>
    <w:rsid w:val="009154D3"/>
    <w:rsid w:val="009154FA"/>
    <w:rsid w:val="0091556D"/>
    <w:rsid w:val="00915642"/>
    <w:rsid w:val="0091596A"/>
    <w:rsid w:val="00915A79"/>
    <w:rsid w:val="00915BB0"/>
    <w:rsid w:val="00915DC0"/>
    <w:rsid w:val="00916702"/>
    <w:rsid w:val="00916899"/>
    <w:rsid w:val="00916E71"/>
    <w:rsid w:val="009171C5"/>
    <w:rsid w:val="00917233"/>
    <w:rsid w:val="0091725A"/>
    <w:rsid w:val="00917585"/>
    <w:rsid w:val="009175D5"/>
    <w:rsid w:val="00917CEF"/>
    <w:rsid w:val="00917F9B"/>
    <w:rsid w:val="0092005F"/>
    <w:rsid w:val="009202FC"/>
    <w:rsid w:val="0092032A"/>
    <w:rsid w:val="00920937"/>
    <w:rsid w:val="00920988"/>
    <w:rsid w:val="00920A05"/>
    <w:rsid w:val="00920A27"/>
    <w:rsid w:val="00920B17"/>
    <w:rsid w:val="00920B51"/>
    <w:rsid w:val="0092160D"/>
    <w:rsid w:val="00921625"/>
    <w:rsid w:val="00921822"/>
    <w:rsid w:val="00921BF8"/>
    <w:rsid w:val="00921CC3"/>
    <w:rsid w:val="00921D56"/>
    <w:rsid w:val="00921EA7"/>
    <w:rsid w:val="009221E1"/>
    <w:rsid w:val="0092235D"/>
    <w:rsid w:val="00922366"/>
    <w:rsid w:val="00922771"/>
    <w:rsid w:val="00922D95"/>
    <w:rsid w:val="00923045"/>
    <w:rsid w:val="00923052"/>
    <w:rsid w:val="0092307D"/>
    <w:rsid w:val="0092309E"/>
    <w:rsid w:val="0092326B"/>
    <w:rsid w:val="0092327B"/>
    <w:rsid w:val="0092366C"/>
    <w:rsid w:val="009237A2"/>
    <w:rsid w:val="009239BE"/>
    <w:rsid w:val="009241BD"/>
    <w:rsid w:val="0092443A"/>
    <w:rsid w:val="0092452A"/>
    <w:rsid w:val="009245CC"/>
    <w:rsid w:val="00924621"/>
    <w:rsid w:val="009246FD"/>
    <w:rsid w:val="009248FD"/>
    <w:rsid w:val="00924908"/>
    <w:rsid w:val="00925271"/>
    <w:rsid w:val="0092549E"/>
    <w:rsid w:val="00925B81"/>
    <w:rsid w:val="00925CDC"/>
    <w:rsid w:val="00925D61"/>
    <w:rsid w:val="00925E42"/>
    <w:rsid w:val="00925F17"/>
    <w:rsid w:val="009261B9"/>
    <w:rsid w:val="00926280"/>
    <w:rsid w:val="00926966"/>
    <w:rsid w:val="00926A4A"/>
    <w:rsid w:val="00926AE9"/>
    <w:rsid w:val="00926F83"/>
    <w:rsid w:val="0092701A"/>
    <w:rsid w:val="00927227"/>
    <w:rsid w:val="00927262"/>
    <w:rsid w:val="009274D9"/>
    <w:rsid w:val="00927589"/>
    <w:rsid w:val="0092774C"/>
    <w:rsid w:val="00927812"/>
    <w:rsid w:val="00927D49"/>
    <w:rsid w:val="00927EE6"/>
    <w:rsid w:val="009303CE"/>
    <w:rsid w:val="00930434"/>
    <w:rsid w:val="009308C9"/>
    <w:rsid w:val="00930E89"/>
    <w:rsid w:val="00930EB6"/>
    <w:rsid w:val="00930F93"/>
    <w:rsid w:val="00930FE3"/>
    <w:rsid w:val="009310FD"/>
    <w:rsid w:val="0093128F"/>
    <w:rsid w:val="00931471"/>
    <w:rsid w:val="0093155E"/>
    <w:rsid w:val="009315D0"/>
    <w:rsid w:val="009315FC"/>
    <w:rsid w:val="0093171C"/>
    <w:rsid w:val="00931CDE"/>
    <w:rsid w:val="0093224A"/>
    <w:rsid w:val="009323EE"/>
    <w:rsid w:val="00932653"/>
    <w:rsid w:val="009329D0"/>
    <w:rsid w:val="00932BC8"/>
    <w:rsid w:val="00932DA6"/>
    <w:rsid w:val="009330C9"/>
    <w:rsid w:val="00933222"/>
    <w:rsid w:val="009333EA"/>
    <w:rsid w:val="009334AD"/>
    <w:rsid w:val="009334F3"/>
    <w:rsid w:val="00933565"/>
    <w:rsid w:val="0093356D"/>
    <w:rsid w:val="009336AD"/>
    <w:rsid w:val="00933929"/>
    <w:rsid w:val="00933A06"/>
    <w:rsid w:val="00933E22"/>
    <w:rsid w:val="0093463C"/>
    <w:rsid w:val="00934643"/>
    <w:rsid w:val="0093464E"/>
    <w:rsid w:val="009347EF"/>
    <w:rsid w:val="00934984"/>
    <w:rsid w:val="00935407"/>
    <w:rsid w:val="00935434"/>
    <w:rsid w:val="009354D1"/>
    <w:rsid w:val="009355A8"/>
    <w:rsid w:val="009358F3"/>
    <w:rsid w:val="009359A3"/>
    <w:rsid w:val="009359AA"/>
    <w:rsid w:val="00935A34"/>
    <w:rsid w:val="00935CEA"/>
    <w:rsid w:val="00935E4A"/>
    <w:rsid w:val="00935F7E"/>
    <w:rsid w:val="009362EF"/>
    <w:rsid w:val="009365D5"/>
    <w:rsid w:val="009365E5"/>
    <w:rsid w:val="009366A8"/>
    <w:rsid w:val="00936EE4"/>
    <w:rsid w:val="009370EE"/>
    <w:rsid w:val="009372BA"/>
    <w:rsid w:val="00937382"/>
    <w:rsid w:val="0093780F"/>
    <w:rsid w:val="00937BC3"/>
    <w:rsid w:val="00937F5C"/>
    <w:rsid w:val="0094009D"/>
    <w:rsid w:val="009400A7"/>
    <w:rsid w:val="0094010E"/>
    <w:rsid w:val="00940629"/>
    <w:rsid w:val="009407F5"/>
    <w:rsid w:val="00940885"/>
    <w:rsid w:val="00940CC3"/>
    <w:rsid w:val="00940EB6"/>
    <w:rsid w:val="00940F18"/>
    <w:rsid w:val="00941174"/>
    <w:rsid w:val="009412E9"/>
    <w:rsid w:val="00941515"/>
    <w:rsid w:val="009415D9"/>
    <w:rsid w:val="0094182C"/>
    <w:rsid w:val="00941994"/>
    <w:rsid w:val="00941AFD"/>
    <w:rsid w:val="00941FB4"/>
    <w:rsid w:val="00942033"/>
    <w:rsid w:val="00942518"/>
    <w:rsid w:val="00942540"/>
    <w:rsid w:val="009425A7"/>
    <w:rsid w:val="009425C7"/>
    <w:rsid w:val="009425C8"/>
    <w:rsid w:val="0094286A"/>
    <w:rsid w:val="0094288C"/>
    <w:rsid w:val="00942BC4"/>
    <w:rsid w:val="00942C00"/>
    <w:rsid w:val="00942D83"/>
    <w:rsid w:val="00942DF9"/>
    <w:rsid w:val="00942F5C"/>
    <w:rsid w:val="0094303B"/>
    <w:rsid w:val="009433ED"/>
    <w:rsid w:val="00943631"/>
    <w:rsid w:val="00943AC3"/>
    <w:rsid w:val="00943DF9"/>
    <w:rsid w:val="00943F0A"/>
    <w:rsid w:val="00944052"/>
    <w:rsid w:val="00944365"/>
    <w:rsid w:val="0094460C"/>
    <w:rsid w:val="00944784"/>
    <w:rsid w:val="00944CB1"/>
    <w:rsid w:val="00944DDA"/>
    <w:rsid w:val="00944F0D"/>
    <w:rsid w:val="00945345"/>
    <w:rsid w:val="009454E8"/>
    <w:rsid w:val="00945543"/>
    <w:rsid w:val="00945AAF"/>
    <w:rsid w:val="00945AF5"/>
    <w:rsid w:val="00945CCC"/>
    <w:rsid w:val="009466AB"/>
    <w:rsid w:val="0094685A"/>
    <w:rsid w:val="00946E60"/>
    <w:rsid w:val="0094726F"/>
    <w:rsid w:val="0094737B"/>
    <w:rsid w:val="0094739E"/>
    <w:rsid w:val="00947548"/>
    <w:rsid w:val="009475F4"/>
    <w:rsid w:val="009478A4"/>
    <w:rsid w:val="00947B71"/>
    <w:rsid w:val="00947BD2"/>
    <w:rsid w:val="00950257"/>
    <w:rsid w:val="0095077D"/>
    <w:rsid w:val="00950D00"/>
    <w:rsid w:val="0095105A"/>
    <w:rsid w:val="00951151"/>
    <w:rsid w:val="009511A8"/>
    <w:rsid w:val="0095152A"/>
    <w:rsid w:val="0095165D"/>
    <w:rsid w:val="0095169B"/>
    <w:rsid w:val="009519F3"/>
    <w:rsid w:val="00951C22"/>
    <w:rsid w:val="0095224B"/>
    <w:rsid w:val="00952588"/>
    <w:rsid w:val="00952729"/>
    <w:rsid w:val="009527EE"/>
    <w:rsid w:val="00952A82"/>
    <w:rsid w:val="00952A96"/>
    <w:rsid w:val="00952E76"/>
    <w:rsid w:val="00952F43"/>
    <w:rsid w:val="009530E1"/>
    <w:rsid w:val="00953826"/>
    <w:rsid w:val="00953D4F"/>
    <w:rsid w:val="00953E72"/>
    <w:rsid w:val="00953EDA"/>
    <w:rsid w:val="00954261"/>
    <w:rsid w:val="009542B0"/>
    <w:rsid w:val="009542E5"/>
    <w:rsid w:val="009546D4"/>
    <w:rsid w:val="0095475C"/>
    <w:rsid w:val="009547C9"/>
    <w:rsid w:val="00954A48"/>
    <w:rsid w:val="00954C74"/>
    <w:rsid w:val="00954CC2"/>
    <w:rsid w:val="00954EF0"/>
    <w:rsid w:val="00954EF7"/>
    <w:rsid w:val="00954F10"/>
    <w:rsid w:val="00954F96"/>
    <w:rsid w:val="009550F4"/>
    <w:rsid w:val="00955477"/>
    <w:rsid w:val="009559B6"/>
    <w:rsid w:val="00956090"/>
    <w:rsid w:val="00956147"/>
    <w:rsid w:val="00956987"/>
    <w:rsid w:val="00956E3D"/>
    <w:rsid w:val="00956EE1"/>
    <w:rsid w:val="00956F40"/>
    <w:rsid w:val="00956FCE"/>
    <w:rsid w:val="00957145"/>
    <w:rsid w:val="009571A6"/>
    <w:rsid w:val="0095725E"/>
    <w:rsid w:val="009574F4"/>
    <w:rsid w:val="0095750D"/>
    <w:rsid w:val="009578B7"/>
    <w:rsid w:val="009578EB"/>
    <w:rsid w:val="00957AE6"/>
    <w:rsid w:val="00957BD4"/>
    <w:rsid w:val="00957E75"/>
    <w:rsid w:val="00960160"/>
    <w:rsid w:val="009601DD"/>
    <w:rsid w:val="0096022D"/>
    <w:rsid w:val="00960266"/>
    <w:rsid w:val="00960504"/>
    <w:rsid w:val="00960601"/>
    <w:rsid w:val="0096098D"/>
    <w:rsid w:val="00960BEA"/>
    <w:rsid w:val="00960CEA"/>
    <w:rsid w:val="0096101D"/>
    <w:rsid w:val="00961417"/>
    <w:rsid w:val="0096145B"/>
    <w:rsid w:val="009618AF"/>
    <w:rsid w:val="00961C49"/>
    <w:rsid w:val="00961E7D"/>
    <w:rsid w:val="009620A4"/>
    <w:rsid w:val="00962165"/>
    <w:rsid w:val="00962308"/>
    <w:rsid w:val="0096242C"/>
    <w:rsid w:val="009627C9"/>
    <w:rsid w:val="0096283C"/>
    <w:rsid w:val="009628DA"/>
    <w:rsid w:val="00962DF3"/>
    <w:rsid w:val="00962E92"/>
    <w:rsid w:val="009631CD"/>
    <w:rsid w:val="009631F3"/>
    <w:rsid w:val="009632D5"/>
    <w:rsid w:val="00963312"/>
    <w:rsid w:val="0096360F"/>
    <w:rsid w:val="00963628"/>
    <w:rsid w:val="00963ADA"/>
    <w:rsid w:val="00963BF3"/>
    <w:rsid w:val="00963C8E"/>
    <w:rsid w:val="00963E76"/>
    <w:rsid w:val="00964032"/>
    <w:rsid w:val="0096416E"/>
    <w:rsid w:val="00964373"/>
    <w:rsid w:val="0096437B"/>
    <w:rsid w:val="00964492"/>
    <w:rsid w:val="009644DE"/>
    <w:rsid w:val="0096470E"/>
    <w:rsid w:val="009648AE"/>
    <w:rsid w:val="00964ECD"/>
    <w:rsid w:val="009658CF"/>
    <w:rsid w:val="009658D6"/>
    <w:rsid w:val="00966021"/>
    <w:rsid w:val="009663EF"/>
    <w:rsid w:val="009665C5"/>
    <w:rsid w:val="00966940"/>
    <w:rsid w:val="00966B6B"/>
    <w:rsid w:val="00966CBF"/>
    <w:rsid w:val="00967210"/>
    <w:rsid w:val="00967500"/>
    <w:rsid w:val="0096765D"/>
    <w:rsid w:val="0096770C"/>
    <w:rsid w:val="00967831"/>
    <w:rsid w:val="00967BEC"/>
    <w:rsid w:val="00967BF2"/>
    <w:rsid w:val="00967CE0"/>
    <w:rsid w:val="00967EB6"/>
    <w:rsid w:val="00970384"/>
    <w:rsid w:val="0097040C"/>
    <w:rsid w:val="0097056F"/>
    <w:rsid w:val="00970830"/>
    <w:rsid w:val="00970DF9"/>
    <w:rsid w:val="00970F95"/>
    <w:rsid w:val="00971011"/>
    <w:rsid w:val="00971608"/>
    <w:rsid w:val="00971875"/>
    <w:rsid w:val="0097199C"/>
    <w:rsid w:val="00971E41"/>
    <w:rsid w:val="009721DD"/>
    <w:rsid w:val="009723FD"/>
    <w:rsid w:val="0097299A"/>
    <w:rsid w:val="00972B29"/>
    <w:rsid w:val="00972D8D"/>
    <w:rsid w:val="00972EF0"/>
    <w:rsid w:val="00972F54"/>
    <w:rsid w:val="009734C8"/>
    <w:rsid w:val="0097366E"/>
    <w:rsid w:val="00973762"/>
    <w:rsid w:val="00973873"/>
    <w:rsid w:val="00973DB3"/>
    <w:rsid w:val="00973EDC"/>
    <w:rsid w:val="00973FED"/>
    <w:rsid w:val="009742DF"/>
    <w:rsid w:val="009747D0"/>
    <w:rsid w:val="00974FEA"/>
    <w:rsid w:val="0097513A"/>
    <w:rsid w:val="009758DF"/>
    <w:rsid w:val="009759DA"/>
    <w:rsid w:val="00975D35"/>
    <w:rsid w:val="00975FEF"/>
    <w:rsid w:val="0097627D"/>
    <w:rsid w:val="00976641"/>
    <w:rsid w:val="009766A8"/>
    <w:rsid w:val="009767B6"/>
    <w:rsid w:val="00976A00"/>
    <w:rsid w:val="00976AFC"/>
    <w:rsid w:val="00976C8D"/>
    <w:rsid w:val="00976F0F"/>
    <w:rsid w:val="009778D5"/>
    <w:rsid w:val="00977964"/>
    <w:rsid w:val="009779FC"/>
    <w:rsid w:val="0098017B"/>
    <w:rsid w:val="0098042C"/>
    <w:rsid w:val="00980552"/>
    <w:rsid w:val="0098071F"/>
    <w:rsid w:val="009809AC"/>
    <w:rsid w:val="009809D3"/>
    <w:rsid w:val="00980A2D"/>
    <w:rsid w:val="00980AF7"/>
    <w:rsid w:val="00980C3B"/>
    <w:rsid w:val="00980F95"/>
    <w:rsid w:val="00981189"/>
    <w:rsid w:val="009811F5"/>
    <w:rsid w:val="0098125B"/>
    <w:rsid w:val="00981597"/>
    <w:rsid w:val="0098163E"/>
    <w:rsid w:val="00981BD1"/>
    <w:rsid w:val="00981DDC"/>
    <w:rsid w:val="009821AC"/>
    <w:rsid w:val="0098233B"/>
    <w:rsid w:val="0098235D"/>
    <w:rsid w:val="00982C20"/>
    <w:rsid w:val="00982EB5"/>
    <w:rsid w:val="00982FA9"/>
    <w:rsid w:val="00983041"/>
    <w:rsid w:val="0098308C"/>
    <w:rsid w:val="009835CA"/>
    <w:rsid w:val="0098376B"/>
    <w:rsid w:val="00983880"/>
    <w:rsid w:val="009839D2"/>
    <w:rsid w:val="00983A46"/>
    <w:rsid w:val="00983D87"/>
    <w:rsid w:val="00983FD1"/>
    <w:rsid w:val="009842CB"/>
    <w:rsid w:val="0098443C"/>
    <w:rsid w:val="009844E2"/>
    <w:rsid w:val="009846D7"/>
    <w:rsid w:val="009846F9"/>
    <w:rsid w:val="00984A1D"/>
    <w:rsid w:val="00984B6B"/>
    <w:rsid w:val="00985102"/>
    <w:rsid w:val="00985119"/>
    <w:rsid w:val="009854C1"/>
    <w:rsid w:val="009854CA"/>
    <w:rsid w:val="009854EA"/>
    <w:rsid w:val="00985565"/>
    <w:rsid w:val="009856B2"/>
    <w:rsid w:val="00985A37"/>
    <w:rsid w:val="00985A5F"/>
    <w:rsid w:val="00985B25"/>
    <w:rsid w:val="00985BE9"/>
    <w:rsid w:val="00985D27"/>
    <w:rsid w:val="00985D72"/>
    <w:rsid w:val="00985DFA"/>
    <w:rsid w:val="00985E10"/>
    <w:rsid w:val="00986046"/>
    <w:rsid w:val="009862E5"/>
    <w:rsid w:val="0098659F"/>
    <w:rsid w:val="00986767"/>
    <w:rsid w:val="0098695D"/>
    <w:rsid w:val="00986E1A"/>
    <w:rsid w:val="00987157"/>
    <w:rsid w:val="009871DE"/>
    <w:rsid w:val="00987369"/>
    <w:rsid w:val="009876CF"/>
    <w:rsid w:val="009878A0"/>
    <w:rsid w:val="00987909"/>
    <w:rsid w:val="00987AB5"/>
    <w:rsid w:val="00987BD0"/>
    <w:rsid w:val="00987D02"/>
    <w:rsid w:val="00987D71"/>
    <w:rsid w:val="00987F61"/>
    <w:rsid w:val="0099012C"/>
    <w:rsid w:val="00990211"/>
    <w:rsid w:val="009903F7"/>
    <w:rsid w:val="00990A72"/>
    <w:rsid w:val="00990C51"/>
    <w:rsid w:val="00990CE3"/>
    <w:rsid w:val="00990E27"/>
    <w:rsid w:val="00991210"/>
    <w:rsid w:val="009915D1"/>
    <w:rsid w:val="00991762"/>
    <w:rsid w:val="00991B25"/>
    <w:rsid w:val="00991B77"/>
    <w:rsid w:val="0099203C"/>
    <w:rsid w:val="0099224C"/>
    <w:rsid w:val="0099229F"/>
    <w:rsid w:val="00992615"/>
    <w:rsid w:val="00992632"/>
    <w:rsid w:val="00992691"/>
    <w:rsid w:val="0099279C"/>
    <w:rsid w:val="00992947"/>
    <w:rsid w:val="00992AD5"/>
    <w:rsid w:val="00992BA9"/>
    <w:rsid w:val="00992C1E"/>
    <w:rsid w:val="00992EBC"/>
    <w:rsid w:val="0099309B"/>
    <w:rsid w:val="009931D3"/>
    <w:rsid w:val="00993480"/>
    <w:rsid w:val="0099352B"/>
    <w:rsid w:val="00993B97"/>
    <w:rsid w:val="00993E56"/>
    <w:rsid w:val="00994163"/>
    <w:rsid w:val="00994390"/>
    <w:rsid w:val="009943B4"/>
    <w:rsid w:val="009946AA"/>
    <w:rsid w:val="009946C6"/>
    <w:rsid w:val="00994C66"/>
    <w:rsid w:val="00994C88"/>
    <w:rsid w:val="00994CEF"/>
    <w:rsid w:val="00994D47"/>
    <w:rsid w:val="00995019"/>
    <w:rsid w:val="00995140"/>
    <w:rsid w:val="00995373"/>
    <w:rsid w:val="009953AB"/>
    <w:rsid w:val="009953AF"/>
    <w:rsid w:val="00995843"/>
    <w:rsid w:val="009958D6"/>
    <w:rsid w:val="00995C1F"/>
    <w:rsid w:val="0099659E"/>
    <w:rsid w:val="00996736"/>
    <w:rsid w:val="009967CF"/>
    <w:rsid w:val="00996800"/>
    <w:rsid w:val="00996851"/>
    <w:rsid w:val="00996A9D"/>
    <w:rsid w:val="00996C33"/>
    <w:rsid w:val="00996DF1"/>
    <w:rsid w:val="0099717C"/>
    <w:rsid w:val="00997442"/>
    <w:rsid w:val="0099754A"/>
    <w:rsid w:val="0099755D"/>
    <w:rsid w:val="0099768C"/>
    <w:rsid w:val="0099783D"/>
    <w:rsid w:val="00997B2F"/>
    <w:rsid w:val="00997BAE"/>
    <w:rsid w:val="00997BDD"/>
    <w:rsid w:val="00997C42"/>
    <w:rsid w:val="00997D42"/>
    <w:rsid w:val="00997F00"/>
    <w:rsid w:val="009A01FA"/>
    <w:rsid w:val="009A063F"/>
    <w:rsid w:val="009A071F"/>
    <w:rsid w:val="009A099D"/>
    <w:rsid w:val="009A0A57"/>
    <w:rsid w:val="009A0F10"/>
    <w:rsid w:val="009A1182"/>
    <w:rsid w:val="009A123F"/>
    <w:rsid w:val="009A1568"/>
    <w:rsid w:val="009A1624"/>
    <w:rsid w:val="009A1682"/>
    <w:rsid w:val="009A1858"/>
    <w:rsid w:val="009A19AF"/>
    <w:rsid w:val="009A1A54"/>
    <w:rsid w:val="009A1AF0"/>
    <w:rsid w:val="009A1BBF"/>
    <w:rsid w:val="009A2185"/>
    <w:rsid w:val="009A2500"/>
    <w:rsid w:val="009A264B"/>
    <w:rsid w:val="009A26E2"/>
    <w:rsid w:val="009A282B"/>
    <w:rsid w:val="009A2909"/>
    <w:rsid w:val="009A295B"/>
    <w:rsid w:val="009A2CAA"/>
    <w:rsid w:val="009A2D7E"/>
    <w:rsid w:val="009A2E14"/>
    <w:rsid w:val="009A314A"/>
    <w:rsid w:val="009A31A3"/>
    <w:rsid w:val="009A3309"/>
    <w:rsid w:val="009A3422"/>
    <w:rsid w:val="009A3476"/>
    <w:rsid w:val="009A34E9"/>
    <w:rsid w:val="009A3612"/>
    <w:rsid w:val="009A39F0"/>
    <w:rsid w:val="009A3A67"/>
    <w:rsid w:val="009A3DE2"/>
    <w:rsid w:val="009A40F8"/>
    <w:rsid w:val="009A4562"/>
    <w:rsid w:val="009A4713"/>
    <w:rsid w:val="009A480E"/>
    <w:rsid w:val="009A4EA9"/>
    <w:rsid w:val="009A4F0E"/>
    <w:rsid w:val="009A4F74"/>
    <w:rsid w:val="009A53D4"/>
    <w:rsid w:val="009A5436"/>
    <w:rsid w:val="009A54A7"/>
    <w:rsid w:val="009A5507"/>
    <w:rsid w:val="009A56FB"/>
    <w:rsid w:val="009A58C2"/>
    <w:rsid w:val="009A5A5E"/>
    <w:rsid w:val="009A5A8F"/>
    <w:rsid w:val="009A5EAD"/>
    <w:rsid w:val="009A5FC9"/>
    <w:rsid w:val="009A5FEA"/>
    <w:rsid w:val="009A632F"/>
    <w:rsid w:val="009A648D"/>
    <w:rsid w:val="009A64B5"/>
    <w:rsid w:val="009A64EA"/>
    <w:rsid w:val="009A6915"/>
    <w:rsid w:val="009A693B"/>
    <w:rsid w:val="009A6B7F"/>
    <w:rsid w:val="009A6CAB"/>
    <w:rsid w:val="009A6EEA"/>
    <w:rsid w:val="009A70F9"/>
    <w:rsid w:val="009A73F7"/>
    <w:rsid w:val="009A7488"/>
    <w:rsid w:val="009A7AF4"/>
    <w:rsid w:val="009A7D3B"/>
    <w:rsid w:val="009A7EAF"/>
    <w:rsid w:val="009A7FDA"/>
    <w:rsid w:val="009B02AB"/>
    <w:rsid w:val="009B02C0"/>
    <w:rsid w:val="009B074C"/>
    <w:rsid w:val="009B09AA"/>
    <w:rsid w:val="009B0B76"/>
    <w:rsid w:val="009B0CF5"/>
    <w:rsid w:val="009B0E56"/>
    <w:rsid w:val="009B1028"/>
    <w:rsid w:val="009B10E6"/>
    <w:rsid w:val="009B1152"/>
    <w:rsid w:val="009B1245"/>
    <w:rsid w:val="009B1250"/>
    <w:rsid w:val="009B137F"/>
    <w:rsid w:val="009B1448"/>
    <w:rsid w:val="009B18EE"/>
    <w:rsid w:val="009B1A98"/>
    <w:rsid w:val="009B20A3"/>
    <w:rsid w:val="009B2362"/>
    <w:rsid w:val="009B256D"/>
    <w:rsid w:val="009B2850"/>
    <w:rsid w:val="009B2D27"/>
    <w:rsid w:val="009B3191"/>
    <w:rsid w:val="009B3335"/>
    <w:rsid w:val="009B3353"/>
    <w:rsid w:val="009B342F"/>
    <w:rsid w:val="009B366D"/>
    <w:rsid w:val="009B371A"/>
    <w:rsid w:val="009B3762"/>
    <w:rsid w:val="009B3849"/>
    <w:rsid w:val="009B38E0"/>
    <w:rsid w:val="009B3977"/>
    <w:rsid w:val="009B3FC8"/>
    <w:rsid w:val="009B4114"/>
    <w:rsid w:val="009B43DC"/>
    <w:rsid w:val="009B45C6"/>
    <w:rsid w:val="009B45DB"/>
    <w:rsid w:val="009B4791"/>
    <w:rsid w:val="009B47DE"/>
    <w:rsid w:val="009B4A43"/>
    <w:rsid w:val="009B4ADC"/>
    <w:rsid w:val="009B52CE"/>
    <w:rsid w:val="009B5338"/>
    <w:rsid w:val="009B55A1"/>
    <w:rsid w:val="009B5767"/>
    <w:rsid w:val="009B5934"/>
    <w:rsid w:val="009B59B8"/>
    <w:rsid w:val="009B5B4A"/>
    <w:rsid w:val="009B5DF3"/>
    <w:rsid w:val="009B5F5B"/>
    <w:rsid w:val="009B5F69"/>
    <w:rsid w:val="009B5FC0"/>
    <w:rsid w:val="009B6447"/>
    <w:rsid w:val="009B64E5"/>
    <w:rsid w:val="009B6690"/>
    <w:rsid w:val="009B66A7"/>
    <w:rsid w:val="009B6815"/>
    <w:rsid w:val="009B6A56"/>
    <w:rsid w:val="009B6DDB"/>
    <w:rsid w:val="009B6E54"/>
    <w:rsid w:val="009B6F9C"/>
    <w:rsid w:val="009B70CC"/>
    <w:rsid w:val="009B7128"/>
    <w:rsid w:val="009B71F9"/>
    <w:rsid w:val="009B736F"/>
    <w:rsid w:val="009B77F3"/>
    <w:rsid w:val="009B780E"/>
    <w:rsid w:val="009B7ADC"/>
    <w:rsid w:val="009B7ADE"/>
    <w:rsid w:val="009B7CE6"/>
    <w:rsid w:val="009B7EE0"/>
    <w:rsid w:val="009B7F43"/>
    <w:rsid w:val="009C0526"/>
    <w:rsid w:val="009C0894"/>
    <w:rsid w:val="009C09C2"/>
    <w:rsid w:val="009C09FB"/>
    <w:rsid w:val="009C0A62"/>
    <w:rsid w:val="009C0B28"/>
    <w:rsid w:val="009C0F68"/>
    <w:rsid w:val="009C0F86"/>
    <w:rsid w:val="009C1445"/>
    <w:rsid w:val="009C1856"/>
    <w:rsid w:val="009C1933"/>
    <w:rsid w:val="009C1EE0"/>
    <w:rsid w:val="009C2083"/>
    <w:rsid w:val="009C2363"/>
    <w:rsid w:val="009C2389"/>
    <w:rsid w:val="009C255C"/>
    <w:rsid w:val="009C256E"/>
    <w:rsid w:val="009C2673"/>
    <w:rsid w:val="009C2719"/>
    <w:rsid w:val="009C27B8"/>
    <w:rsid w:val="009C28B4"/>
    <w:rsid w:val="009C2D5F"/>
    <w:rsid w:val="009C2E85"/>
    <w:rsid w:val="009C3115"/>
    <w:rsid w:val="009C3288"/>
    <w:rsid w:val="009C332F"/>
    <w:rsid w:val="009C353C"/>
    <w:rsid w:val="009C3572"/>
    <w:rsid w:val="009C3B58"/>
    <w:rsid w:val="009C3DD3"/>
    <w:rsid w:val="009C3DD7"/>
    <w:rsid w:val="009C3E0A"/>
    <w:rsid w:val="009C47B7"/>
    <w:rsid w:val="009C47B9"/>
    <w:rsid w:val="009C4AE3"/>
    <w:rsid w:val="009C534C"/>
    <w:rsid w:val="009C55D2"/>
    <w:rsid w:val="009C59B4"/>
    <w:rsid w:val="009C5ADF"/>
    <w:rsid w:val="009C5BC9"/>
    <w:rsid w:val="009C5CE5"/>
    <w:rsid w:val="009C637B"/>
    <w:rsid w:val="009C65BC"/>
    <w:rsid w:val="009C6795"/>
    <w:rsid w:val="009C6817"/>
    <w:rsid w:val="009C6A0C"/>
    <w:rsid w:val="009C6A6F"/>
    <w:rsid w:val="009C6DD9"/>
    <w:rsid w:val="009C7020"/>
    <w:rsid w:val="009C720E"/>
    <w:rsid w:val="009C7314"/>
    <w:rsid w:val="009C7B3F"/>
    <w:rsid w:val="009C7C72"/>
    <w:rsid w:val="009C7E3C"/>
    <w:rsid w:val="009C7F9A"/>
    <w:rsid w:val="009D002A"/>
    <w:rsid w:val="009D04B7"/>
    <w:rsid w:val="009D0688"/>
    <w:rsid w:val="009D09C9"/>
    <w:rsid w:val="009D0A70"/>
    <w:rsid w:val="009D0C58"/>
    <w:rsid w:val="009D0E58"/>
    <w:rsid w:val="009D0ECD"/>
    <w:rsid w:val="009D11CC"/>
    <w:rsid w:val="009D153F"/>
    <w:rsid w:val="009D1628"/>
    <w:rsid w:val="009D171D"/>
    <w:rsid w:val="009D1A4C"/>
    <w:rsid w:val="009D1CEF"/>
    <w:rsid w:val="009D1DB0"/>
    <w:rsid w:val="009D1EA4"/>
    <w:rsid w:val="009D1ED2"/>
    <w:rsid w:val="009D2061"/>
    <w:rsid w:val="009D2359"/>
    <w:rsid w:val="009D265A"/>
    <w:rsid w:val="009D28CB"/>
    <w:rsid w:val="009D2B14"/>
    <w:rsid w:val="009D2C50"/>
    <w:rsid w:val="009D2F48"/>
    <w:rsid w:val="009D31A5"/>
    <w:rsid w:val="009D33A9"/>
    <w:rsid w:val="009D3BCD"/>
    <w:rsid w:val="009D4765"/>
    <w:rsid w:val="009D4924"/>
    <w:rsid w:val="009D4BE4"/>
    <w:rsid w:val="009D4CA9"/>
    <w:rsid w:val="009D4E3A"/>
    <w:rsid w:val="009D4EA3"/>
    <w:rsid w:val="009D5060"/>
    <w:rsid w:val="009D51F4"/>
    <w:rsid w:val="009D5243"/>
    <w:rsid w:val="009D5257"/>
    <w:rsid w:val="009D5365"/>
    <w:rsid w:val="009D551F"/>
    <w:rsid w:val="009D5A32"/>
    <w:rsid w:val="009D5B05"/>
    <w:rsid w:val="009D5D8C"/>
    <w:rsid w:val="009D5E2B"/>
    <w:rsid w:val="009D5F1E"/>
    <w:rsid w:val="009D6232"/>
    <w:rsid w:val="009D62DC"/>
    <w:rsid w:val="009D63C9"/>
    <w:rsid w:val="009D68FB"/>
    <w:rsid w:val="009D6D05"/>
    <w:rsid w:val="009D6EAB"/>
    <w:rsid w:val="009D71B4"/>
    <w:rsid w:val="009D76E6"/>
    <w:rsid w:val="009D7834"/>
    <w:rsid w:val="009D7A29"/>
    <w:rsid w:val="009D7E9B"/>
    <w:rsid w:val="009D7FC0"/>
    <w:rsid w:val="009E05B9"/>
    <w:rsid w:val="009E082F"/>
    <w:rsid w:val="009E092A"/>
    <w:rsid w:val="009E094B"/>
    <w:rsid w:val="009E0AB0"/>
    <w:rsid w:val="009E0EDC"/>
    <w:rsid w:val="009E0F18"/>
    <w:rsid w:val="009E10B5"/>
    <w:rsid w:val="009E10EC"/>
    <w:rsid w:val="009E10FE"/>
    <w:rsid w:val="009E115F"/>
    <w:rsid w:val="009E14A4"/>
    <w:rsid w:val="009E1958"/>
    <w:rsid w:val="009E1998"/>
    <w:rsid w:val="009E1A50"/>
    <w:rsid w:val="009E1C37"/>
    <w:rsid w:val="009E1CF6"/>
    <w:rsid w:val="009E1D61"/>
    <w:rsid w:val="009E1EE1"/>
    <w:rsid w:val="009E1F46"/>
    <w:rsid w:val="009E20C7"/>
    <w:rsid w:val="009E2688"/>
    <w:rsid w:val="009E296F"/>
    <w:rsid w:val="009E2A96"/>
    <w:rsid w:val="009E2BEA"/>
    <w:rsid w:val="009E2C6D"/>
    <w:rsid w:val="009E2C7E"/>
    <w:rsid w:val="009E2EC1"/>
    <w:rsid w:val="009E2F27"/>
    <w:rsid w:val="009E37F9"/>
    <w:rsid w:val="009E3848"/>
    <w:rsid w:val="009E4247"/>
    <w:rsid w:val="009E4415"/>
    <w:rsid w:val="009E45FA"/>
    <w:rsid w:val="009E46B1"/>
    <w:rsid w:val="009E4895"/>
    <w:rsid w:val="009E48DB"/>
    <w:rsid w:val="009E4912"/>
    <w:rsid w:val="009E4B21"/>
    <w:rsid w:val="009E4D98"/>
    <w:rsid w:val="009E4DCE"/>
    <w:rsid w:val="009E4DFA"/>
    <w:rsid w:val="009E53FC"/>
    <w:rsid w:val="009E5420"/>
    <w:rsid w:val="009E584C"/>
    <w:rsid w:val="009E5A2C"/>
    <w:rsid w:val="009E5C78"/>
    <w:rsid w:val="009E5CC4"/>
    <w:rsid w:val="009E5D6F"/>
    <w:rsid w:val="009E5D89"/>
    <w:rsid w:val="009E613B"/>
    <w:rsid w:val="009E6204"/>
    <w:rsid w:val="009E6439"/>
    <w:rsid w:val="009E64E4"/>
    <w:rsid w:val="009E65BD"/>
    <w:rsid w:val="009E665F"/>
    <w:rsid w:val="009E67C8"/>
    <w:rsid w:val="009E6CCF"/>
    <w:rsid w:val="009E6EF5"/>
    <w:rsid w:val="009E7029"/>
    <w:rsid w:val="009E728A"/>
    <w:rsid w:val="009E7320"/>
    <w:rsid w:val="009E73F3"/>
    <w:rsid w:val="009E7428"/>
    <w:rsid w:val="009E7551"/>
    <w:rsid w:val="009E763C"/>
    <w:rsid w:val="009E78E1"/>
    <w:rsid w:val="009E7C7C"/>
    <w:rsid w:val="009E7ED4"/>
    <w:rsid w:val="009E7F5D"/>
    <w:rsid w:val="009F008A"/>
    <w:rsid w:val="009F017D"/>
    <w:rsid w:val="009F027D"/>
    <w:rsid w:val="009F04D0"/>
    <w:rsid w:val="009F0682"/>
    <w:rsid w:val="009F070E"/>
    <w:rsid w:val="009F0717"/>
    <w:rsid w:val="009F0897"/>
    <w:rsid w:val="009F09F1"/>
    <w:rsid w:val="009F0D61"/>
    <w:rsid w:val="009F0F37"/>
    <w:rsid w:val="009F0F4A"/>
    <w:rsid w:val="009F10C9"/>
    <w:rsid w:val="009F10E7"/>
    <w:rsid w:val="009F1195"/>
    <w:rsid w:val="009F11FC"/>
    <w:rsid w:val="009F161A"/>
    <w:rsid w:val="009F1BE1"/>
    <w:rsid w:val="009F1D95"/>
    <w:rsid w:val="009F1DB4"/>
    <w:rsid w:val="009F21ED"/>
    <w:rsid w:val="009F2701"/>
    <w:rsid w:val="009F29C7"/>
    <w:rsid w:val="009F2A28"/>
    <w:rsid w:val="009F30F7"/>
    <w:rsid w:val="009F311F"/>
    <w:rsid w:val="009F3323"/>
    <w:rsid w:val="009F336E"/>
    <w:rsid w:val="009F3763"/>
    <w:rsid w:val="009F3844"/>
    <w:rsid w:val="009F38DC"/>
    <w:rsid w:val="009F3968"/>
    <w:rsid w:val="009F3C84"/>
    <w:rsid w:val="009F3DA5"/>
    <w:rsid w:val="009F43B0"/>
    <w:rsid w:val="009F4679"/>
    <w:rsid w:val="009F4C12"/>
    <w:rsid w:val="009F4C6A"/>
    <w:rsid w:val="009F4D38"/>
    <w:rsid w:val="009F4E36"/>
    <w:rsid w:val="009F4ECF"/>
    <w:rsid w:val="009F4FAF"/>
    <w:rsid w:val="009F506D"/>
    <w:rsid w:val="009F5085"/>
    <w:rsid w:val="009F53A5"/>
    <w:rsid w:val="009F59D3"/>
    <w:rsid w:val="009F5AEE"/>
    <w:rsid w:val="009F5D63"/>
    <w:rsid w:val="009F5D93"/>
    <w:rsid w:val="009F61E6"/>
    <w:rsid w:val="009F6317"/>
    <w:rsid w:val="009F6547"/>
    <w:rsid w:val="009F664F"/>
    <w:rsid w:val="009F6666"/>
    <w:rsid w:val="009F66EF"/>
    <w:rsid w:val="009F6742"/>
    <w:rsid w:val="009F6746"/>
    <w:rsid w:val="009F67B8"/>
    <w:rsid w:val="009F6FC0"/>
    <w:rsid w:val="009F708D"/>
    <w:rsid w:val="009F70A7"/>
    <w:rsid w:val="009F725B"/>
    <w:rsid w:val="009F758B"/>
    <w:rsid w:val="009F78EC"/>
    <w:rsid w:val="009F7E60"/>
    <w:rsid w:val="00A00014"/>
    <w:rsid w:val="00A000E3"/>
    <w:rsid w:val="00A001EA"/>
    <w:rsid w:val="00A00F7E"/>
    <w:rsid w:val="00A01298"/>
    <w:rsid w:val="00A01375"/>
    <w:rsid w:val="00A013A3"/>
    <w:rsid w:val="00A01455"/>
    <w:rsid w:val="00A0166A"/>
    <w:rsid w:val="00A01856"/>
    <w:rsid w:val="00A018E8"/>
    <w:rsid w:val="00A01915"/>
    <w:rsid w:val="00A01B34"/>
    <w:rsid w:val="00A01C60"/>
    <w:rsid w:val="00A01DBE"/>
    <w:rsid w:val="00A0207D"/>
    <w:rsid w:val="00A02311"/>
    <w:rsid w:val="00A02625"/>
    <w:rsid w:val="00A0264A"/>
    <w:rsid w:val="00A02AD9"/>
    <w:rsid w:val="00A02CF9"/>
    <w:rsid w:val="00A02DC3"/>
    <w:rsid w:val="00A03001"/>
    <w:rsid w:val="00A03170"/>
    <w:rsid w:val="00A03803"/>
    <w:rsid w:val="00A03B15"/>
    <w:rsid w:val="00A03D0D"/>
    <w:rsid w:val="00A03D29"/>
    <w:rsid w:val="00A042C8"/>
    <w:rsid w:val="00A0432B"/>
    <w:rsid w:val="00A044AA"/>
    <w:rsid w:val="00A046AE"/>
    <w:rsid w:val="00A048C2"/>
    <w:rsid w:val="00A050C1"/>
    <w:rsid w:val="00A05A1A"/>
    <w:rsid w:val="00A05F03"/>
    <w:rsid w:val="00A05F54"/>
    <w:rsid w:val="00A06306"/>
    <w:rsid w:val="00A068EB"/>
    <w:rsid w:val="00A06BF6"/>
    <w:rsid w:val="00A06F9C"/>
    <w:rsid w:val="00A073D9"/>
    <w:rsid w:val="00A074EE"/>
    <w:rsid w:val="00A0762A"/>
    <w:rsid w:val="00A07690"/>
    <w:rsid w:val="00A07782"/>
    <w:rsid w:val="00A0780C"/>
    <w:rsid w:val="00A07B45"/>
    <w:rsid w:val="00A07C49"/>
    <w:rsid w:val="00A07E8C"/>
    <w:rsid w:val="00A100D9"/>
    <w:rsid w:val="00A104C4"/>
    <w:rsid w:val="00A105C4"/>
    <w:rsid w:val="00A10708"/>
    <w:rsid w:val="00A10904"/>
    <w:rsid w:val="00A10CAB"/>
    <w:rsid w:val="00A10F6F"/>
    <w:rsid w:val="00A116CD"/>
    <w:rsid w:val="00A117E7"/>
    <w:rsid w:val="00A11A59"/>
    <w:rsid w:val="00A11D3C"/>
    <w:rsid w:val="00A11F4E"/>
    <w:rsid w:val="00A12104"/>
    <w:rsid w:val="00A121DA"/>
    <w:rsid w:val="00A12248"/>
    <w:rsid w:val="00A126C0"/>
    <w:rsid w:val="00A1298F"/>
    <w:rsid w:val="00A12AED"/>
    <w:rsid w:val="00A12BD5"/>
    <w:rsid w:val="00A12EB4"/>
    <w:rsid w:val="00A12F8A"/>
    <w:rsid w:val="00A13161"/>
    <w:rsid w:val="00A1325F"/>
    <w:rsid w:val="00A1326F"/>
    <w:rsid w:val="00A133AC"/>
    <w:rsid w:val="00A13459"/>
    <w:rsid w:val="00A13527"/>
    <w:rsid w:val="00A13590"/>
    <w:rsid w:val="00A139D0"/>
    <w:rsid w:val="00A13A38"/>
    <w:rsid w:val="00A13CE2"/>
    <w:rsid w:val="00A13D24"/>
    <w:rsid w:val="00A1408E"/>
    <w:rsid w:val="00A143DB"/>
    <w:rsid w:val="00A1446D"/>
    <w:rsid w:val="00A146B0"/>
    <w:rsid w:val="00A1493C"/>
    <w:rsid w:val="00A14AA3"/>
    <w:rsid w:val="00A14B3F"/>
    <w:rsid w:val="00A14B9F"/>
    <w:rsid w:val="00A14CD8"/>
    <w:rsid w:val="00A151D8"/>
    <w:rsid w:val="00A153A4"/>
    <w:rsid w:val="00A155BA"/>
    <w:rsid w:val="00A15741"/>
    <w:rsid w:val="00A157B2"/>
    <w:rsid w:val="00A15813"/>
    <w:rsid w:val="00A15918"/>
    <w:rsid w:val="00A159E7"/>
    <w:rsid w:val="00A15B89"/>
    <w:rsid w:val="00A15CDF"/>
    <w:rsid w:val="00A15CE9"/>
    <w:rsid w:val="00A16372"/>
    <w:rsid w:val="00A166AB"/>
    <w:rsid w:val="00A16AD7"/>
    <w:rsid w:val="00A16B4D"/>
    <w:rsid w:val="00A16CE4"/>
    <w:rsid w:val="00A170E3"/>
    <w:rsid w:val="00A176F6"/>
    <w:rsid w:val="00A177DF"/>
    <w:rsid w:val="00A17DEE"/>
    <w:rsid w:val="00A17E8F"/>
    <w:rsid w:val="00A20049"/>
    <w:rsid w:val="00A20381"/>
    <w:rsid w:val="00A2047B"/>
    <w:rsid w:val="00A20487"/>
    <w:rsid w:val="00A2053A"/>
    <w:rsid w:val="00A20832"/>
    <w:rsid w:val="00A2083E"/>
    <w:rsid w:val="00A21180"/>
    <w:rsid w:val="00A212C8"/>
    <w:rsid w:val="00A213BD"/>
    <w:rsid w:val="00A21AB2"/>
    <w:rsid w:val="00A21B75"/>
    <w:rsid w:val="00A21C12"/>
    <w:rsid w:val="00A21D80"/>
    <w:rsid w:val="00A2271A"/>
    <w:rsid w:val="00A227F6"/>
    <w:rsid w:val="00A2297F"/>
    <w:rsid w:val="00A229CD"/>
    <w:rsid w:val="00A22CA7"/>
    <w:rsid w:val="00A23310"/>
    <w:rsid w:val="00A235E2"/>
    <w:rsid w:val="00A235E4"/>
    <w:rsid w:val="00A23637"/>
    <w:rsid w:val="00A236D3"/>
    <w:rsid w:val="00A23D06"/>
    <w:rsid w:val="00A23D5E"/>
    <w:rsid w:val="00A240D1"/>
    <w:rsid w:val="00A2412F"/>
    <w:rsid w:val="00A243EC"/>
    <w:rsid w:val="00A2447B"/>
    <w:rsid w:val="00A24490"/>
    <w:rsid w:val="00A2489A"/>
    <w:rsid w:val="00A249A1"/>
    <w:rsid w:val="00A249E2"/>
    <w:rsid w:val="00A24AA5"/>
    <w:rsid w:val="00A24B31"/>
    <w:rsid w:val="00A24BE3"/>
    <w:rsid w:val="00A24FCC"/>
    <w:rsid w:val="00A252B8"/>
    <w:rsid w:val="00A253F7"/>
    <w:rsid w:val="00A25464"/>
    <w:rsid w:val="00A25499"/>
    <w:rsid w:val="00A25AB4"/>
    <w:rsid w:val="00A25CC0"/>
    <w:rsid w:val="00A262B0"/>
    <w:rsid w:val="00A263A9"/>
    <w:rsid w:val="00A26465"/>
    <w:rsid w:val="00A265CE"/>
    <w:rsid w:val="00A26703"/>
    <w:rsid w:val="00A26E35"/>
    <w:rsid w:val="00A27078"/>
    <w:rsid w:val="00A2735F"/>
    <w:rsid w:val="00A27386"/>
    <w:rsid w:val="00A27798"/>
    <w:rsid w:val="00A27AFC"/>
    <w:rsid w:val="00A27BF0"/>
    <w:rsid w:val="00A27D96"/>
    <w:rsid w:val="00A300FF"/>
    <w:rsid w:val="00A309F6"/>
    <w:rsid w:val="00A30E7E"/>
    <w:rsid w:val="00A31021"/>
    <w:rsid w:val="00A31208"/>
    <w:rsid w:val="00A31BD1"/>
    <w:rsid w:val="00A31BFC"/>
    <w:rsid w:val="00A31D23"/>
    <w:rsid w:val="00A31D3A"/>
    <w:rsid w:val="00A32088"/>
    <w:rsid w:val="00A321CA"/>
    <w:rsid w:val="00A322B0"/>
    <w:rsid w:val="00A32420"/>
    <w:rsid w:val="00A324F6"/>
    <w:rsid w:val="00A32873"/>
    <w:rsid w:val="00A32C62"/>
    <w:rsid w:val="00A32EFF"/>
    <w:rsid w:val="00A32F1D"/>
    <w:rsid w:val="00A331F4"/>
    <w:rsid w:val="00A3362F"/>
    <w:rsid w:val="00A33763"/>
    <w:rsid w:val="00A33951"/>
    <w:rsid w:val="00A33B15"/>
    <w:rsid w:val="00A33DC6"/>
    <w:rsid w:val="00A33DD6"/>
    <w:rsid w:val="00A34012"/>
    <w:rsid w:val="00A340BC"/>
    <w:rsid w:val="00A34108"/>
    <w:rsid w:val="00A34207"/>
    <w:rsid w:val="00A342B7"/>
    <w:rsid w:val="00A3475D"/>
    <w:rsid w:val="00A34FE6"/>
    <w:rsid w:val="00A351B9"/>
    <w:rsid w:val="00A353DD"/>
    <w:rsid w:val="00A35879"/>
    <w:rsid w:val="00A3592D"/>
    <w:rsid w:val="00A35EA9"/>
    <w:rsid w:val="00A35F73"/>
    <w:rsid w:val="00A36033"/>
    <w:rsid w:val="00A36099"/>
    <w:rsid w:val="00A361A6"/>
    <w:rsid w:val="00A3644E"/>
    <w:rsid w:val="00A367D4"/>
    <w:rsid w:val="00A368EF"/>
    <w:rsid w:val="00A36AC3"/>
    <w:rsid w:val="00A36ACE"/>
    <w:rsid w:val="00A36B20"/>
    <w:rsid w:val="00A36BBB"/>
    <w:rsid w:val="00A36D11"/>
    <w:rsid w:val="00A36DE4"/>
    <w:rsid w:val="00A36E56"/>
    <w:rsid w:val="00A36FE6"/>
    <w:rsid w:val="00A37032"/>
    <w:rsid w:val="00A37219"/>
    <w:rsid w:val="00A37257"/>
    <w:rsid w:val="00A372D4"/>
    <w:rsid w:val="00A3735D"/>
    <w:rsid w:val="00A375DA"/>
    <w:rsid w:val="00A3761F"/>
    <w:rsid w:val="00A37834"/>
    <w:rsid w:val="00A37A32"/>
    <w:rsid w:val="00A37A81"/>
    <w:rsid w:val="00A37BC7"/>
    <w:rsid w:val="00A37C89"/>
    <w:rsid w:val="00A37D37"/>
    <w:rsid w:val="00A37E1F"/>
    <w:rsid w:val="00A404CA"/>
    <w:rsid w:val="00A404EC"/>
    <w:rsid w:val="00A40542"/>
    <w:rsid w:val="00A40BB4"/>
    <w:rsid w:val="00A40DBB"/>
    <w:rsid w:val="00A40F6D"/>
    <w:rsid w:val="00A4106A"/>
    <w:rsid w:val="00A41150"/>
    <w:rsid w:val="00A4124C"/>
    <w:rsid w:val="00A417F9"/>
    <w:rsid w:val="00A41913"/>
    <w:rsid w:val="00A41BE4"/>
    <w:rsid w:val="00A41C9A"/>
    <w:rsid w:val="00A41EFC"/>
    <w:rsid w:val="00A42139"/>
    <w:rsid w:val="00A42200"/>
    <w:rsid w:val="00A42206"/>
    <w:rsid w:val="00A427FF"/>
    <w:rsid w:val="00A42E11"/>
    <w:rsid w:val="00A42EEF"/>
    <w:rsid w:val="00A43017"/>
    <w:rsid w:val="00A4319A"/>
    <w:rsid w:val="00A43A42"/>
    <w:rsid w:val="00A43E39"/>
    <w:rsid w:val="00A43F65"/>
    <w:rsid w:val="00A43FC0"/>
    <w:rsid w:val="00A44CB8"/>
    <w:rsid w:val="00A44FFD"/>
    <w:rsid w:val="00A4513A"/>
    <w:rsid w:val="00A4522B"/>
    <w:rsid w:val="00A45470"/>
    <w:rsid w:val="00A45561"/>
    <w:rsid w:val="00A456D0"/>
    <w:rsid w:val="00A4570E"/>
    <w:rsid w:val="00A457B8"/>
    <w:rsid w:val="00A45BDD"/>
    <w:rsid w:val="00A461A0"/>
    <w:rsid w:val="00A462CA"/>
    <w:rsid w:val="00A46CEE"/>
    <w:rsid w:val="00A46D71"/>
    <w:rsid w:val="00A47208"/>
    <w:rsid w:val="00A4777D"/>
    <w:rsid w:val="00A477BE"/>
    <w:rsid w:val="00A5007B"/>
    <w:rsid w:val="00A504DE"/>
    <w:rsid w:val="00A50687"/>
    <w:rsid w:val="00A50869"/>
    <w:rsid w:val="00A5098F"/>
    <w:rsid w:val="00A50F23"/>
    <w:rsid w:val="00A517EC"/>
    <w:rsid w:val="00A5203C"/>
    <w:rsid w:val="00A5227B"/>
    <w:rsid w:val="00A52372"/>
    <w:rsid w:val="00A523E8"/>
    <w:rsid w:val="00A52819"/>
    <w:rsid w:val="00A52849"/>
    <w:rsid w:val="00A52D5A"/>
    <w:rsid w:val="00A52D7E"/>
    <w:rsid w:val="00A52DC2"/>
    <w:rsid w:val="00A52FC5"/>
    <w:rsid w:val="00A536A9"/>
    <w:rsid w:val="00A5391C"/>
    <w:rsid w:val="00A53A16"/>
    <w:rsid w:val="00A53E8A"/>
    <w:rsid w:val="00A540DD"/>
    <w:rsid w:val="00A541F0"/>
    <w:rsid w:val="00A54409"/>
    <w:rsid w:val="00A545BA"/>
    <w:rsid w:val="00A5479D"/>
    <w:rsid w:val="00A5497B"/>
    <w:rsid w:val="00A55598"/>
    <w:rsid w:val="00A556F3"/>
    <w:rsid w:val="00A557AF"/>
    <w:rsid w:val="00A55A6B"/>
    <w:rsid w:val="00A55CB8"/>
    <w:rsid w:val="00A55EC1"/>
    <w:rsid w:val="00A55EF1"/>
    <w:rsid w:val="00A56592"/>
    <w:rsid w:val="00A5677F"/>
    <w:rsid w:val="00A56A7D"/>
    <w:rsid w:val="00A56AA7"/>
    <w:rsid w:val="00A57A65"/>
    <w:rsid w:val="00A57C26"/>
    <w:rsid w:val="00A57CB7"/>
    <w:rsid w:val="00A57EE6"/>
    <w:rsid w:val="00A6024E"/>
    <w:rsid w:val="00A602E2"/>
    <w:rsid w:val="00A60D8F"/>
    <w:rsid w:val="00A60F30"/>
    <w:rsid w:val="00A6106A"/>
    <w:rsid w:val="00A611A0"/>
    <w:rsid w:val="00A611DD"/>
    <w:rsid w:val="00A6146E"/>
    <w:rsid w:val="00A61565"/>
    <w:rsid w:val="00A61762"/>
    <w:rsid w:val="00A61908"/>
    <w:rsid w:val="00A61D4A"/>
    <w:rsid w:val="00A61F18"/>
    <w:rsid w:val="00A6201D"/>
    <w:rsid w:val="00A620CD"/>
    <w:rsid w:val="00A62780"/>
    <w:rsid w:val="00A62795"/>
    <w:rsid w:val="00A627AF"/>
    <w:rsid w:val="00A6287D"/>
    <w:rsid w:val="00A63093"/>
    <w:rsid w:val="00A63165"/>
    <w:rsid w:val="00A63194"/>
    <w:rsid w:val="00A63333"/>
    <w:rsid w:val="00A634E0"/>
    <w:rsid w:val="00A635AA"/>
    <w:rsid w:val="00A637C8"/>
    <w:rsid w:val="00A637FB"/>
    <w:rsid w:val="00A6380C"/>
    <w:rsid w:val="00A63B0D"/>
    <w:rsid w:val="00A63C4C"/>
    <w:rsid w:val="00A63C4E"/>
    <w:rsid w:val="00A63F0A"/>
    <w:rsid w:val="00A645D7"/>
    <w:rsid w:val="00A64965"/>
    <w:rsid w:val="00A649DA"/>
    <w:rsid w:val="00A64E70"/>
    <w:rsid w:val="00A65498"/>
    <w:rsid w:val="00A654F1"/>
    <w:rsid w:val="00A655A5"/>
    <w:rsid w:val="00A657EA"/>
    <w:rsid w:val="00A65861"/>
    <w:rsid w:val="00A658A6"/>
    <w:rsid w:val="00A6594B"/>
    <w:rsid w:val="00A65A8D"/>
    <w:rsid w:val="00A65C00"/>
    <w:rsid w:val="00A65D74"/>
    <w:rsid w:val="00A669D3"/>
    <w:rsid w:val="00A66A5F"/>
    <w:rsid w:val="00A66C5F"/>
    <w:rsid w:val="00A66CE1"/>
    <w:rsid w:val="00A66D34"/>
    <w:rsid w:val="00A66F57"/>
    <w:rsid w:val="00A67071"/>
    <w:rsid w:val="00A67325"/>
    <w:rsid w:val="00A6738C"/>
    <w:rsid w:val="00A67CD0"/>
    <w:rsid w:val="00A67D10"/>
    <w:rsid w:val="00A67FA8"/>
    <w:rsid w:val="00A70145"/>
    <w:rsid w:val="00A70247"/>
    <w:rsid w:val="00A70440"/>
    <w:rsid w:val="00A70B86"/>
    <w:rsid w:val="00A70FCA"/>
    <w:rsid w:val="00A70FFD"/>
    <w:rsid w:val="00A71111"/>
    <w:rsid w:val="00A71191"/>
    <w:rsid w:val="00A714DE"/>
    <w:rsid w:val="00A717DB"/>
    <w:rsid w:val="00A71AD4"/>
    <w:rsid w:val="00A7204A"/>
    <w:rsid w:val="00A72378"/>
    <w:rsid w:val="00A724ED"/>
    <w:rsid w:val="00A72792"/>
    <w:rsid w:val="00A729C0"/>
    <w:rsid w:val="00A72BAC"/>
    <w:rsid w:val="00A73033"/>
    <w:rsid w:val="00A73047"/>
    <w:rsid w:val="00A73185"/>
    <w:rsid w:val="00A7325C"/>
    <w:rsid w:val="00A738F4"/>
    <w:rsid w:val="00A73983"/>
    <w:rsid w:val="00A73E84"/>
    <w:rsid w:val="00A743B4"/>
    <w:rsid w:val="00A74504"/>
    <w:rsid w:val="00A745C6"/>
    <w:rsid w:val="00A74842"/>
    <w:rsid w:val="00A7489E"/>
    <w:rsid w:val="00A74C56"/>
    <w:rsid w:val="00A75027"/>
    <w:rsid w:val="00A75208"/>
    <w:rsid w:val="00A75229"/>
    <w:rsid w:val="00A754C4"/>
    <w:rsid w:val="00A75720"/>
    <w:rsid w:val="00A7582F"/>
    <w:rsid w:val="00A75943"/>
    <w:rsid w:val="00A75DFE"/>
    <w:rsid w:val="00A75E93"/>
    <w:rsid w:val="00A76050"/>
    <w:rsid w:val="00A760A5"/>
    <w:rsid w:val="00A76110"/>
    <w:rsid w:val="00A76158"/>
    <w:rsid w:val="00A762D6"/>
    <w:rsid w:val="00A76426"/>
    <w:rsid w:val="00A76702"/>
    <w:rsid w:val="00A76710"/>
    <w:rsid w:val="00A76868"/>
    <w:rsid w:val="00A76BEC"/>
    <w:rsid w:val="00A76D2B"/>
    <w:rsid w:val="00A76D9E"/>
    <w:rsid w:val="00A77178"/>
    <w:rsid w:val="00A77760"/>
    <w:rsid w:val="00A77C09"/>
    <w:rsid w:val="00A77FAB"/>
    <w:rsid w:val="00A80118"/>
    <w:rsid w:val="00A80382"/>
    <w:rsid w:val="00A80494"/>
    <w:rsid w:val="00A804D2"/>
    <w:rsid w:val="00A80683"/>
    <w:rsid w:val="00A80992"/>
    <w:rsid w:val="00A80BEA"/>
    <w:rsid w:val="00A80DE2"/>
    <w:rsid w:val="00A80E07"/>
    <w:rsid w:val="00A80E59"/>
    <w:rsid w:val="00A810F9"/>
    <w:rsid w:val="00A81190"/>
    <w:rsid w:val="00A81B0C"/>
    <w:rsid w:val="00A821F5"/>
    <w:rsid w:val="00A8225D"/>
    <w:rsid w:val="00A82AFD"/>
    <w:rsid w:val="00A82EEF"/>
    <w:rsid w:val="00A82F53"/>
    <w:rsid w:val="00A830F9"/>
    <w:rsid w:val="00A833AB"/>
    <w:rsid w:val="00A835D5"/>
    <w:rsid w:val="00A83746"/>
    <w:rsid w:val="00A83C45"/>
    <w:rsid w:val="00A83D58"/>
    <w:rsid w:val="00A83EF7"/>
    <w:rsid w:val="00A84087"/>
    <w:rsid w:val="00A840B1"/>
    <w:rsid w:val="00A84100"/>
    <w:rsid w:val="00A8451A"/>
    <w:rsid w:val="00A8466F"/>
    <w:rsid w:val="00A847DE"/>
    <w:rsid w:val="00A84AAB"/>
    <w:rsid w:val="00A84EB9"/>
    <w:rsid w:val="00A8572E"/>
    <w:rsid w:val="00A859CD"/>
    <w:rsid w:val="00A85C1F"/>
    <w:rsid w:val="00A85EBE"/>
    <w:rsid w:val="00A85EF6"/>
    <w:rsid w:val="00A861FD"/>
    <w:rsid w:val="00A86342"/>
    <w:rsid w:val="00A863F3"/>
    <w:rsid w:val="00A86569"/>
    <w:rsid w:val="00A865B2"/>
    <w:rsid w:val="00A86763"/>
    <w:rsid w:val="00A86A21"/>
    <w:rsid w:val="00A86CCB"/>
    <w:rsid w:val="00A86D59"/>
    <w:rsid w:val="00A86E8A"/>
    <w:rsid w:val="00A86F4E"/>
    <w:rsid w:val="00A87050"/>
    <w:rsid w:val="00A8709F"/>
    <w:rsid w:val="00A8738C"/>
    <w:rsid w:val="00A87414"/>
    <w:rsid w:val="00A8757F"/>
    <w:rsid w:val="00A8761A"/>
    <w:rsid w:val="00A8793B"/>
    <w:rsid w:val="00A87B0C"/>
    <w:rsid w:val="00A87B29"/>
    <w:rsid w:val="00A87C4E"/>
    <w:rsid w:val="00A87D01"/>
    <w:rsid w:val="00A87D48"/>
    <w:rsid w:val="00A87DCC"/>
    <w:rsid w:val="00A87DEB"/>
    <w:rsid w:val="00A9001A"/>
    <w:rsid w:val="00A90541"/>
    <w:rsid w:val="00A90588"/>
    <w:rsid w:val="00A90619"/>
    <w:rsid w:val="00A9061C"/>
    <w:rsid w:val="00A90932"/>
    <w:rsid w:val="00A90AB2"/>
    <w:rsid w:val="00A910AD"/>
    <w:rsid w:val="00A91559"/>
    <w:rsid w:val="00A91602"/>
    <w:rsid w:val="00A916E2"/>
    <w:rsid w:val="00A91739"/>
    <w:rsid w:val="00A91799"/>
    <w:rsid w:val="00A91E31"/>
    <w:rsid w:val="00A920B5"/>
    <w:rsid w:val="00A920CF"/>
    <w:rsid w:val="00A9218B"/>
    <w:rsid w:val="00A9230B"/>
    <w:rsid w:val="00A92419"/>
    <w:rsid w:val="00A92436"/>
    <w:rsid w:val="00A92563"/>
    <w:rsid w:val="00A92AD2"/>
    <w:rsid w:val="00A92C25"/>
    <w:rsid w:val="00A934EE"/>
    <w:rsid w:val="00A9355E"/>
    <w:rsid w:val="00A936F3"/>
    <w:rsid w:val="00A93767"/>
    <w:rsid w:val="00A93C17"/>
    <w:rsid w:val="00A93C67"/>
    <w:rsid w:val="00A93EAA"/>
    <w:rsid w:val="00A942FF"/>
    <w:rsid w:val="00A946BE"/>
    <w:rsid w:val="00A94D0E"/>
    <w:rsid w:val="00A94E27"/>
    <w:rsid w:val="00A95118"/>
    <w:rsid w:val="00A951FF"/>
    <w:rsid w:val="00A95217"/>
    <w:rsid w:val="00A95297"/>
    <w:rsid w:val="00A954F6"/>
    <w:rsid w:val="00A95AED"/>
    <w:rsid w:val="00A95C08"/>
    <w:rsid w:val="00A96205"/>
    <w:rsid w:val="00A96497"/>
    <w:rsid w:val="00A96684"/>
    <w:rsid w:val="00A968AE"/>
    <w:rsid w:val="00A96918"/>
    <w:rsid w:val="00A9698A"/>
    <w:rsid w:val="00A96C40"/>
    <w:rsid w:val="00A96C66"/>
    <w:rsid w:val="00A96C6C"/>
    <w:rsid w:val="00A96D04"/>
    <w:rsid w:val="00A9700A"/>
    <w:rsid w:val="00A97038"/>
    <w:rsid w:val="00A9754C"/>
    <w:rsid w:val="00A97581"/>
    <w:rsid w:val="00A97C32"/>
    <w:rsid w:val="00A97E46"/>
    <w:rsid w:val="00AA00BB"/>
    <w:rsid w:val="00AA0186"/>
    <w:rsid w:val="00AA0592"/>
    <w:rsid w:val="00AA05E4"/>
    <w:rsid w:val="00AA06CE"/>
    <w:rsid w:val="00AA0A5C"/>
    <w:rsid w:val="00AA0C62"/>
    <w:rsid w:val="00AA0C76"/>
    <w:rsid w:val="00AA0CE8"/>
    <w:rsid w:val="00AA0D05"/>
    <w:rsid w:val="00AA107F"/>
    <w:rsid w:val="00AA10F8"/>
    <w:rsid w:val="00AA10FD"/>
    <w:rsid w:val="00AA110C"/>
    <w:rsid w:val="00AA1648"/>
    <w:rsid w:val="00AA197D"/>
    <w:rsid w:val="00AA1AFE"/>
    <w:rsid w:val="00AA1B95"/>
    <w:rsid w:val="00AA1C78"/>
    <w:rsid w:val="00AA1E4C"/>
    <w:rsid w:val="00AA1EA5"/>
    <w:rsid w:val="00AA1F44"/>
    <w:rsid w:val="00AA21DA"/>
    <w:rsid w:val="00AA21DE"/>
    <w:rsid w:val="00AA228B"/>
    <w:rsid w:val="00AA26AD"/>
    <w:rsid w:val="00AA277B"/>
    <w:rsid w:val="00AA27E4"/>
    <w:rsid w:val="00AA292C"/>
    <w:rsid w:val="00AA2A8B"/>
    <w:rsid w:val="00AA2BAA"/>
    <w:rsid w:val="00AA2BC9"/>
    <w:rsid w:val="00AA2E18"/>
    <w:rsid w:val="00AA33B6"/>
    <w:rsid w:val="00AA346E"/>
    <w:rsid w:val="00AA34F5"/>
    <w:rsid w:val="00AA3690"/>
    <w:rsid w:val="00AA36FF"/>
    <w:rsid w:val="00AA3734"/>
    <w:rsid w:val="00AA3754"/>
    <w:rsid w:val="00AA3B6D"/>
    <w:rsid w:val="00AA3B74"/>
    <w:rsid w:val="00AA3D41"/>
    <w:rsid w:val="00AA3DED"/>
    <w:rsid w:val="00AA3F9D"/>
    <w:rsid w:val="00AA401F"/>
    <w:rsid w:val="00AA41F4"/>
    <w:rsid w:val="00AA4C73"/>
    <w:rsid w:val="00AA4DE4"/>
    <w:rsid w:val="00AA4F9C"/>
    <w:rsid w:val="00AA562B"/>
    <w:rsid w:val="00AA60C2"/>
    <w:rsid w:val="00AA60E9"/>
    <w:rsid w:val="00AA6273"/>
    <w:rsid w:val="00AA6866"/>
    <w:rsid w:val="00AA6AC1"/>
    <w:rsid w:val="00AA6B3E"/>
    <w:rsid w:val="00AA6D6E"/>
    <w:rsid w:val="00AA7768"/>
    <w:rsid w:val="00AA7C8D"/>
    <w:rsid w:val="00AA7F14"/>
    <w:rsid w:val="00AA7FA2"/>
    <w:rsid w:val="00AB02FE"/>
    <w:rsid w:val="00AB036C"/>
    <w:rsid w:val="00AB04A0"/>
    <w:rsid w:val="00AB0577"/>
    <w:rsid w:val="00AB0CD9"/>
    <w:rsid w:val="00AB0FFF"/>
    <w:rsid w:val="00AB15EB"/>
    <w:rsid w:val="00AB1933"/>
    <w:rsid w:val="00AB20D9"/>
    <w:rsid w:val="00AB21D1"/>
    <w:rsid w:val="00AB2494"/>
    <w:rsid w:val="00AB253D"/>
    <w:rsid w:val="00AB2CDA"/>
    <w:rsid w:val="00AB313C"/>
    <w:rsid w:val="00AB34DD"/>
    <w:rsid w:val="00AB3699"/>
    <w:rsid w:val="00AB3AD8"/>
    <w:rsid w:val="00AB3B86"/>
    <w:rsid w:val="00AB3BCF"/>
    <w:rsid w:val="00AB3E28"/>
    <w:rsid w:val="00AB3ECB"/>
    <w:rsid w:val="00AB3FE2"/>
    <w:rsid w:val="00AB419C"/>
    <w:rsid w:val="00AB4209"/>
    <w:rsid w:val="00AB42E6"/>
    <w:rsid w:val="00AB4303"/>
    <w:rsid w:val="00AB4515"/>
    <w:rsid w:val="00AB4583"/>
    <w:rsid w:val="00AB48CE"/>
    <w:rsid w:val="00AB4925"/>
    <w:rsid w:val="00AB4ACC"/>
    <w:rsid w:val="00AB5117"/>
    <w:rsid w:val="00AB52FB"/>
    <w:rsid w:val="00AB5340"/>
    <w:rsid w:val="00AB53F7"/>
    <w:rsid w:val="00AB541B"/>
    <w:rsid w:val="00AB5622"/>
    <w:rsid w:val="00AB5680"/>
    <w:rsid w:val="00AB56DD"/>
    <w:rsid w:val="00AB5741"/>
    <w:rsid w:val="00AB5FA2"/>
    <w:rsid w:val="00AB674A"/>
    <w:rsid w:val="00AB68E9"/>
    <w:rsid w:val="00AB6A0B"/>
    <w:rsid w:val="00AB6A10"/>
    <w:rsid w:val="00AB6C24"/>
    <w:rsid w:val="00AB6D19"/>
    <w:rsid w:val="00AB748D"/>
    <w:rsid w:val="00AB75B1"/>
    <w:rsid w:val="00AB75FF"/>
    <w:rsid w:val="00AB7B66"/>
    <w:rsid w:val="00AB7CFD"/>
    <w:rsid w:val="00AB7F11"/>
    <w:rsid w:val="00AC0228"/>
    <w:rsid w:val="00AC02C7"/>
    <w:rsid w:val="00AC052F"/>
    <w:rsid w:val="00AC06EA"/>
    <w:rsid w:val="00AC09D9"/>
    <w:rsid w:val="00AC0C83"/>
    <w:rsid w:val="00AC0CB9"/>
    <w:rsid w:val="00AC105D"/>
    <w:rsid w:val="00AC131B"/>
    <w:rsid w:val="00AC132A"/>
    <w:rsid w:val="00AC1571"/>
    <w:rsid w:val="00AC15F0"/>
    <w:rsid w:val="00AC1617"/>
    <w:rsid w:val="00AC182B"/>
    <w:rsid w:val="00AC1973"/>
    <w:rsid w:val="00AC1EE3"/>
    <w:rsid w:val="00AC2507"/>
    <w:rsid w:val="00AC28D0"/>
    <w:rsid w:val="00AC28EB"/>
    <w:rsid w:val="00AC2B86"/>
    <w:rsid w:val="00AC2BA2"/>
    <w:rsid w:val="00AC2BEE"/>
    <w:rsid w:val="00AC2EA2"/>
    <w:rsid w:val="00AC3086"/>
    <w:rsid w:val="00AC31E5"/>
    <w:rsid w:val="00AC31EA"/>
    <w:rsid w:val="00AC37BF"/>
    <w:rsid w:val="00AC3860"/>
    <w:rsid w:val="00AC39D5"/>
    <w:rsid w:val="00AC39FB"/>
    <w:rsid w:val="00AC3DF1"/>
    <w:rsid w:val="00AC3EB5"/>
    <w:rsid w:val="00AC3EE3"/>
    <w:rsid w:val="00AC3FDF"/>
    <w:rsid w:val="00AC40AF"/>
    <w:rsid w:val="00AC414E"/>
    <w:rsid w:val="00AC4599"/>
    <w:rsid w:val="00AC4B79"/>
    <w:rsid w:val="00AC4CA9"/>
    <w:rsid w:val="00AC4D07"/>
    <w:rsid w:val="00AC508D"/>
    <w:rsid w:val="00AC5232"/>
    <w:rsid w:val="00AC5356"/>
    <w:rsid w:val="00AC53A8"/>
    <w:rsid w:val="00AC56ED"/>
    <w:rsid w:val="00AC5B3B"/>
    <w:rsid w:val="00AC5E41"/>
    <w:rsid w:val="00AC60E6"/>
    <w:rsid w:val="00AC655D"/>
    <w:rsid w:val="00AC65F3"/>
    <w:rsid w:val="00AC66D6"/>
    <w:rsid w:val="00AC67A3"/>
    <w:rsid w:val="00AC6C5E"/>
    <w:rsid w:val="00AC6CFE"/>
    <w:rsid w:val="00AC6F22"/>
    <w:rsid w:val="00AC701C"/>
    <w:rsid w:val="00AC71F5"/>
    <w:rsid w:val="00AC7449"/>
    <w:rsid w:val="00AC786A"/>
    <w:rsid w:val="00AC7C2C"/>
    <w:rsid w:val="00AC7CDC"/>
    <w:rsid w:val="00AC7E8B"/>
    <w:rsid w:val="00AD0024"/>
    <w:rsid w:val="00AD009D"/>
    <w:rsid w:val="00AD0682"/>
    <w:rsid w:val="00AD0DAD"/>
    <w:rsid w:val="00AD0F74"/>
    <w:rsid w:val="00AD16A4"/>
    <w:rsid w:val="00AD18FD"/>
    <w:rsid w:val="00AD1934"/>
    <w:rsid w:val="00AD19CB"/>
    <w:rsid w:val="00AD1A33"/>
    <w:rsid w:val="00AD1D52"/>
    <w:rsid w:val="00AD1F92"/>
    <w:rsid w:val="00AD2211"/>
    <w:rsid w:val="00AD25CC"/>
    <w:rsid w:val="00AD2662"/>
    <w:rsid w:val="00AD2DD4"/>
    <w:rsid w:val="00AD2F5E"/>
    <w:rsid w:val="00AD30D1"/>
    <w:rsid w:val="00AD3512"/>
    <w:rsid w:val="00AD35C0"/>
    <w:rsid w:val="00AD35D5"/>
    <w:rsid w:val="00AD3993"/>
    <w:rsid w:val="00AD3BE6"/>
    <w:rsid w:val="00AD3C8C"/>
    <w:rsid w:val="00AD3EC3"/>
    <w:rsid w:val="00AD3FB2"/>
    <w:rsid w:val="00AD428A"/>
    <w:rsid w:val="00AD4380"/>
    <w:rsid w:val="00AD458F"/>
    <w:rsid w:val="00AD4941"/>
    <w:rsid w:val="00AD4FA2"/>
    <w:rsid w:val="00AD50F4"/>
    <w:rsid w:val="00AD564E"/>
    <w:rsid w:val="00AD5D7D"/>
    <w:rsid w:val="00AD5D87"/>
    <w:rsid w:val="00AD5F49"/>
    <w:rsid w:val="00AD5F99"/>
    <w:rsid w:val="00AD5FBF"/>
    <w:rsid w:val="00AD600A"/>
    <w:rsid w:val="00AD6021"/>
    <w:rsid w:val="00AD6081"/>
    <w:rsid w:val="00AD65E2"/>
    <w:rsid w:val="00AD6706"/>
    <w:rsid w:val="00AD68E1"/>
    <w:rsid w:val="00AD6B31"/>
    <w:rsid w:val="00AD714F"/>
    <w:rsid w:val="00AD72EE"/>
    <w:rsid w:val="00AD7365"/>
    <w:rsid w:val="00AD73FC"/>
    <w:rsid w:val="00AD7439"/>
    <w:rsid w:val="00AD7776"/>
    <w:rsid w:val="00AD7C10"/>
    <w:rsid w:val="00AD7C73"/>
    <w:rsid w:val="00AD7D62"/>
    <w:rsid w:val="00AD7DA5"/>
    <w:rsid w:val="00AD7DD1"/>
    <w:rsid w:val="00AD7F75"/>
    <w:rsid w:val="00AE0082"/>
    <w:rsid w:val="00AE06FD"/>
    <w:rsid w:val="00AE070B"/>
    <w:rsid w:val="00AE0968"/>
    <w:rsid w:val="00AE10AB"/>
    <w:rsid w:val="00AE1260"/>
    <w:rsid w:val="00AE1297"/>
    <w:rsid w:val="00AE142E"/>
    <w:rsid w:val="00AE15AF"/>
    <w:rsid w:val="00AE1B88"/>
    <w:rsid w:val="00AE1B8C"/>
    <w:rsid w:val="00AE1C4A"/>
    <w:rsid w:val="00AE1FE4"/>
    <w:rsid w:val="00AE20CE"/>
    <w:rsid w:val="00AE21F2"/>
    <w:rsid w:val="00AE237F"/>
    <w:rsid w:val="00AE243D"/>
    <w:rsid w:val="00AE269C"/>
    <w:rsid w:val="00AE282E"/>
    <w:rsid w:val="00AE2957"/>
    <w:rsid w:val="00AE2958"/>
    <w:rsid w:val="00AE2AE7"/>
    <w:rsid w:val="00AE34AB"/>
    <w:rsid w:val="00AE356F"/>
    <w:rsid w:val="00AE3692"/>
    <w:rsid w:val="00AE38D7"/>
    <w:rsid w:val="00AE3952"/>
    <w:rsid w:val="00AE395A"/>
    <w:rsid w:val="00AE3ABA"/>
    <w:rsid w:val="00AE3B9E"/>
    <w:rsid w:val="00AE3BA8"/>
    <w:rsid w:val="00AE3D46"/>
    <w:rsid w:val="00AE40CF"/>
    <w:rsid w:val="00AE414C"/>
    <w:rsid w:val="00AE41F6"/>
    <w:rsid w:val="00AE42E3"/>
    <w:rsid w:val="00AE43A7"/>
    <w:rsid w:val="00AE518C"/>
    <w:rsid w:val="00AE5364"/>
    <w:rsid w:val="00AE56BB"/>
    <w:rsid w:val="00AE5B86"/>
    <w:rsid w:val="00AE5BD2"/>
    <w:rsid w:val="00AE61B9"/>
    <w:rsid w:val="00AE6515"/>
    <w:rsid w:val="00AE6529"/>
    <w:rsid w:val="00AE6A21"/>
    <w:rsid w:val="00AE6A62"/>
    <w:rsid w:val="00AE6BD9"/>
    <w:rsid w:val="00AE6C21"/>
    <w:rsid w:val="00AE6D86"/>
    <w:rsid w:val="00AE6DB6"/>
    <w:rsid w:val="00AE7237"/>
    <w:rsid w:val="00AE73F1"/>
    <w:rsid w:val="00AE74D7"/>
    <w:rsid w:val="00AE764C"/>
    <w:rsid w:val="00AE780B"/>
    <w:rsid w:val="00AE78F5"/>
    <w:rsid w:val="00AE7FA7"/>
    <w:rsid w:val="00AF01A3"/>
    <w:rsid w:val="00AF0393"/>
    <w:rsid w:val="00AF0482"/>
    <w:rsid w:val="00AF0544"/>
    <w:rsid w:val="00AF0766"/>
    <w:rsid w:val="00AF0F05"/>
    <w:rsid w:val="00AF0FAF"/>
    <w:rsid w:val="00AF107C"/>
    <w:rsid w:val="00AF11D7"/>
    <w:rsid w:val="00AF1394"/>
    <w:rsid w:val="00AF14CB"/>
    <w:rsid w:val="00AF1519"/>
    <w:rsid w:val="00AF17DE"/>
    <w:rsid w:val="00AF1835"/>
    <w:rsid w:val="00AF1908"/>
    <w:rsid w:val="00AF1BFE"/>
    <w:rsid w:val="00AF2109"/>
    <w:rsid w:val="00AF258B"/>
    <w:rsid w:val="00AF28E3"/>
    <w:rsid w:val="00AF2DC8"/>
    <w:rsid w:val="00AF2FC5"/>
    <w:rsid w:val="00AF35B5"/>
    <w:rsid w:val="00AF36B9"/>
    <w:rsid w:val="00AF3801"/>
    <w:rsid w:val="00AF3C2F"/>
    <w:rsid w:val="00AF3D1A"/>
    <w:rsid w:val="00AF3D5D"/>
    <w:rsid w:val="00AF3EC8"/>
    <w:rsid w:val="00AF3FCB"/>
    <w:rsid w:val="00AF4100"/>
    <w:rsid w:val="00AF41F0"/>
    <w:rsid w:val="00AF4559"/>
    <w:rsid w:val="00AF45F8"/>
    <w:rsid w:val="00AF463E"/>
    <w:rsid w:val="00AF4655"/>
    <w:rsid w:val="00AF478C"/>
    <w:rsid w:val="00AF4936"/>
    <w:rsid w:val="00AF4CF8"/>
    <w:rsid w:val="00AF4E1E"/>
    <w:rsid w:val="00AF4EFD"/>
    <w:rsid w:val="00AF517B"/>
    <w:rsid w:val="00AF5311"/>
    <w:rsid w:val="00AF53A2"/>
    <w:rsid w:val="00AF59C8"/>
    <w:rsid w:val="00AF5C9E"/>
    <w:rsid w:val="00AF615F"/>
    <w:rsid w:val="00AF6660"/>
    <w:rsid w:val="00AF69BB"/>
    <w:rsid w:val="00AF6B53"/>
    <w:rsid w:val="00AF6DB1"/>
    <w:rsid w:val="00AF6F05"/>
    <w:rsid w:val="00AF70B2"/>
    <w:rsid w:val="00AF7137"/>
    <w:rsid w:val="00AF71C4"/>
    <w:rsid w:val="00AF74F6"/>
    <w:rsid w:val="00AF7585"/>
    <w:rsid w:val="00AF784C"/>
    <w:rsid w:val="00B00099"/>
    <w:rsid w:val="00B00188"/>
    <w:rsid w:val="00B001A3"/>
    <w:rsid w:val="00B00739"/>
    <w:rsid w:val="00B0075F"/>
    <w:rsid w:val="00B007F4"/>
    <w:rsid w:val="00B008DE"/>
    <w:rsid w:val="00B009A5"/>
    <w:rsid w:val="00B00D84"/>
    <w:rsid w:val="00B0102A"/>
    <w:rsid w:val="00B0166A"/>
    <w:rsid w:val="00B018ED"/>
    <w:rsid w:val="00B01A51"/>
    <w:rsid w:val="00B01C9B"/>
    <w:rsid w:val="00B01CA7"/>
    <w:rsid w:val="00B01CAF"/>
    <w:rsid w:val="00B01E78"/>
    <w:rsid w:val="00B01FA8"/>
    <w:rsid w:val="00B020ED"/>
    <w:rsid w:val="00B02870"/>
    <w:rsid w:val="00B02A4C"/>
    <w:rsid w:val="00B03097"/>
    <w:rsid w:val="00B0315F"/>
    <w:rsid w:val="00B03194"/>
    <w:rsid w:val="00B0360B"/>
    <w:rsid w:val="00B037F7"/>
    <w:rsid w:val="00B03954"/>
    <w:rsid w:val="00B03963"/>
    <w:rsid w:val="00B03A5A"/>
    <w:rsid w:val="00B03A7F"/>
    <w:rsid w:val="00B03CD9"/>
    <w:rsid w:val="00B040AD"/>
    <w:rsid w:val="00B042C7"/>
    <w:rsid w:val="00B04652"/>
    <w:rsid w:val="00B04749"/>
    <w:rsid w:val="00B04929"/>
    <w:rsid w:val="00B049A3"/>
    <w:rsid w:val="00B04D7D"/>
    <w:rsid w:val="00B04EAC"/>
    <w:rsid w:val="00B04F9F"/>
    <w:rsid w:val="00B05029"/>
    <w:rsid w:val="00B0549D"/>
    <w:rsid w:val="00B05A1D"/>
    <w:rsid w:val="00B05D06"/>
    <w:rsid w:val="00B05EE6"/>
    <w:rsid w:val="00B05FF0"/>
    <w:rsid w:val="00B06205"/>
    <w:rsid w:val="00B062A0"/>
    <w:rsid w:val="00B06536"/>
    <w:rsid w:val="00B06572"/>
    <w:rsid w:val="00B065C7"/>
    <w:rsid w:val="00B0669E"/>
    <w:rsid w:val="00B067B7"/>
    <w:rsid w:val="00B06A21"/>
    <w:rsid w:val="00B06A99"/>
    <w:rsid w:val="00B06AEB"/>
    <w:rsid w:val="00B06BF6"/>
    <w:rsid w:val="00B06F69"/>
    <w:rsid w:val="00B074BD"/>
    <w:rsid w:val="00B0761D"/>
    <w:rsid w:val="00B07764"/>
    <w:rsid w:val="00B07A3B"/>
    <w:rsid w:val="00B07AE9"/>
    <w:rsid w:val="00B07D79"/>
    <w:rsid w:val="00B104FF"/>
    <w:rsid w:val="00B1091F"/>
    <w:rsid w:val="00B10994"/>
    <w:rsid w:val="00B10E7B"/>
    <w:rsid w:val="00B10FC0"/>
    <w:rsid w:val="00B11069"/>
    <w:rsid w:val="00B1146F"/>
    <w:rsid w:val="00B114A3"/>
    <w:rsid w:val="00B117DB"/>
    <w:rsid w:val="00B11A04"/>
    <w:rsid w:val="00B11AE9"/>
    <w:rsid w:val="00B11BC7"/>
    <w:rsid w:val="00B11D7D"/>
    <w:rsid w:val="00B1238A"/>
    <w:rsid w:val="00B12684"/>
    <w:rsid w:val="00B126D3"/>
    <w:rsid w:val="00B12926"/>
    <w:rsid w:val="00B12999"/>
    <w:rsid w:val="00B129D5"/>
    <w:rsid w:val="00B12D86"/>
    <w:rsid w:val="00B13511"/>
    <w:rsid w:val="00B1380E"/>
    <w:rsid w:val="00B13A08"/>
    <w:rsid w:val="00B13A4A"/>
    <w:rsid w:val="00B13C2C"/>
    <w:rsid w:val="00B13CCD"/>
    <w:rsid w:val="00B13DC0"/>
    <w:rsid w:val="00B13F88"/>
    <w:rsid w:val="00B141A9"/>
    <w:rsid w:val="00B1467E"/>
    <w:rsid w:val="00B14B2D"/>
    <w:rsid w:val="00B14E91"/>
    <w:rsid w:val="00B150FE"/>
    <w:rsid w:val="00B15273"/>
    <w:rsid w:val="00B1575A"/>
    <w:rsid w:val="00B15885"/>
    <w:rsid w:val="00B160C3"/>
    <w:rsid w:val="00B164AA"/>
    <w:rsid w:val="00B1697E"/>
    <w:rsid w:val="00B16EE6"/>
    <w:rsid w:val="00B170C2"/>
    <w:rsid w:val="00B1793C"/>
    <w:rsid w:val="00B17B28"/>
    <w:rsid w:val="00B17B40"/>
    <w:rsid w:val="00B17D7A"/>
    <w:rsid w:val="00B20188"/>
    <w:rsid w:val="00B203F4"/>
    <w:rsid w:val="00B2076B"/>
    <w:rsid w:val="00B2085E"/>
    <w:rsid w:val="00B20A82"/>
    <w:rsid w:val="00B20B84"/>
    <w:rsid w:val="00B210AB"/>
    <w:rsid w:val="00B210CD"/>
    <w:rsid w:val="00B2113A"/>
    <w:rsid w:val="00B21190"/>
    <w:rsid w:val="00B211E9"/>
    <w:rsid w:val="00B21289"/>
    <w:rsid w:val="00B21337"/>
    <w:rsid w:val="00B215E7"/>
    <w:rsid w:val="00B2173D"/>
    <w:rsid w:val="00B21A51"/>
    <w:rsid w:val="00B21CCE"/>
    <w:rsid w:val="00B22286"/>
    <w:rsid w:val="00B223B0"/>
    <w:rsid w:val="00B22A6B"/>
    <w:rsid w:val="00B232B4"/>
    <w:rsid w:val="00B233F6"/>
    <w:rsid w:val="00B2343D"/>
    <w:rsid w:val="00B23466"/>
    <w:rsid w:val="00B23536"/>
    <w:rsid w:val="00B236A0"/>
    <w:rsid w:val="00B239CF"/>
    <w:rsid w:val="00B23B0D"/>
    <w:rsid w:val="00B23C06"/>
    <w:rsid w:val="00B23FFB"/>
    <w:rsid w:val="00B241CB"/>
    <w:rsid w:val="00B2433B"/>
    <w:rsid w:val="00B24602"/>
    <w:rsid w:val="00B24641"/>
    <w:rsid w:val="00B249C8"/>
    <w:rsid w:val="00B24BC9"/>
    <w:rsid w:val="00B24EF5"/>
    <w:rsid w:val="00B252D8"/>
    <w:rsid w:val="00B2544F"/>
    <w:rsid w:val="00B2584C"/>
    <w:rsid w:val="00B2589F"/>
    <w:rsid w:val="00B25D48"/>
    <w:rsid w:val="00B25F0C"/>
    <w:rsid w:val="00B2617F"/>
    <w:rsid w:val="00B262FA"/>
    <w:rsid w:val="00B26499"/>
    <w:rsid w:val="00B264E7"/>
    <w:rsid w:val="00B265E2"/>
    <w:rsid w:val="00B266EB"/>
    <w:rsid w:val="00B2687B"/>
    <w:rsid w:val="00B26A3A"/>
    <w:rsid w:val="00B26D0A"/>
    <w:rsid w:val="00B26D8D"/>
    <w:rsid w:val="00B26EC9"/>
    <w:rsid w:val="00B26EF8"/>
    <w:rsid w:val="00B26F41"/>
    <w:rsid w:val="00B270D7"/>
    <w:rsid w:val="00B27185"/>
    <w:rsid w:val="00B276BC"/>
    <w:rsid w:val="00B27A22"/>
    <w:rsid w:val="00B30048"/>
    <w:rsid w:val="00B30074"/>
    <w:rsid w:val="00B304EE"/>
    <w:rsid w:val="00B3067A"/>
    <w:rsid w:val="00B30F6E"/>
    <w:rsid w:val="00B30FFE"/>
    <w:rsid w:val="00B31B32"/>
    <w:rsid w:val="00B3210B"/>
    <w:rsid w:val="00B32243"/>
    <w:rsid w:val="00B3232E"/>
    <w:rsid w:val="00B323FD"/>
    <w:rsid w:val="00B3283A"/>
    <w:rsid w:val="00B32DC4"/>
    <w:rsid w:val="00B32EC5"/>
    <w:rsid w:val="00B33347"/>
    <w:rsid w:val="00B33751"/>
    <w:rsid w:val="00B33795"/>
    <w:rsid w:val="00B33817"/>
    <w:rsid w:val="00B33CDB"/>
    <w:rsid w:val="00B33D23"/>
    <w:rsid w:val="00B33F64"/>
    <w:rsid w:val="00B34377"/>
    <w:rsid w:val="00B344E0"/>
    <w:rsid w:val="00B3469B"/>
    <w:rsid w:val="00B34795"/>
    <w:rsid w:val="00B349E6"/>
    <w:rsid w:val="00B34E10"/>
    <w:rsid w:val="00B34EF7"/>
    <w:rsid w:val="00B34F91"/>
    <w:rsid w:val="00B3509D"/>
    <w:rsid w:val="00B35285"/>
    <w:rsid w:val="00B355F6"/>
    <w:rsid w:val="00B35612"/>
    <w:rsid w:val="00B35B82"/>
    <w:rsid w:val="00B35D68"/>
    <w:rsid w:val="00B36469"/>
    <w:rsid w:val="00B3648A"/>
    <w:rsid w:val="00B365E2"/>
    <w:rsid w:val="00B36D4B"/>
    <w:rsid w:val="00B36FC4"/>
    <w:rsid w:val="00B374DB"/>
    <w:rsid w:val="00B37FE7"/>
    <w:rsid w:val="00B400BD"/>
    <w:rsid w:val="00B400F3"/>
    <w:rsid w:val="00B401A9"/>
    <w:rsid w:val="00B404B2"/>
    <w:rsid w:val="00B40612"/>
    <w:rsid w:val="00B40BA7"/>
    <w:rsid w:val="00B40CFB"/>
    <w:rsid w:val="00B40D5E"/>
    <w:rsid w:val="00B4176B"/>
    <w:rsid w:val="00B41BBD"/>
    <w:rsid w:val="00B42218"/>
    <w:rsid w:val="00B42254"/>
    <w:rsid w:val="00B423F9"/>
    <w:rsid w:val="00B4245E"/>
    <w:rsid w:val="00B426B0"/>
    <w:rsid w:val="00B429C1"/>
    <w:rsid w:val="00B42D20"/>
    <w:rsid w:val="00B42F22"/>
    <w:rsid w:val="00B433EF"/>
    <w:rsid w:val="00B4361D"/>
    <w:rsid w:val="00B439DA"/>
    <w:rsid w:val="00B43B4A"/>
    <w:rsid w:val="00B43CA3"/>
    <w:rsid w:val="00B43D0F"/>
    <w:rsid w:val="00B443DB"/>
    <w:rsid w:val="00B4496F"/>
    <w:rsid w:val="00B44AA8"/>
    <w:rsid w:val="00B44C8C"/>
    <w:rsid w:val="00B45168"/>
    <w:rsid w:val="00B45171"/>
    <w:rsid w:val="00B452F8"/>
    <w:rsid w:val="00B45773"/>
    <w:rsid w:val="00B45966"/>
    <w:rsid w:val="00B45A1E"/>
    <w:rsid w:val="00B45C2A"/>
    <w:rsid w:val="00B45CC1"/>
    <w:rsid w:val="00B45E70"/>
    <w:rsid w:val="00B45EA7"/>
    <w:rsid w:val="00B46066"/>
    <w:rsid w:val="00B46373"/>
    <w:rsid w:val="00B465D4"/>
    <w:rsid w:val="00B46911"/>
    <w:rsid w:val="00B46B05"/>
    <w:rsid w:val="00B46C88"/>
    <w:rsid w:val="00B46DA2"/>
    <w:rsid w:val="00B470EE"/>
    <w:rsid w:val="00B475A6"/>
    <w:rsid w:val="00B47A3D"/>
    <w:rsid w:val="00B47CF1"/>
    <w:rsid w:val="00B50440"/>
    <w:rsid w:val="00B50539"/>
    <w:rsid w:val="00B506AD"/>
    <w:rsid w:val="00B50834"/>
    <w:rsid w:val="00B50C2F"/>
    <w:rsid w:val="00B50EB6"/>
    <w:rsid w:val="00B50F2F"/>
    <w:rsid w:val="00B5142A"/>
    <w:rsid w:val="00B51473"/>
    <w:rsid w:val="00B51721"/>
    <w:rsid w:val="00B51A1B"/>
    <w:rsid w:val="00B51CCC"/>
    <w:rsid w:val="00B51ED8"/>
    <w:rsid w:val="00B51F5E"/>
    <w:rsid w:val="00B52534"/>
    <w:rsid w:val="00B525D8"/>
    <w:rsid w:val="00B529AF"/>
    <w:rsid w:val="00B52E11"/>
    <w:rsid w:val="00B5306E"/>
    <w:rsid w:val="00B53256"/>
    <w:rsid w:val="00B53296"/>
    <w:rsid w:val="00B533F6"/>
    <w:rsid w:val="00B5360C"/>
    <w:rsid w:val="00B539B1"/>
    <w:rsid w:val="00B53CA8"/>
    <w:rsid w:val="00B53D76"/>
    <w:rsid w:val="00B53DE9"/>
    <w:rsid w:val="00B53E1B"/>
    <w:rsid w:val="00B54112"/>
    <w:rsid w:val="00B54267"/>
    <w:rsid w:val="00B54333"/>
    <w:rsid w:val="00B5438E"/>
    <w:rsid w:val="00B543ED"/>
    <w:rsid w:val="00B54486"/>
    <w:rsid w:val="00B54979"/>
    <w:rsid w:val="00B54AB4"/>
    <w:rsid w:val="00B54B7E"/>
    <w:rsid w:val="00B55387"/>
    <w:rsid w:val="00B554D1"/>
    <w:rsid w:val="00B55B0B"/>
    <w:rsid w:val="00B55CBA"/>
    <w:rsid w:val="00B55EF8"/>
    <w:rsid w:val="00B55F45"/>
    <w:rsid w:val="00B563FC"/>
    <w:rsid w:val="00B56723"/>
    <w:rsid w:val="00B56DB0"/>
    <w:rsid w:val="00B56F74"/>
    <w:rsid w:val="00B57266"/>
    <w:rsid w:val="00B57311"/>
    <w:rsid w:val="00B573B5"/>
    <w:rsid w:val="00B5761C"/>
    <w:rsid w:val="00B57DC4"/>
    <w:rsid w:val="00B57DF8"/>
    <w:rsid w:val="00B601AE"/>
    <w:rsid w:val="00B603AF"/>
    <w:rsid w:val="00B603BB"/>
    <w:rsid w:val="00B60499"/>
    <w:rsid w:val="00B606BE"/>
    <w:rsid w:val="00B608E7"/>
    <w:rsid w:val="00B60AA8"/>
    <w:rsid w:val="00B60F09"/>
    <w:rsid w:val="00B6125F"/>
    <w:rsid w:val="00B6132D"/>
    <w:rsid w:val="00B613A1"/>
    <w:rsid w:val="00B613A4"/>
    <w:rsid w:val="00B615FE"/>
    <w:rsid w:val="00B619B8"/>
    <w:rsid w:val="00B61E56"/>
    <w:rsid w:val="00B621B8"/>
    <w:rsid w:val="00B622F1"/>
    <w:rsid w:val="00B62700"/>
    <w:rsid w:val="00B628ED"/>
    <w:rsid w:val="00B62A9B"/>
    <w:rsid w:val="00B62AA9"/>
    <w:rsid w:val="00B62D7A"/>
    <w:rsid w:val="00B62D9E"/>
    <w:rsid w:val="00B63269"/>
    <w:rsid w:val="00B6354A"/>
    <w:rsid w:val="00B63609"/>
    <w:rsid w:val="00B63C37"/>
    <w:rsid w:val="00B63C8D"/>
    <w:rsid w:val="00B64293"/>
    <w:rsid w:val="00B64734"/>
    <w:rsid w:val="00B64D95"/>
    <w:rsid w:val="00B64DB1"/>
    <w:rsid w:val="00B65432"/>
    <w:rsid w:val="00B65884"/>
    <w:rsid w:val="00B65AD0"/>
    <w:rsid w:val="00B65BDC"/>
    <w:rsid w:val="00B65C7B"/>
    <w:rsid w:val="00B65CCA"/>
    <w:rsid w:val="00B65E93"/>
    <w:rsid w:val="00B66192"/>
    <w:rsid w:val="00B661DB"/>
    <w:rsid w:val="00B661DF"/>
    <w:rsid w:val="00B662CD"/>
    <w:rsid w:val="00B66553"/>
    <w:rsid w:val="00B66805"/>
    <w:rsid w:val="00B66A84"/>
    <w:rsid w:val="00B66D2B"/>
    <w:rsid w:val="00B66E76"/>
    <w:rsid w:val="00B66F00"/>
    <w:rsid w:val="00B673F2"/>
    <w:rsid w:val="00B67617"/>
    <w:rsid w:val="00B67680"/>
    <w:rsid w:val="00B67928"/>
    <w:rsid w:val="00B704F8"/>
    <w:rsid w:val="00B707C6"/>
    <w:rsid w:val="00B70C6F"/>
    <w:rsid w:val="00B70E21"/>
    <w:rsid w:val="00B70E7D"/>
    <w:rsid w:val="00B70ED3"/>
    <w:rsid w:val="00B71233"/>
    <w:rsid w:val="00B71268"/>
    <w:rsid w:val="00B71351"/>
    <w:rsid w:val="00B71995"/>
    <w:rsid w:val="00B71B2A"/>
    <w:rsid w:val="00B71CA7"/>
    <w:rsid w:val="00B71CC3"/>
    <w:rsid w:val="00B71D18"/>
    <w:rsid w:val="00B71D8B"/>
    <w:rsid w:val="00B72112"/>
    <w:rsid w:val="00B7211C"/>
    <w:rsid w:val="00B7215E"/>
    <w:rsid w:val="00B726B0"/>
    <w:rsid w:val="00B72B94"/>
    <w:rsid w:val="00B72BAE"/>
    <w:rsid w:val="00B72CC2"/>
    <w:rsid w:val="00B72D47"/>
    <w:rsid w:val="00B7324A"/>
    <w:rsid w:val="00B73273"/>
    <w:rsid w:val="00B7337B"/>
    <w:rsid w:val="00B73580"/>
    <w:rsid w:val="00B7384F"/>
    <w:rsid w:val="00B73BAC"/>
    <w:rsid w:val="00B73E10"/>
    <w:rsid w:val="00B7402C"/>
    <w:rsid w:val="00B74277"/>
    <w:rsid w:val="00B74545"/>
    <w:rsid w:val="00B74677"/>
    <w:rsid w:val="00B749FE"/>
    <w:rsid w:val="00B74E0D"/>
    <w:rsid w:val="00B750EC"/>
    <w:rsid w:val="00B752D9"/>
    <w:rsid w:val="00B755B3"/>
    <w:rsid w:val="00B756B1"/>
    <w:rsid w:val="00B75714"/>
    <w:rsid w:val="00B75838"/>
    <w:rsid w:val="00B75B9A"/>
    <w:rsid w:val="00B75D87"/>
    <w:rsid w:val="00B765DE"/>
    <w:rsid w:val="00B76BD3"/>
    <w:rsid w:val="00B76CDE"/>
    <w:rsid w:val="00B76CFF"/>
    <w:rsid w:val="00B76ED5"/>
    <w:rsid w:val="00B772B7"/>
    <w:rsid w:val="00B7766F"/>
    <w:rsid w:val="00B77BCF"/>
    <w:rsid w:val="00B77C4C"/>
    <w:rsid w:val="00B80129"/>
    <w:rsid w:val="00B80270"/>
    <w:rsid w:val="00B807CF"/>
    <w:rsid w:val="00B80902"/>
    <w:rsid w:val="00B8095C"/>
    <w:rsid w:val="00B80F65"/>
    <w:rsid w:val="00B810E1"/>
    <w:rsid w:val="00B813B9"/>
    <w:rsid w:val="00B81D87"/>
    <w:rsid w:val="00B82070"/>
    <w:rsid w:val="00B8211F"/>
    <w:rsid w:val="00B82565"/>
    <w:rsid w:val="00B82893"/>
    <w:rsid w:val="00B82D42"/>
    <w:rsid w:val="00B82E69"/>
    <w:rsid w:val="00B832B2"/>
    <w:rsid w:val="00B833DD"/>
    <w:rsid w:val="00B8370D"/>
    <w:rsid w:val="00B8385B"/>
    <w:rsid w:val="00B83C83"/>
    <w:rsid w:val="00B83DEC"/>
    <w:rsid w:val="00B8404C"/>
    <w:rsid w:val="00B840B8"/>
    <w:rsid w:val="00B84AB5"/>
    <w:rsid w:val="00B84DA6"/>
    <w:rsid w:val="00B84F1B"/>
    <w:rsid w:val="00B85157"/>
    <w:rsid w:val="00B85183"/>
    <w:rsid w:val="00B851CE"/>
    <w:rsid w:val="00B85275"/>
    <w:rsid w:val="00B85978"/>
    <w:rsid w:val="00B85B41"/>
    <w:rsid w:val="00B85C8A"/>
    <w:rsid w:val="00B863B9"/>
    <w:rsid w:val="00B86512"/>
    <w:rsid w:val="00B86CB1"/>
    <w:rsid w:val="00B86D34"/>
    <w:rsid w:val="00B86DCA"/>
    <w:rsid w:val="00B871BF"/>
    <w:rsid w:val="00B879B2"/>
    <w:rsid w:val="00B87A04"/>
    <w:rsid w:val="00B9041B"/>
    <w:rsid w:val="00B90652"/>
    <w:rsid w:val="00B9065B"/>
    <w:rsid w:val="00B909AD"/>
    <w:rsid w:val="00B90CE1"/>
    <w:rsid w:val="00B9134A"/>
    <w:rsid w:val="00B914CD"/>
    <w:rsid w:val="00B91B1B"/>
    <w:rsid w:val="00B91C8A"/>
    <w:rsid w:val="00B91D71"/>
    <w:rsid w:val="00B91E1E"/>
    <w:rsid w:val="00B92037"/>
    <w:rsid w:val="00B920A2"/>
    <w:rsid w:val="00B92276"/>
    <w:rsid w:val="00B92455"/>
    <w:rsid w:val="00B92683"/>
    <w:rsid w:val="00B92C59"/>
    <w:rsid w:val="00B92C8D"/>
    <w:rsid w:val="00B92E08"/>
    <w:rsid w:val="00B92ED3"/>
    <w:rsid w:val="00B92F87"/>
    <w:rsid w:val="00B92F8E"/>
    <w:rsid w:val="00B932D3"/>
    <w:rsid w:val="00B932FA"/>
    <w:rsid w:val="00B93441"/>
    <w:rsid w:val="00B9365F"/>
    <w:rsid w:val="00B93A85"/>
    <w:rsid w:val="00B93ABD"/>
    <w:rsid w:val="00B9411E"/>
    <w:rsid w:val="00B94212"/>
    <w:rsid w:val="00B945F0"/>
    <w:rsid w:val="00B947C9"/>
    <w:rsid w:val="00B94A26"/>
    <w:rsid w:val="00B94BB3"/>
    <w:rsid w:val="00B94D0A"/>
    <w:rsid w:val="00B94F42"/>
    <w:rsid w:val="00B95036"/>
    <w:rsid w:val="00B95161"/>
    <w:rsid w:val="00B9574B"/>
    <w:rsid w:val="00B95C1F"/>
    <w:rsid w:val="00B95FF2"/>
    <w:rsid w:val="00B9616B"/>
    <w:rsid w:val="00B96962"/>
    <w:rsid w:val="00B971BB"/>
    <w:rsid w:val="00B977CE"/>
    <w:rsid w:val="00B97A8D"/>
    <w:rsid w:val="00B97D2F"/>
    <w:rsid w:val="00BA005C"/>
    <w:rsid w:val="00BA0134"/>
    <w:rsid w:val="00BA02E9"/>
    <w:rsid w:val="00BA0576"/>
    <w:rsid w:val="00BA065A"/>
    <w:rsid w:val="00BA0A1C"/>
    <w:rsid w:val="00BA0A58"/>
    <w:rsid w:val="00BA0AFC"/>
    <w:rsid w:val="00BA0CD1"/>
    <w:rsid w:val="00BA0D8E"/>
    <w:rsid w:val="00BA0EB9"/>
    <w:rsid w:val="00BA0ED8"/>
    <w:rsid w:val="00BA0F01"/>
    <w:rsid w:val="00BA0F69"/>
    <w:rsid w:val="00BA10C0"/>
    <w:rsid w:val="00BA11DD"/>
    <w:rsid w:val="00BA1619"/>
    <w:rsid w:val="00BA1686"/>
    <w:rsid w:val="00BA18BB"/>
    <w:rsid w:val="00BA1901"/>
    <w:rsid w:val="00BA195B"/>
    <w:rsid w:val="00BA1C8B"/>
    <w:rsid w:val="00BA1E40"/>
    <w:rsid w:val="00BA20AD"/>
    <w:rsid w:val="00BA20BE"/>
    <w:rsid w:val="00BA2B0B"/>
    <w:rsid w:val="00BA2C45"/>
    <w:rsid w:val="00BA2EEC"/>
    <w:rsid w:val="00BA33C5"/>
    <w:rsid w:val="00BA3619"/>
    <w:rsid w:val="00BA36DD"/>
    <w:rsid w:val="00BA370E"/>
    <w:rsid w:val="00BA386A"/>
    <w:rsid w:val="00BA3A58"/>
    <w:rsid w:val="00BA3AB6"/>
    <w:rsid w:val="00BA400D"/>
    <w:rsid w:val="00BA4315"/>
    <w:rsid w:val="00BA4359"/>
    <w:rsid w:val="00BA44B2"/>
    <w:rsid w:val="00BA4659"/>
    <w:rsid w:val="00BA4677"/>
    <w:rsid w:val="00BA46D0"/>
    <w:rsid w:val="00BA4C32"/>
    <w:rsid w:val="00BA5073"/>
    <w:rsid w:val="00BA52BB"/>
    <w:rsid w:val="00BA52F5"/>
    <w:rsid w:val="00BA5401"/>
    <w:rsid w:val="00BA58B9"/>
    <w:rsid w:val="00BA5B23"/>
    <w:rsid w:val="00BA5E2E"/>
    <w:rsid w:val="00BA5FEC"/>
    <w:rsid w:val="00BA6280"/>
    <w:rsid w:val="00BA6465"/>
    <w:rsid w:val="00BA68F6"/>
    <w:rsid w:val="00BA6909"/>
    <w:rsid w:val="00BA6926"/>
    <w:rsid w:val="00BA6DE3"/>
    <w:rsid w:val="00BA6F61"/>
    <w:rsid w:val="00BA73FF"/>
    <w:rsid w:val="00BA751D"/>
    <w:rsid w:val="00BA7E35"/>
    <w:rsid w:val="00BA7E8A"/>
    <w:rsid w:val="00BB002C"/>
    <w:rsid w:val="00BB042E"/>
    <w:rsid w:val="00BB053B"/>
    <w:rsid w:val="00BB0672"/>
    <w:rsid w:val="00BB07A5"/>
    <w:rsid w:val="00BB08A5"/>
    <w:rsid w:val="00BB0A53"/>
    <w:rsid w:val="00BB0C65"/>
    <w:rsid w:val="00BB0DA1"/>
    <w:rsid w:val="00BB110C"/>
    <w:rsid w:val="00BB11EB"/>
    <w:rsid w:val="00BB11EF"/>
    <w:rsid w:val="00BB1289"/>
    <w:rsid w:val="00BB1612"/>
    <w:rsid w:val="00BB16BF"/>
    <w:rsid w:val="00BB1909"/>
    <w:rsid w:val="00BB1AC2"/>
    <w:rsid w:val="00BB1C06"/>
    <w:rsid w:val="00BB1E16"/>
    <w:rsid w:val="00BB1E3A"/>
    <w:rsid w:val="00BB2238"/>
    <w:rsid w:val="00BB227E"/>
    <w:rsid w:val="00BB258D"/>
    <w:rsid w:val="00BB25C7"/>
    <w:rsid w:val="00BB2771"/>
    <w:rsid w:val="00BB2A7F"/>
    <w:rsid w:val="00BB2AD0"/>
    <w:rsid w:val="00BB2C41"/>
    <w:rsid w:val="00BB2E05"/>
    <w:rsid w:val="00BB308B"/>
    <w:rsid w:val="00BB319E"/>
    <w:rsid w:val="00BB33DD"/>
    <w:rsid w:val="00BB3A46"/>
    <w:rsid w:val="00BB3A7B"/>
    <w:rsid w:val="00BB3B31"/>
    <w:rsid w:val="00BB3B5A"/>
    <w:rsid w:val="00BB3D34"/>
    <w:rsid w:val="00BB40F7"/>
    <w:rsid w:val="00BB4339"/>
    <w:rsid w:val="00BB43EE"/>
    <w:rsid w:val="00BB43FC"/>
    <w:rsid w:val="00BB442B"/>
    <w:rsid w:val="00BB446B"/>
    <w:rsid w:val="00BB44C6"/>
    <w:rsid w:val="00BB453C"/>
    <w:rsid w:val="00BB4694"/>
    <w:rsid w:val="00BB46BF"/>
    <w:rsid w:val="00BB48C8"/>
    <w:rsid w:val="00BB503F"/>
    <w:rsid w:val="00BB53F8"/>
    <w:rsid w:val="00BB5544"/>
    <w:rsid w:val="00BB5A17"/>
    <w:rsid w:val="00BB6013"/>
    <w:rsid w:val="00BB613F"/>
    <w:rsid w:val="00BB64AA"/>
    <w:rsid w:val="00BB6717"/>
    <w:rsid w:val="00BB6DDA"/>
    <w:rsid w:val="00BB7182"/>
    <w:rsid w:val="00BB7846"/>
    <w:rsid w:val="00BB7969"/>
    <w:rsid w:val="00BB7A75"/>
    <w:rsid w:val="00BB7AD3"/>
    <w:rsid w:val="00BB7CFB"/>
    <w:rsid w:val="00BC021D"/>
    <w:rsid w:val="00BC025E"/>
    <w:rsid w:val="00BC0360"/>
    <w:rsid w:val="00BC056A"/>
    <w:rsid w:val="00BC0739"/>
    <w:rsid w:val="00BC0A31"/>
    <w:rsid w:val="00BC0B25"/>
    <w:rsid w:val="00BC0D3F"/>
    <w:rsid w:val="00BC108A"/>
    <w:rsid w:val="00BC11ED"/>
    <w:rsid w:val="00BC16A2"/>
    <w:rsid w:val="00BC16A5"/>
    <w:rsid w:val="00BC1CC0"/>
    <w:rsid w:val="00BC1EEF"/>
    <w:rsid w:val="00BC1F29"/>
    <w:rsid w:val="00BC2436"/>
    <w:rsid w:val="00BC2A3A"/>
    <w:rsid w:val="00BC2D57"/>
    <w:rsid w:val="00BC2E54"/>
    <w:rsid w:val="00BC340C"/>
    <w:rsid w:val="00BC359A"/>
    <w:rsid w:val="00BC373A"/>
    <w:rsid w:val="00BC37B6"/>
    <w:rsid w:val="00BC3849"/>
    <w:rsid w:val="00BC38C1"/>
    <w:rsid w:val="00BC3D35"/>
    <w:rsid w:val="00BC3DBB"/>
    <w:rsid w:val="00BC41B3"/>
    <w:rsid w:val="00BC4253"/>
    <w:rsid w:val="00BC4552"/>
    <w:rsid w:val="00BC4C05"/>
    <w:rsid w:val="00BC4FC2"/>
    <w:rsid w:val="00BC508E"/>
    <w:rsid w:val="00BC50F1"/>
    <w:rsid w:val="00BC5439"/>
    <w:rsid w:val="00BC576D"/>
    <w:rsid w:val="00BC58CE"/>
    <w:rsid w:val="00BC5A7A"/>
    <w:rsid w:val="00BC5D20"/>
    <w:rsid w:val="00BC65FB"/>
    <w:rsid w:val="00BC66C9"/>
    <w:rsid w:val="00BC6A54"/>
    <w:rsid w:val="00BC6ACF"/>
    <w:rsid w:val="00BC6B82"/>
    <w:rsid w:val="00BC6BB9"/>
    <w:rsid w:val="00BC6E19"/>
    <w:rsid w:val="00BC761D"/>
    <w:rsid w:val="00BC7CCD"/>
    <w:rsid w:val="00BD0011"/>
    <w:rsid w:val="00BD03EA"/>
    <w:rsid w:val="00BD0B7F"/>
    <w:rsid w:val="00BD1233"/>
    <w:rsid w:val="00BD127E"/>
    <w:rsid w:val="00BD14FA"/>
    <w:rsid w:val="00BD161E"/>
    <w:rsid w:val="00BD1A42"/>
    <w:rsid w:val="00BD1B3D"/>
    <w:rsid w:val="00BD1C3A"/>
    <w:rsid w:val="00BD1C86"/>
    <w:rsid w:val="00BD213C"/>
    <w:rsid w:val="00BD21FC"/>
    <w:rsid w:val="00BD2225"/>
    <w:rsid w:val="00BD246E"/>
    <w:rsid w:val="00BD26E1"/>
    <w:rsid w:val="00BD27B2"/>
    <w:rsid w:val="00BD296E"/>
    <w:rsid w:val="00BD29CB"/>
    <w:rsid w:val="00BD362A"/>
    <w:rsid w:val="00BD37B4"/>
    <w:rsid w:val="00BD3823"/>
    <w:rsid w:val="00BD3993"/>
    <w:rsid w:val="00BD44BB"/>
    <w:rsid w:val="00BD454D"/>
    <w:rsid w:val="00BD475E"/>
    <w:rsid w:val="00BD4A4C"/>
    <w:rsid w:val="00BD4D0E"/>
    <w:rsid w:val="00BD4F2D"/>
    <w:rsid w:val="00BD52CF"/>
    <w:rsid w:val="00BD53AA"/>
    <w:rsid w:val="00BD55E5"/>
    <w:rsid w:val="00BD5666"/>
    <w:rsid w:val="00BD56AF"/>
    <w:rsid w:val="00BD5972"/>
    <w:rsid w:val="00BD5B86"/>
    <w:rsid w:val="00BD5CE6"/>
    <w:rsid w:val="00BD5FAF"/>
    <w:rsid w:val="00BD61D7"/>
    <w:rsid w:val="00BD6855"/>
    <w:rsid w:val="00BD6BEC"/>
    <w:rsid w:val="00BD6CE5"/>
    <w:rsid w:val="00BD6D59"/>
    <w:rsid w:val="00BD6DAE"/>
    <w:rsid w:val="00BD6E59"/>
    <w:rsid w:val="00BD6F8C"/>
    <w:rsid w:val="00BD71F1"/>
    <w:rsid w:val="00BD7356"/>
    <w:rsid w:val="00BD7765"/>
    <w:rsid w:val="00BD79F6"/>
    <w:rsid w:val="00BD7B25"/>
    <w:rsid w:val="00BD7D51"/>
    <w:rsid w:val="00BD7EFB"/>
    <w:rsid w:val="00BE0373"/>
    <w:rsid w:val="00BE044D"/>
    <w:rsid w:val="00BE044E"/>
    <w:rsid w:val="00BE06B0"/>
    <w:rsid w:val="00BE08E4"/>
    <w:rsid w:val="00BE0D16"/>
    <w:rsid w:val="00BE1195"/>
    <w:rsid w:val="00BE12F2"/>
    <w:rsid w:val="00BE14AD"/>
    <w:rsid w:val="00BE16A8"/>
    <w:rsid w:val="00BE1C18"/>
    <w:rsid w:val="00BE1DF2"/>
    <w:rsid w:val="00BE1E6F"/>
    <w:rsid w:val="00BE2080"/>
    <w:rsid w:val="00BE2121"/>
    <w:rsid w:val="00BE25E5"/>
    <w:rsid w:val="00BE295B"/>
    <w:rsid w:val="00BE2B91"/>
    <w:rsid w:val="00BE2D25"/>
    <w:rsid w:val="00BE2DD2"/>
    <w:rsid w:val="00BE2FE1"/>
    <w:rsid w:val="00BE3491"/>
    <w:rsid w:val="00BE3797"/>
    <w:rsid w:val="00BE398F"/>
    <w:rsid w:val="00BE3BB4"/>
    <w:rsid w:val="00BE3EBB"/>
    <w:rsid w:val="00BE4050"/>
    <w:rsid w:val="00BE40C2"/>
    <w:rsid w:val="00BE41E2"/>
    <w:rsid w:val="00BE42B6"/>
    <w:rsid w:val="00BE4376"/>
    <w:rsid w:val="00BE4708"/>
    <w:rsid w:val="00BE4791"/>
    <w:rsid w:val="00BE479C"/>
    <w:rsid w:val="00BE48F5"/>
    <w:rsid w:val="00BE4E1E"/>
    <w:rsid w:val="00BE4FB2"/>
    <w:rsid w:val="00BE5298"/>
    <w:rsid w:val="00BE53CA"/>
    <w:rsid w:val="00BE53EA"/>
    <w:rsid w:val="00BE557B"/>
    <w:rsid w:val="00BE58A0"/>
    <w:rsid w:val="00BE5A18"/>
    <w:rsid w:val="00BE5A59"/>
    <w:rsid w:val="00BE5C89"/>
    <w:rsid w:val="00BE646F"/>
    <w:rsid w:val="00BE65EF"/>
    <w:rsid w:val="00BE65F9"/>
    <w:rsid w:val="00BE6941"/>
    <w:rsid w:val="00BE6B12"/>
    <w:rsid w:val="00BE6C60"/>
    <w:rsid w:val="00BE6F87"/>
    <w:rsid w:val="00BE7095"/>
    <w:rsid w:val="00BE75C2"/>
    <w:rsid w:val="00BE7876"/>
    <w:rsid w:val="00BE7915"/>
    <w:rsid w:val="00BE7946"/>
    <w:rsid w:val="00BE794A"/>
    <w:rsid w:val="00BE799B"/>
    <w:rsid w:val="00BE7CF5"/>
    <w:rsid w:val="00BE7DF5"/>
    <w:rsid w:val="00BF023F"/>
    <w:rsid w:val="00BF03F6"/>
    <w:rsid w:val="00BF053A"/>
    <w:rsid w:val="00BF05EF"/>
    <w:rsid w:val="00BF07D8"/>
    <w:rsid w:val="00BF09E2"/>
    <w:rsid w:val="00BF0B40"/>
    <w:rsid w:val="00BF0C46"/>
    <w:rsid w:val="00BF0EF8"/>
    <w:rsid w:val="00BF10C4"/>
    <w:rsid w:val="00BF1297"/>
    <w:rsid w:val="00BF14E7"/>
    <w:rsid w:val="00BF1822"/>
    <w:rsid w:val="00BF1AB5"/>
    <w:rsid w:val="00BF1B28"/>
    <w:rsid w:val="00BF1D37"/>
    <w:rsid w:val="00BF1DCD"/>
    <w:rsid w:val="00BF1E90"/>
    <w:rsid w:val="00BF2045"/>
    <w:rsid w:val="00BF25A5"/>
    <w:rsid w:val="00BF2699"/>
    <w:rsid w:val="00BF2D01"/>
    <w:rsid w:val="00BF2DE0"/>
    <w:rsid w:val="00BF3701"/>
    <w:rsid w:val="00BF37D2"/>
    <w:rsid w:val="00BF3812"/>
    <w:rsid w:val="00BF3C3B"/>
    <w:rsid w:val="00BF3DBF"/>
    <w:rsid w:val="00BF3E48"/>
    <w:rsid w:val="00BF417D"/>
    <w:rsid w:val="00BF44EE"/>
    <w:rsid w:val="00BF4629"/>
    <w:rsid w:val="00BF4710"/>
    <w:rsid w:val="00BF4810"/>
    <w:rsid w:val="00BF4879"/>
    <w:rsid w:val="00BF48CD"/>
    <w:rsid w:val="00BF495A"/>
    <w:rsid w:val="00BF4F2E"/>
    <w:rsid w:val="00BF55AD"/>
    <w:rsid w:val="00BF5629"/>
    <w:rsid w:val="00BF594C"/>
    <w:rsid w:val="00BF5986"/>
    <w:rsid w:val="00BF5A47"/>
    <w:rsid w:val="00BF5CE6"/>
    <w:rsid w:val="00BF5D55"/>
    <w:rsid w:val="00BF5F58"/>
    <w:rsid w:val="00BF6074"/>
    <w:rsid w:val="00BF6091"/>
    <w:rsid w:val="00BF6104"/>
    <w:rsid w:val="00BF6A33"/>
    <w:rsid w:val="00BF6A4D"/>
    <w:rsid w:val="00BF6A69"/>
    <w:rsid w:val="00BF6C19"/>
    <w:rsid w:val="00BF7466"/>
    <w:rsid w:val="00BF7693"/>
    <w:rsid w:val="00BF7814"/>
    <w:rsid w:val="00BF7942"/>
    <w:rsid w:val="00BF7A46"/>
    <w:rsid w:val="00BF7B4B"/>
    <w:rsid w:val="00BF7E4F"/>
    <w:rsid w:val="00C00020"/>
    <w:rsid w:val="00C00136"/>
    <w:rsid w:val="00C00463"/>
    <w:rsid w:val="00C004C1"/>
    <w:rsid w:val="00C008C1"/>
    <w:rsid w:val="00C00966"/>
    <w:rsid w:val="00C00B55"/>
    <w:rsid w:val="00C00B61"/>
    <w:rsid w:val="00C00C5C"/>
    <w:rsid w:val="00C00D4B"/>
    <w:rsid w:val="00C01333"/>
    <w:rsid w:val="00C013CD"/>
    <w:rsid w:val="00C016AA"/>
    <w:rsid w:val="00C01875"/>
    <w:rsid w:val="00C0188C"/>
    <w:rsid w:val="00C019DA"/>
    <w:rsid w:val="00C01D64"/>
    <w:rsid w:val="00C021BA"/>
    <w:rsid w:val="00C02274"/>
    <w:rsid w:val="00C022AA"/>
    <w:rsid w:val="00C023CE"/>
    <w:rsid w:val="00C023D6"/>
    <w:rsid w:val="00C026D8"/>
    <w:rsid w:val="00C02C51"/>
    <w:rsid w:val="00C02D3D"/>
    <w:rsid w:val="00C02D3E"/>
    <w:rsid w:val="00C03003"/>
    <w:rsid w:val="00C0314A"/>
    <w:rsid w:val="00C03293"/>
    <w:rsid w:val="00C0342D"/>
    <w:rsid w:val="00C03630"/>
    <w:rsid w:val="00C03959"/>
    <w:rsid w:val="00C03B6B"/>
    <w:rsid w:val="00C03F2D"/>
    <w:rsid w:val="00C041BD"/>
    <w:rsid w:val="00C0424B"/>
    <w:rsid w:val="00C047FE"/>
    <w:rsid w:val="00C048D7"/>
    <w:rsid w:val="00C0490D"/>
    <w:rsid w:val="00C04A6A"/>
    <w:rsid w:val="00C0522A"/>
    <w:rsid w:val="00C05311"/>
    <w:rsid w:val="00C055A4"/>
    <w:rsid w:val="00C055BF"/>
    <w:rsid w:val="00C05A68"/>
    <w:rsid w:val="00C05A8E"/>
    <w:rsid w:val="00C05C34"/>
    <w:rsid w:val="00C05ED1"/>
    <w:rsid w:val="00C05EF8"/>
    <w:rsid w:val="00C060D4"/>
    <w:rsid w:val="00C063D4"/>
    <w:rsid w:val="00C066DF"/>
    <w:rsid w:val="00C069E3"/>
    <w:rsid w:val="00C06A2C"/>
    <w:rsid w:val="00C0700A"/>
    <w:rsid w:val="00C075B2"/>
    <w:rsid w:val="00C07861"/>
    <w:rsid w:val="00C078D6"/>
    <w:rsid w:val="00C078F3"/>
    <w:rsid w:val="00C07F91"/>
    <w:rsid w:val="00C10227"/>
    <w:rsid w:val="00C102BE"/>
    <w:rsid w:val="00C1052B"/>
    <w:rsid w:val="00C1059B"/>
    <w:rsid w:val="00C1069E"/>
    <w:rsid w:val="00C10849"/>
    <w:rsid w:val="00C108A2"/>
    <w:rsid w:val="00C10B54"/>
    <w:rsid w:val="00C10B85"/>
    <w:rsid w:val="00C10D67"/>
    <w:rsid w:val="00C10E23"/>
    <w:rsid w:val="00C10E83"/>
    <w:rsid w:val="00C1156F"/>
    <w:rsid w:val="00C1158B"/>
    <w:rsid w:val="00C11BD8"/>
    <w:rsid w:val="00C11C77"/>
    <w:rsid w:val="00C11FAC"/>
    <w:rsid w:val="00C1219E"/>
    <w:rsid w:val="00C1242C"/>
    <w:rsid w:val="00C1243E"/>
    <w:rsid w:val="00C12B11"/>
    <w:rsid w:val="00C12EFC"/>
    <w:rsid w:val="00C1346C"/>
    <w:rsid w:val="00C13676"/>
    <w:rsid w:val="00C1379F"/>
    <w:rsid w:val="00C139D4"/>
    <w:rsid w:val="00C13D5E"/>
    <w:rsid w:val="00C13DA5"/>
    <w:rsid w:val="00C1432B"/>
    <w:rsid w:val="00C143EF"/>
    <w:rsid w:val="00C145D0"/>
    <w:rsid w:val="00C146CE"/>
    <w:rsid w:val="00C146E9"/>
    <w:rsid w:val="00C14780"/>
    <w:rsid w:val="00C1488A"/>
    <w:rsid w:val="00C14E06"/>
    <w:rsid w:val="00C14E3E"/>
    <w:rsid w:val="00C14F47"/>
    <w:rsid w:val="00C15128"/>
    <w:rsid w:val="00C156AF"/>
    <w:rsid w:val="00C158BD"/>
    <w:rsid w:val="00C15C1D"/>
    <w:rsid w:val="00C15D35"/>
    <w:rsid w:val="00C15E8C"/>
    <w:rsid w:val="00C15F44"/>
    <w:rsid w:val="00C16212"/>
    <w:rsid w:val="00C16233"/>
    <w:rsid w:val="00C16770"/>
    <w:rsid w:val="00C167E1"/>
    <w:rsid w:val="00C16805"/>
    <w:rsid w:val="00C1681C"/>
    <w:rsid w:val="00C16867"/>
    <w:rsid w:val="00C168D6"/>
    <w:rsid w:val="00C16F86"/>
    <w:rsid w:val="00C1726A"/>
    <w:rsid w:val="00C1785B"/>
    <w:rsid w:val="00C17C2C"/>
    <w:rsid w:val="00C17FCF"/>
    <w:rsid w:val="00C20047"/>
    <w:rsid w:val="00C201D7"/>
    <w:rsid w:val="00C20273"/>
    <w:rsid w:val="00C202FF"/>
    <w:rsid w:val="00C2030A"/>
    <w:rsid w:val="00C20350"/>
    <w:rsid w:val="00C2035F"/>
    <w:rsid w:val="00C2077D"/>
    <w:rsid w:val="00C20895"/>
    <w:rsid w:val="00C208C1"/>
    <w:rsid w:val="00C2093A"/>
    <w:rsid w:val="00C20CCC"/>
    <w:rsid w:val="00C20DE8"/>
    <w:rsid w:val="00C20EB6"/>
    <w:rsid w:val="00C20F1E"/>
    <w:rsid w:val="00C20FF3"/>
    <w:rsid w:val="00C213FC"/>
    <w:rsid w:val="00C21427"/>
    <w:rsid w:val="00C214FE"/>
    <w:rsid w:val="00C216A4"/>
    <w:rsid w:val="00C2194B"/>
    <w:rsid w:val="00C21978"/>
    <w:rsid w:val="00C21A92"/>
    <w:rsid w:val="00C220BE"/>
    <w:rsid w:val="00C22118"/>
    <w:rsid w:val="00C22152"/>
    <w:rsid w:val="00C22348"/>
    <w:rsid w:val="00C2253B"/>
    <w:rsid w:val="00C226D5"/>
    <w:rsid w:val="00C22953"/>
    <w:rsid w:val="00C22E23"/>
    <w:rsid w:val="00C22F4C"/>
    <w:rsid w:val="00C22F9A"/>
    <w:rsid w:val="00C23058"/>
    <w:rsid w:val="00C230D7"/>
    <w:rsid w:val="00C2310C"/>
    <w:rsid w:val="00C23155"/>
    <w:rsid w:val="00C23238"/>
    <w:rsid w:val="00C2335E"/>
    <w:rsid w:val="00C2353E"/>
    <w:rsid w:val="00C2377C"/>
    <w:rsid w:val="00C23820"/>
    <w:rsid w:val="00C23866"/>
    <w:rsid w:val="00C24078"/>
    <w:rsid w:val="00C24369"/>
    <w:rsid w:val="00C24B4C"/>
    <w:rsid w:val="00C24BA5"/>
    <w:rsid w:val="00C24CF0"/>
    <w:rsid w:val="00C24CF1"/>
    <w:rsid w:val="00C24E1F"/>
    <w:rsid w:val="00C24ED6"/>
    <w:rsid w:val="00C24F75"/>
    <w:rsid w:val="00C25121"/>
    <w:rsid w:val="00C2524C"/>
    <w:rsid w:val="00C252C7"/>
    <w:rsid w:val="00C25519"/>
    <w:rsid w:val="00C25829"/>
    <w:rsid w:val="00C25A89"/>
    <w:rsid w:val="00C260AC"/>
    <w:rsid w:val="00C2631C"/>
    <w:rsid w:val="00C263EE"/>
    <w:rsid w:val="00C26605"/>
    <w:rsid w:val="00C26774"/>
    <w:rsid w:val="00C268E2"/>
    <w:rsid w:val="00C2696F"/>
    <w:rsid w:val="00C26C12"/>
    <w:rsid w:val="00C26C83"/>
    <w:rsid w:val="00C26CDA"/>
    <w:rsid w:val="00C27345"/>
    <w:rsid w:val="00C2734E"/>
    <w:rsid w:val="00C273F2"/>
    <w:rsid w:val="00C2754E"/>
    <w:rsid w:val="00C27AB9"/>
    <w:rsid w:val="00C27C3B"/>
    <w:rsid w:val="00C30078"/>
    <w:rsid w:val="00C30342"/>
    <w:rsid w:val="00C306A9"/>
    <w:rsid w:val="00C30778"/>
    <w:rsid w:val="00C309FB"/>
    <w:rsid w:val="00C30B1F"/>
    <w:rsid w:val="00C30DE2"/>
    <w:rsid w:val="00C3110D"/>
    <w:rsid w:val="00C316F9"/>
    <w:rsid w:val="00C319B7"/>
    <w:rsid w:val="00C31F27"/>
    <w:rsid w:val="00C3223B"/>
    <w:rsid w:val="00C32811"/>
    <w:rsid w:val="00C3289A"/>
    <w:rsid w:val="00C32BE2"/>
    <w:rsid w:val="00C32C27"/>
    <w:rsid w:val="00C32E95"/>
    <w:rsid w:val="00C32F9D"/>
    <w:rsid w:val="00C330FD"/>
    <w:rsid w:val="00C3313E"/>
    <w:rsid w:val="00C33667"/>
    <w:rsid w:val="00C33871"/>
    <w:rsid w:val="00C33BAA"/>
    <w:rsid w:val="00C34260"/>
    <w:rsid w:val="00C3460F"/>
    <w:rsid w:val="00C3485A"/>
    <w:rsid w:val="00C34977"/>
    <w:rsid w:val="00C34D1E"/>
    <w:rsid w:val="00C34D39"/>
    <w:rsid w:val="00C35191"/>
    <w:rsid w:val="00C3521D"/>
    <w:rsid w:val="00C35334"/>
    <w:rsid w:val="00C35718"/>
    <w:rsid w:val="00C35963"/>
    <w:rsid w:val="00C35A13"/>
    <w:rsid w:val="00C35A48"/>
    <w:rsid w:val="00C35AC5"/>
    <w:rsid w:val="00C35ADC"/>
    <w:rsid w:val="00C35C9E"/>
    <w:rsid w:val="00C3620E"/>
    <w:rsid w:val="00C3671A"/>
    <w:rsid w:val="00C3685F"/>
    <w:rsid w:val="00C36FCD"/>
    <w:rsid w:val="00C370C2"/>
    <w:rsid w:val="00C3712A"/>
    <w:rsid w:val="00C37763"/>
    <w:rsid w:val="00C3789E"/>
    <w:rsid w:val="00C37A99"/>
    <w:rsid w:val="00C37BEC"/>
    <w:rsid w:val="00C37F39"/>
    <w:rsid w:val="00C402EE"/>
    <w:rsid w:val="00C403FC"/>
    <w:rsid w:val="00C4053B"/>
    <w:rsid w:val="00C4054C"/>
    <w:rsid w:val="00C405D3"/>
    <w:rsid w:val="00C40D5F"/>
    <w:rsid w:val="00C411C6"/>
    <w:rsid w:val="00C416C0"/>
    <w:rsid w:val="00C41E96"/>
    <w:rsid w:val="00C42033"/>
    <w:rsid w:val="00C4258E"/>
    <w:rsid w:val="00C42783"/>
    <w:rsid w:val="00C428C6"/>
    <w:rsid w:val="00C430B7"/>
    <w:rsid w:val="00C43107"/>
    <w:rsid w:val="00C43173"/>
    <w:rsid w:val="00C4318C"/>
    <w:rsid w:val="00C431F9"/>
    <w:rsid w:val="00C4340B"/>
    <w:rsid w:val="00C43A59"/>
    <w:rsid w:val="00C43C34"/>
    <w:rsid w:val="00C43D5A"/>
    <w:rsid w:val="00C43FEE"/>
    <w:rsid w:val="00C44162"/>
    <w:rsid w:val="00C4488E"/>
    <w:rsid w:val="00C44A29"/>
    <w:rsid w:val="00C44CF3"/>
    <w:rsid w:val="00C44D6D"/>
    <w:rsid w:val="00C44EE2"/>
    <w:rsid w:val="00C452F6"/>
    <w:rsid w:val="00C453C9"/>
    <w:rsid w:val="00C45586"/>
    <w:rsid w:val="00C45798"/>
    <w:rsid w:val="00C457E2"/>
    <w:rsid w:val="00C45A44"/>
    <w:rsid w:val="00C45AE0"/>
    <w:rsid w:val="00C45AFD"/>
    <w:rsid w:val="00C45B6D"/>
    <w:rsid w:val="00C45D36"/>
    <w:rsid w:val="00C45E4A"/>
    <w:rsid w:val="00C45E65"/>
    <w:rsid w:val="00C45E83"/>
    <w:rsid w:val="00C46251"/>
    <w:rsid w:val="00C463BA"/>
    <w:rsid w:val="00C46584"/>
    <w:rsid w:val="00C46767"/>
    <w:rsid w:val="00C46836"/>
    <w:rsid w:val="00C46C6D"/>
    <w:rsid w:val="00C46D06"/>
    <w:rsid w:val="00C46E7E"/>
    <w:rsid w:val="00C4701F"/>
    <w:rsid w:val="00C4752F"/>
    <w:rsid w:val="00C4770B"/>
    <w:rsid w:val="00C47764"/>
    <w:rsid w:val="00C4789D"/>
    <w:rsid w:val="00C47A49"/>
    <w:rsid w:val="00C47E7B"/>
    <w:rsid w:val="00C47FEE"/>
    <w:rsid w:val="00C50866"/>
    <w:rsid w:val="00C50B08"/>
    <w:rsid w:val="00C50BC8"/>
    <w:rsid w:val="00C50C19"/>
    <w:rsid w:val="00C510EA"/>
    <w:rsid w:val="00C51272"/>
    <w:rsid w:val="00C512F5"/>
    <w:rsid w:val="00C5142E"/>
    <w:rsid w:val="00C515B4"/>
    <w:rsid w:val="00C51844"/>
    <w:rsid w:val="00C5193D"/>
    <w:rsid w:val="00C51A9D"/>
    <w:rsid w:val="00C51AEB"/>
    <w:rsid w:val="00C51AEC"/>
    <w:rsid w:val="00C51F75"/>
    <w:rsid w:val="00C51FA8"/>
    <w:rsid w:val="00C52008"/>
    <w:rsid w:val="00C520D8"/>
    <w:rsid w:val="00C5231A"/>
    <w:rsid w:val="00C52396"/>
    <w:rsid w:val="00C524A2"/>
    <w:rsid w:val="00C527BA"/>
    <w:rsid w:val="00C52938"/>
    <w:rsid w:val="00C52BFE"/>
    <w:rsid w:val="00C53102"/>
    <w:rsid w:val="00C532C4"/>
    <w:rsid w:val="00C5339B"/>
    <w:rsid w:val="00C535CB"/>
    <w:rsid w:val="00C53610"/>
    <w:rsid w:val="00C5374F"/>
    <w:rsid w:val="00C53805"/>
    <w:rsid w:val="00C53939"/>
    <w:rsid w:val="00C53A4B"/>
    <w:rsid w:val="00C53CC3"/>
    <w:rsid w:val="00C54224"/>
    <w:rsid w:val="00C54309"/>
    <w:rsid w:val="00C54A8B"/>
    <w:rsid w:val="00C55189"/>
    <w:rsid w:val="00C553C0"/>
    <w:rsid w:val="00C558B3"/>
    <w:rsid w:val="00C5593B"/>
    <w:rsid w:val="00C55C8E"/>
    <w:rsid w:val="00C55DBE"/>
    <w:rsid w:val="00C55F3E"/>
    <w:rsid w:val="00C5602B"/>
    <w:rsid w:val="00C565DE"/>
    <w:rsid w:val="00C568CE"/>
    <w:rsid w:val="00C56C2B"/>
    <w:rsid w:val="00C56CB3"/>
    <w:rsid w:val="00C57096"/>
    <w:rsid w:val="00C57380"/>
    <w:rsid w:val="00C57621"/>
    <w:rsid w:val="00C57755"/>
    <w:rsid w:val="00C57A09"/>
    <w:rsid w:val="00C57EA8"/>
    <w:rsid w:val="00C60168"/>
    <w:rsid w:val="00C605C9"/>
    <w:rsid w:val="00C605FF"/>
    <w:rsid w:val="00C60918"/>
    <w:rsid w:val="00C60C76"/>
    <w:rsid w:val="00C60CF5"/>
    <w:rsid w:val="00C612A6"/>
    <w:rsid w:val="00C6140E"/>
    <w:rsid w:val="00C6152F"/>
    <w:rsid w:val="00C61649"/>
    <w:rsid w:val="00C619F8"/>
    <w:rsid w:val="00C61A5A"/>
    <w:rsid w:val="00C61CC9"/>
    <w:rsid w:val="00C61CDE"/>
    <w:rsid w:val="00C6201C"/>
    <w:rsid w:val="00C62067"/>
    <w:rsid w:val="00C622A8"/>
    <w:rsid w:val="00C62345"/>
    <w:rsid w:val="00C62535"/>
    <w:rsid w:val="00C62635"/>
    <w:rsid w:val="00C6263C"/>
    <w:rsid w:val="00C6270B"/>
    <w:rsid w:val="00C62F70"/>
    <w:rsid w:val="00C632D5"/>
    <w:rsid w:val="00C633DD"/>
    <w:rsid w:val="00C63659"/>
    <w:rsid w:val="00C637E9"/>
    <w:rsid w:val="00C63B7A"/>
    <w:rsid w:val="00C63BD3"/>
    <w:rsid w:val="00C63BE3"/>
    <w:rsid w:val="00C63CBF"/>
    <w:rsid w:val="00C63D71"/>
    <w:rsid w:val="00C63EBA"/>
    <w:rsid w:val="00C641D4"/>
    <w:rsid w:val="00C64224"/>
    <w:rsid w:val="00C642F9"/>
    <w:rsid w:val="00C6497B"/>
    <w:rsid w:val="00C64A44"/>
    <w:rsid w:val="00C64CA0"/>
    <w:rsid w:val="00C6538A"/>
    <w:rsid w:val="00C65393"/>
    <w:rsid w:val="00C655DD"/>
    <w:rsid w:val="00C65814"/>
    <w:rsid w:val="00C6581B"/>
    <w:rsid w:val="00C65DA6"/>
    <w:rsid w:val="00C65F6A"/>
    <w:rsid w:val="00C660A6"/>
    <w:rsid w:val="00C66102"/>
    <w:rsid w:val="00C66165"/>
    <w:rsid w:val="00C662A3"/>
    <w:rsid w:val="00C66869"/>
    <w:rsid w:val="00C668DA"/>
    <w:rsid w:val="00C66AF6"/>
    <w:rsid w:val="00C66C32"/>
    <w:rsid w:val="00C674B8"/>
    <w:rsid w:val="00C67622"/>
    <w:rsid w:val="00C67C1A"/>
    <w:rsid w:val="00C67F14"/>
    <w:rsid w:val="00C7008B"/>
    <w:rsid w:val="00C7017E"/>
    <w:rsid w:val="00C702E2"/>
    <w:rsid w:val="00C70305"/>
    <w:rsid w:val="00C705CB"/>
    <w:rsid w:val="00C70874"/>
    <w:rsid w:val="00C70938"/>
    <w:rsid w:val="00C70BAE"/>
    <w:rsid w:val="00C70C80"/>
    <w:rsid w:val="00C70FEF"/>
    <w:rsid w:val="00C71158"/>
    <w:rsid w:val="00C71259"/>
    <w:rsid w:val="00C71296"/>
    <w:rsid w:val="00C713F8"/>
    <w:rsid w:val="00C7189E"/>
    <w:rsid w:val="00C719A8"/>
    <w:rsid w:val="00C71AC5"/>
    <w:rsid w:val="00C71B06"/>
    <w:rsid w:val="00C71D45"/>
    <w:rsid w:val="00C7200F"/>
    <w:rsid w:val="00C721FC"/>
    <w:rsid w:val="00C72286"/>
    <w:rsid w:val="00C7243D"/>
    <w:rsid w:val="00C724E7"/>
    <w:rsid w:val="00C725F9"/>
    <w:rsid w:val="00C72659"/>
    <w:rsid w:val="00C727DA"/>
    <w:rsid w:val="00C72969"/>
    <w:rsid w:val="00C732AA"/>
    <w:rsid w:val="00C73387"/>
    <w:rsid w:val="00C735AE"/>
    <w:rsid w:val="00C73738"/>
    <w:rsid w:val="00C73780"/>
    <w:rsid w:val="00C73E9E"/>
    <w:rsid w:val="00C73EDB"/>
    <w:rsid w:val="00C74064"/>
    <w:rsid w:val="00C740E9"/>
    <w:rsid w:val="00C741A0"/>
    <w:rsid w:val="00C7430D"/>
    <w:rsid w:val="00C74A39"/>
    <w:rsid w:val="00C74AD5"/>
    <w:rsid w:val="00C74D06"/>
    <w:rsid w:val="00C74D35"/>
    <w:rsid w:val="00C74D9E"/>
    <w:rsid w:val="00C74FF6"/>
    <w:rsid w:val="00C7539C"/>
    <w:rsid w:val="00C7556D"/>
    <w:rsid w:val="00C755DE"/>
    <w:rsid w:val="00C75A56"/>
    <w:rsid w:val="00C75B01"/>
    <w:rsid w:val="00C75B6A"/>
    <w:rsid w:val="00C75BB4"/>
    <w:rsid w:val="00C75E40"/>
    <w:rsid w:val="00C76170"/>
    <w:rsid w:val="00C763A3"/>
    <w:rsid w:val="00C76696"/>
    <w:rsid w:val="00C76986"/>
    <w:rsid w:val="00C76DB7"/>
    <w:rsid w:val="00C770A4"/>
    <w:rsid w:val="00C776F4"/>
    <w:rsid w:val="00C77A20"/>
    <w:rsid w:val="00C77D88"/>
    <w:rsid w:val="00C77F36"/>
    <w:rsid w:val="00C80270"/>
    <w:rsid w:val="00C8048F"/>
    <w:rsid w:val="00C8052A"/>
    <w:rsid w:val="00C80763"/>
    <w:rsid w:val="00C80D1B"/>
    <w:rsid w:val="00C80F36"/>
    <w:rsid w:val="00C80FDB"/>
    <w:rsid w:val="00C81287"/>
    <w:rsid w:val="00C81A16"/>
    <w:rsid w:val="00C81AED"/>
    <w:rsid w:val="00C81CDA"/>
    <w:rsid w:val="00C81DE4"/>
    <w:rsid w:val="00C81E58"/>
    <w:rsid w:val="00C82224"/>
    <w:rsid w:val="00C82638"/>
    <w:rsid w:val="00C82E0F"/>
    <w:rsid w:val="00C82ECE"/>
    <w:rsid w:val="00C82F30"/>
    <w:rsid w:val="00C82FD9"/>
    <w:rsid w:val="00C832A7"/>
    <w:rsid w:val="00C8332B"/>
    <w:rsid w:val="00C8341B"/>
    <w:rsid w:val="00C8366B"/>
    <w:rsid w:val="00C83AD0"/>
    <w:rsid w:val="00C83BD0"/>
    <w:rsid w:val="00C8403C"/>
    <w:rsid w:val="00C844FF"/>
    <w:rsid w:val="00C84604"/>
    <w:rsid w:val="00C847B8"/>
    <w:rsid w:val="00C847DD"/>
    <w:rsid w:val="00C8492E"/>
    <w:rsid w:val="00C84B29"/>
    <w:rsid w:val="00C84E5B"/>
    <w:rsid w:val="00C84E9F"/>
    <w:rsid w:val="00C8503E"/>
    <w:rsid w:val="00C851A4"/>
    <w:rsid w:val="00C85311"/>
    <w:rsid w:val="00C855BD"/>
    <w:rsid w:val="00C85659"/>
    <w:rsid w:val="00C85697"/>
    <w:rsid w:val="00C857B3"/>
    <w:rsid w:val="00C85BC6"/>
    <w:rsid w:val="00C85E21"/>
    <w:rsid w:val="00C85E45"/>
    <w:rsid w:val="00C862B5"/>
    <w:rsid w:val="00C86729"/>
    <w:rsid w:val="00C86765"/>
    <w:rsid w:val="00C86961"/>
    <w:rsid w:val="00C86BE2"/>
    <w:rsid w:val="00C86CF6"/>
    <w:rsid w:val="00C86E90"/>
    <w:rsid w:val="00C8730E"/>
    <w:rsid w:val="00C87723"/>
    <w:rsid w:val="00C87ABA"/>
    <w:rsid w:val="00C87F8A"/>
    <w:rsid w:val="00C8CD2B"/>
    <w:rsid w:val="00C9018F"/>
    <w:rsid w:val="00C9024E"/>
    <w:rsid w:val="00C90291"/>
    <w:rsid w:val="00C90979"/>
    <w:rsid w:val="00C90997"/>
    <w:rsid w:val="00C90BEC"/>
    <w:rsid w:val="00C90C26"/>
    <w:rsid w:val="00C90C39"/>
    <w:rsid w:val="00C911D7"/>
    <w:rsid w:val="00C91416"/>
    <w:rsid w:val="00C914CF"/>
    <w:rsid w:val="00C91706"/>
    <w:rsid w:val="00C91773"/>
    <w:rsid w:val="00C918FB"/>
    <w:rsid w:val="00C91B8C"/>
    <w:rsid w:val="00C91E83"/>
    <w:rsid w:val="00C92076"/>
    <w:rsid w:val="00C92155"/>
    <w:rsid w:val="00C921AF"/>
    <w:rsid w:val="00C924B7"/>
    <w:rsid w:val="00C92EDD"/>
    <w:rsid w:val="00C93BBF"/>
    <w:rsid w:val="00C93CC4"/>
    <w:rsid w:val="00C93DA8"/>
    <w:rsid w:val="00C94047"/>
    <w:rsid w:val="00C9490B"/>
    <w:rsid w:val="00C94AF7"/>
    <w:rsid w:val="00C94B4B"/>
    <w:rsid w:val="00C94BFB"/>
    <w:rsid w:val="00C94E01"/>
    <w:rsid w:val="00C94EFD"/>
    <w:rsid w:val="00C9511C"/>
    <w:rsid w:val="00C95484"/>
    <w:rsid w:val="00C956EA"/>
    <w:rsid w:val="00C9571C"/>
    <w:rsid w:val="00C95BA5"/>
    <w:rsid w:val="00C95BC3"/>
    <w:rsid w:val="00C95E71"/>
    <w:rsid w:val="00C96228"/>
    <w:rsid w:val="00C96276"/>
    <w:rsid w:val="00C96724"/>
    <w:rsid w:val="00C9673A"/>
    <w:rsid w:val="00C969DB"/>
    <w:rsid w:val="00C96D81"/>
    <w:rsid w:val="00C96E6B"/>
    <w:rsid w:val="00C96EB2"/>
    <w:rsid w:val="00C97186"/>
    <w:rsid w:val="00C971F0"/>
    <w:rsid w:val="00C973DD"/>
    <w:rsid w:val="00C97595"/>
    <w:rsid w:val="00C97B6E"/>
    <w:rsid w:val="00C97F0F"/>
    <w:rsid w:val="00CA008A"/>
    <w:rsid w:val="00CA01CB"/>
    <w:rsid w:val="00CA020E"/>
    <w:rsid w:val="00CA03C9"/>
    <w:rsid w:val="00CA0890"/>
    <w:rsid w:val="00CA0AF2"/>
    <w:rsid w:val="00CA0C12"/>
    <w:rsid w:val="00CA0D42"/>
    <w:rsid w:val="00CA0F19"/>
    <w:rsid w:val="00CA0F58"/>
    <w:rsid w:val="00CA0FF8"/>
    <w:rsid w:val="00CA105B"/>
    <w:rsid w:val="00CA105C"/>
    <w:rsid w:val="00CA113F"/>
    <w:rsid w:val="00CA1184"/>
    <w:rsid w:val="00CA1246"/>
    <w:rsid w:val="00CA1571"/>
    <w:rsid w:val="00CA1917"/>
    <w:rsid w:val="00CA1B5F"/>
    <w:rsid w:val="00CA1BA6"/>
    <w:rsid w:val="00CA1F3D"/>
    <w:rsid w:val="00CA2396"/>
    <w:rsid w:val="00CA2401"/>
    <w:rsid w:val="00CA2563"/>
    <w:rsid w:val="00CA2687"/>
    <w:rsid w:val="00CA2B79"/>
    <w:rsid w:val="00CA2C4C"/>
    <w:rsid w:val="00CA31AB"/>
    <w:rsid w:val="00CA351A"/>
    <w:rsid w:val="00CA3521"/>
    <w:rsid w:val="00CA3743"/>
    <w:rsid w:val="00CA3763"/>
    <w:rsid w:val="00CA37F8"/>
    <w:rsid w:val="00CA3953"/>
    <w:rsid w:val="00CA3F5D"/>
    <w:rsid w:val="00CA41DA"/>
    <w:rsid w:val="00CA4662"/>
    <w:rsid w:val="00CA4A35"/>
    <w:rsid w:val="00CA4AFE"/>
    <w:rsid w:val="00CA4BBD"/>
    <w:rsid w:val="00CA4D0A"/>
    <w:rsid w:val="00CA55B4"/>
    <w:rsid w:val="00CA5916"/>
    <w:rsid w:val="00CA5ACC"/>
    <w:rsid w:val="00CA5BFA"/>
    <w:rsid w:val="00CA5EC3"/>
    <w:rsid w:val="00CA6159"/>
    <w:rsid w:val="00CA61AE"/>
    <w:rsid w:val="00CA62BD"/>
    <w:rsid w:val="00CA6502"/>
    <w:rsid w:val="00CA656E"/>
    <w:rsid w:val="00CA66A0"/>
    <w:rsid w:val="00CA6768"/>
    <w:rsid w:val="00CA67FA"/>
    <w:rsid w:val="00CA6AB5"/>
    <w:rsid w:val="00CA6BA1"/>
    <w:rsid w:val="00CA6C5D"/>
    <w:rsid w:val="00CA722F"/>
    <w:rsid w:val="00CA72DC"/>
    <w:rsid w:val="00CA7337"/>
    <w:rsid w:val="00CA766A"/>
    <w:rsid w:val="00CA77AC"/>
    <w:rsid w:val="00CA7B29"/>
    <w:rsid w:val="00CA7D73"/>
    <w:rsid w:val="00CB024C"/>
    <w:rsid w:val="00CB0323"/>
    <w:rsid w:val="00CB05B8"/>
    <w:rsid w:val="00CB09DC"/>
    <w:rsid w:val="00CB0F2B"/>
    <w:rsid w:val="00CB114F"/>
    <w:rsid w:val="00CB1193"/>
    <w:rsid w:val="00CB1295"/>
    <w:rsid w:val="00CB12DD"/>
    <w:rsid w:val="00CB1579"/>
    <w:rsid w:val="00CB1656"/>
    <w:rsid w:val="00CB1A72"/>
    <w:rsid w:val="00CB1CF2"/>
    <w:rsid w:val="00CB23F9"/>
    <w:rsid w:val="00CB2445"/>
    <w:rsid w:val="00CB2763"/>
    <w:rsid w:val="00CB28D3"/>
    <w:rsid w:val="00CB2A1E"/>
    <w:rsid w:val="00CB2B9D"/>
    <w:rsid w:val="00CB2CC7"/>
    <w:rsid w:val="00CB3347"/>
    <w:rsid w:val="00CB348A"/>
    <w:rsid w:val="00CB35AE"/>
    <w:rsid w:val="00CB36E8"/>
    <w:rsid w:val="00CB3D10"/>
    <w:rsid w:val="00CB3FDA"/>
    <w:rsid w:val="00CB44CF"/>
    <w:rsid w:val="00CB4528"/>
    <w:rsid w:val="00CB452A"/>
    <w:rsid w:val="00CB45DE"/>
    <w:rsid w:val="00CB473C"/>
    <w:rsid w:val="00CB4981"/>
    <w:rsid w:val="00CB4D30"/>
    <w:rsid w:val="00CB4DAA"/>
    <w:rsid w:val="00CB4EB5"/>
    <w:rsid w:val="00CB4F1E"/>
    <w:rsid w:val="00CB51CC"/>
    <w:rsid w:val="00CB526B"/>
    <w:rsid w:val="00CB5649"/>
    <w:rsid w:val="00CB5EBF"/>
    <w:rsid w:val="00CB5F6B"/>
    <w:rsid w:val="00CB6479"/>
    <w:rsid w:val="00CB6749"/>
    <w:rsid w:val="00CB6A20"/>
    <w:rsid w:val="00CB6A37"/>
    <w:rsid w:val="00CB6B3B"/>
    <w:rsid w:val="00CB6D6B"/>
    <w:rsid w:val="00CB7121"/>
    <w:rsid w:val="00CB786A"/>
    <w:rsid w:val="00CB7FD8"/>
    <w:rsid w:val="00CB7FEF"/>
    <w:rsid w:val="00CC00A9"/>
    <w:rsid w:val="00CC07E6"/>
    <w:rsid w:val="00CC0B5D"/>
    <w:rsid w:val="00CC0C0E"/>
    <w:rsid w:val="00CC0CAB"/>
    <w:rsid w:val="00CC0D24"/>
    <w:rsid w:val="00CC12D0"/>
    <w:rsid w:val="00CC1443"/>
    <w:rsid w:val="00CC1AEE"/>
    <w:rsid w:val="00CC1B6E"/>
    <w:rsid w:val="00CC22F2"/>
    <w:rsid w:val="00CC23E2"/>
    <w:rsid w:val="00CC2607"/>
    <w:rsid w:val="00CC2A18"/>
    <w:rsid w:val="00CC2A3E"/>
    <w:rsid w:val="00CC2ADC"/>
    <w:rsid w:val="00CC2B23"/>
    <w:rsid w:val="00CC2B2E"/>
    <w:rsid w:val="00CC2E07"/>
    <w:rsid w:val="00CC2E94"/>
    <w:rsid w:val="00CC2F56"/>
    <w:rsid w:val="00CC343E"/>
    <w:rsid w:val="00CC356F"/>
    <w:rsid w:val="00CC36DF"/>
    <w:rsid w:val="00CC38E8"/>
    <w:rsid w:val="00CC39FA"/>
    <w:rsid w:val="00CC3AAE"/>
    <w:rsid w:val="00CC3F9F"/>
    <w:rsid w:val="00CC40EF"/>
    <w:rsid w:val="00CC429E"/>
    <w:rsid w:val="00CC44ED"/>
    <w:rsid w:val="00CC4516"/>
    <w:rsid w:val="00CC4660"/>
    <w:rsid w:val="00CC4703"/>
    <w:rsid w:val="00CC483E"/>
    <w:rsid w:val="00CC4ACD"/>
    <w:rsid w:val="00CC4B28"/>
    <w:rsid w:val="00CC4DD5"/>
    <w:rsid w:val="00CC4FE9"/>
    <w:rsid w:val="00CC5CA5"/>
    <w:rsid w:val="00CC5E3A"/>
    <w:rsid w:val="00CC5FE9"/>
    <w:rsid w:val="00CC6127"/>
    <w:rsid w:val="00CC6361"/>
    <w:rsid w:val="00CC6D73"/>
    <w:rsid w:val="00CC6DAA"/>
    <w:rsid w:val="00CC6F01"/>
    <w:rsid w:val="00CC70F2"/>
    <w:rsid w:val="00CC7528"/>
    <w:rsid w:val="00CC7702"/>
    <w:rsid w:val="00CC7860"/>
    <w:rsid w:val="00CC78C0"/>
    <w:rsid w:val="00CC78C9"/>
    <w:rsid w:val="00CC7902"/>
    <w:rsid w:val="00CC7AF4"/>
    <w:rsid w:val="00CC7AFC"/>
    <w:rsid w:val="00CD036E"/>
    <w:rsid w:val="00CD06B1"/>
    <w:rsid w:val="00CD0744"/>
    <w:rsid w:val="00CD084D"/>
    <w:rsid w:val="00CD0E0A"/>
    <w:rsid w:val="00CD1220"/>
    <w:rsid w:val="00CD1E50"/>
    <w:rsid w:val="00CD1E9B"/>
    <w:rsid w:val="00CD2229"/>
    <w:rsid w:val="00CD2571"/>
    <w:rsid w:val="00CD269A"/>
    <w:rsid w:val="00CD2FEA"/>
    <w:rsid w:val="00CD303B"/>
    <w:rsid w:val="00CD337A"/>
    <w:rsid w:val="00CD343A"/>
    <w:rsid w:val="00CD386F"/>
    <w:rsid w:val="00CD43C2"/>
    <w:rsid w:val="00CD4978"/>
    <w:rsid w:val="00CD4CDA"/>
    <w:rsid w:val="00CD4DB2"/>
    <w:rsid w:val="00CD4E70"/>
    <w:rsid w:val="00CD4E8D"/>
    <w:rsid w:val="00CD5575"/>
    <w:rsid w:val="00CD5606"/>
    <w:rsid w:val="00CD56AC"/>
    <w:rsid w:val="00CD5AC9"/>
    <w:rsid w:val="00CD5DE5"/>
    <w:rsid w:val="00CD5E12"/>
    <w:rsid w:val="00CD6124"/>
    <w:rsid w:val="00CD624E"/>
    <w:rsid w:val="00CD6499"/>
    <w:rsid w:val="00CD6877"/>
    <w:rsid w:val="00CD6B34"/>
    <w:rsid w:val="00CD6DAC"/>
    <w:rsid w:val="00CD719D"/>
    <w:rsid w:val="00CD77C7"/>
    <w:rsid w:val="00CD783F"/>
    <w:rsid w:val="00CD786F"/>
    <w:rsid w:val="00CD7B3F"/>
    <w:rsid w:val="00CD7B99"/>
    <w:rsid w:val="00CD7CE4"/>
    <w:rsid w:val="00CD7EEC"/>
    <w:rsid w:val="00CD7F93"/>
    <w:rsid w:val="00CE00A4"/>
    <w:rsid w:val="00CE04D5"/>
    <w:rsid w:val="00CE0634"/>
    <w:rsid w:val="00CE0784"/>
    <w:rsid w:val="00CE089E"/>
    <w:rsid w:val="00CE09AF"/>
    <w:rsid w:val="00CE0A4E"/>
    <w:rsid w:val="00CE0F51"/>
    <w:rsid w:val="00CE10C3"/>
    <w:rsid w:val="00CE121B"/>
    <w:rsid w:val="00CE13F5"/>
    <w:rsid w:val="00CE1E6D"/>
    <w:rsid w:val="00CE1FB2"/>
    <w:rsid w:val="00CE1FD2"/>
    <w:rsid w:val="00CE23E0"/>
    <w:rsid w:val="00CE262E"/>
    <w:rsid w:val="00CE2B15"/>
    <w:rsid w:val="00CE2BCB"/>
    <w:rsid w:val="00CE2D9D"/>
    <w:rsid w:val="00CE2EC5"/>
    <w:rsid w:val="00CE3085"/>
    <w:rsid w:val="00CE30D4"/>
    <w:rsid w:val="00CE3195"/>
    <w:rsid w:val="00CE3335"/>
    <w:rsid w:val="00CE4602"/>
    <w:rsid w:val="00CE46F4"/>
    <w:rsid w:val="00CE4731"/>
    <w:rsid w:val="00CE4AB7"/>
    <w:rsid w:val="00CE4BD8"/>
    <w:rsid w:val="00CE4F2F"/>
    <w:rsid w:val="00CE5850"/>
    <w:rsid w:val="00CE5F0E"/>
    <w:rsid w:val="00CE5F66"/>
    <w:rsid w:val="00CE62BD"/>
    <w:rsid w:val="00CE64FE"/>
    <w:rsid w:val="00CE697B"/>
    <w:rsid w:val="00CE6AD4"/>
    <w:rsid w:val="00CE6C19"/>
    <w:rsid w:val="00CE6C7D"/>
    <w:rsid w:val="00CE6D18"/>
    <w:rsid w:val="00CE6E27"/>
    <w:rsid w:val="00CE7425"/>
    <w:rsid w:val="00CE7648"/>
    <w:rsid w:val="00CE76A1"/>
    <w:rsid w:val="00CE7723"/>
    <w:rsid w:val="00CE79A6"/>
    <w:rsid w:val="00CE7B31"/>
    <w:rsid w:val="00CE7D01"/>
    <w:rsid w:val="00CE7D21"/>
    <w:rsid w:val="00CF0175"/>
    <w:rsid w:val="00CF026D"/>
    <w:rsid w:val="00CF02CC"/>
    <w:rsid w:val="00CF0311"/>
    <w:rsid w:val="00CF0358"/>
    <w:rsid w:val="00CF04FE"/>
    <w:rsid w:val="00CF063B"/>
    <w:rsid w:val="00CF07C7"/>
    <w:rsid w:val="00CF081D"/>
    <w:rsid w:val="00CF0825"/>
    <w:rsid w:val="00CF0A17"/>
    <w:rsid w:val="00CF0A27"/>
    <w:rsid w:val="00CF0B3E"/>
    <w:rsid w:val="00CF0ED3"/>
    <w:rsid w:val="00CF11AB"/>
    <w:rsid w:val="00CF1264"/>
    <w:rsid w:val="00CF1432"/>
    <w:rsid w:val="00CF1585"/>
    <w:rsid w:val="00CF1627"/>
    <w:rsid w:val="00CF1699"/>
    <w:rsid w:val="00CF1881"/>
    <w:rsid w:val="00CF1B39"/>
    <w:rsid w:val="00CF2008"/>
    <w:rsid w:val="00CF2270"/>
    <w:rsid w:val="00CF26AD"/>
    <w:rsid w:val="00CF274B"/>
    <w:rsid w:val="00CF2A0A"/>
    <w:rsid w:val="00CF2B79"/>
    <w:rsid w:val="00CF2C8D"/>
    <w:rsid w:val="00CF2DC2"/>
    <w:rsid w:val="00CF3158"/>
    <w:rsid w:val="00CF3212"/>
    <w:rsid w:val="00CF3215"/>
    <w:rsid w:val="00CF3374"/>
    <w:rsid w:val="00CF350C"/>
    <w:rsid w:val="00CF3545"/>
    <w:rsid w:val="00CF3DC3"/>
    <w:rsid w:val="00CF42D5"/>
    <w:rsid w:val="00CF43E9"/>
    <w:rsid w:val="00CF4BD2"/>
    <w:rsid w:val="00CF4BE6"/>
    <w:rsid w:val="00CF4F66"/>
    <w:rsid w:val="00CF5006"/>
    <w:rsid w:val="00CF5154"/>
    <w:rsid w:val="00CF52EF"/>
    <w:rsid w:val="00CF53C3"/>
    <w:rsid w:val="00CF55A8"/>
    <w:rsid w:val="00CF5746"/>
    <w:rsid w:val="00CF63D7"/>
    <w:rsid w:val="00CF65AC"/>
    <w:rsid w:val="00CF676F"/>
    <w:rsid w:val="00CF690A"/>
    <w:rsid w:val="00CF694A"/>
    <w:rsid w:val="00CF698A"/>
    <w:rsid w:val="00CF6B96"/>
    <w:rsid w:val="00CF6C98"/>
    <w:rsid w:val="00CF6D4E"/>
    <w:rsid w:val="00CF6F30"/>
    <w:rsid w:val="00CF7076"/>
    <w:rsid w:val="00CF7078"/>
    <w:rsid w:val="00CF710C"/>
    <w:rsid w:val="00CF71A0"/>
    <w:rsid w:val="00CF7219"/>
    <w:rsid w:val="00CF7311"/>
    <w:rsid w:val="00CF74C6"/>
    <w:rsid w:val="00CF789C"/>
    <w:rsid w:val="00CF798A"/>
    <w:rsid w:val="00CF7C82"/>
    <w:rsid w:val="00CF7D97"/>
    <w:rsid w:val="00CF7FA5"/>
    <w:rsid w:val="00D00040"/>
    <w:rsid w:val="00D0008D"/>
    <w:rsid w:val="00D000FC"/>
    <w:rsid w:val="00D0032C"/>
    <w:rsid w:val="00D00518"/>
    <w:rsid w:val="00D0058B"/>
    <w:rsid w:val="00D005C1"/>
    <w:rsid w:val="00D00F29"/>
    <w:rsid w:val="00D01110"/>
    <w:rsid w:val="00D01624"/>
    <w:rsid w:val="00D01A63"/>
    <w:rsid w:val="00D01ABB"/>
    <w:rsid w:val="00D01DF6"/>
    <w:rsid w:val="00D01EAC"/>
    <w:rsid w:val="00D021BA"/>
    <w:rsid w:val="00D0228C"/>
    <w:rsid w:val="00D023FB"/>
    <w:rsid w:val="00D0264F"/>
    <w:rsid w:val="00D0278C"/>
    <w:rsid w:val="00D0288F"/>
    <w:rsid w:val="00D02EC5"/>
    <w:rsid w:val="00D02FC8"/>
    <w:rsid w:val="00D0300B"/>
    <w:rsid w:val="00D03498"/>
    <w:rsid w:val="00D036BF"/>
    <w:rsid w:val="00D03830"/>
    <w:rsid w:val="00D03865"/>
    <w:rsid w:val="00D03C8E"/>
    <w:rsid w:val="00D03F4F"/>
    <w:rsid w:val="00D03F7E"/>
    <w:rsid w:val="00D04550"/>
    <w:rsid w:val="00D0495F"/>
    <w:rsid w:val="00D04AF4"/>
    <w:rsid w:val="00D04BB6"/>
    <w:rsid w:val="00D051FB"/>
    <w:rsid w:val="00D0535A"/>
    <w:rsid w:val="00D05377"/>
    <w:rsid w:val="00D053DB"/>
    <w:rsid w:val="00D05997"/>
    <w:rsid w:val="00D05BB1"/>
    <w:rsid w:val="00D05F53"/>
    <w:rsid w:val="00D061CC"/>
    <w:rsid w:val="00D06216"/>
    <w:rsid w:val="00D0663C"/>
    <w:rsid w:val="00D06657"/>
    <w:rsid w:val="00D068A6"/>
    <w:rsid w:val="00D069D8"/>
    <w:rsid w:val="00D069EB"/>
    <w:rsid w:val="00D06CDD"/>
    <w:rsid w:val="00D06E2F"/>
    <w:rsid w:val="00D07846"/>
    <w:rsid w:val="00D079FC"/>
    <w:rsid w:val="00D07AE0"/>
    <w:rsid w:val="00D07F62"/>
    <w:rsid w:val="00D10229"/>
    <w:rsid w:val="00D103E2"/>
    <w:rsid w:val="00D10637"/>
    <w:rsid w:val="00D10790"/>
    <w:rsid w:val="00D10859"/>
    <w:rsid w:val="00D10B53"/>
    <w:rsid w:val="00D10B7E"/>
    <w:rsid w:val="00D10BF0"/>
    <w:rsid w:val="00D10EA5"/>
    <w:rsid w:val="00D111A7"/>
    <w:rsid w:val="00D11AF0"/>
    <w:rsid w:val="00D11B0B"/>
    <w:rsid w:val="00D12188"/>
    <w:rsid w:val="00D124A8"/>
    <w:rsid w:val="00D12A05"/>
    <w:rsid w:val="00D12BE3"/>
    <w:rsid w:val="00D12D0F"/>
    <w:rsid w:val="00D12FE3"/>
    <w:rsid w:val="00D13147"/>
    <w:rsid w:val="00D1350A"/>
    <w:rsid w:val="00D13544"/>
    <w:rsid w:val="00D1362D"/>
    <w:rsid w:val="00D137D2"/>
    <w:rsid w:val="00D13850"/>
    <w:rsid w:val="00D1390D"/>
    <w:rsid w:val="00D139B5"/>
    <w:rsid w:val="00D13A23"/>
    <w:rsid w:val="00D13CD0"/>
    <w:rsid w:val="00D13E00"/>
    <w:rsid w:val="00D13E3B"/>
    <w:rsid w:val="00D1401C"/>
    <w:rsid w:val="00D140BF"/>
    <w:rsid w:val="00D14457"/>
    <w:rsid w:val="00D14918"/>
    <w:rsid w:val="00D1495F"/>
    <w:rsid w:val="00D149F1"/>
    <w:rsid w:val="00D14B3E"/>
    <w:rsid w:val="00D14C3E"/>
    <w:rsid w:val="00D14D9A"/>
    <w:rsid w:val="00D14DFB"/>
    <w:rsid w:val="00D15C76"/>
    <w:rsid w:val="00D15F8F"/>
    <w:rsid w:val="00D160FE"/>
    <w:rsid w:val="00D1617A"/>
    <w:rsid w:val="00D163BB"/>
    <w:rsid w:val="00D164DC"/>
    <w:rsid w:val="00D16566"/>
    <w:rsid w:val="00D16778"/>
    <w:rsid w:val="00D16997"/>
    <w:rsid w:val="00D16EC6"/>
    <w:rsid w:val="00D171A2"/>
    <w:rsid w:val="00D176CA"/>
    <w:rsid w:val="00D1776A"/>
    <w:rsid w:val="00D17BBD"/>
    <w:rsid w:val="00D17CC9"/>
    <w:rsid w:val="00D17E6C"/>
    <w:rsid w:val="00D203F4"/>
    <w:rsid w:val="00D2044B"/>
    <w:rsid w:val="00D206DE"/>
    <w:rsid w:val="00D20701"/>
    <w:rsid w:val="00D20BB5"/>
    <w:rsid w:val="00D20BC3"/>
    <w:rsid w:val="00D20C6E"/>
    <w:rsid w:val="00D20D86"/>
    <w:rsid w:val="00D2142D"/>
    <w:rsid w:val="00D21581"/>
    <w:rsid w:val="00D21C54"/>
    <w:rsid w:val="00D21E8D"/>
    <w:rsid w:val="00D223E1"/>
    <w:rsid w:val="00D2240F"/>
    <w:rsid w:val="00D22AC6"/>
    <w:rsid w:val="00D22B06"/>
    <w:rsid w:val="00D22C83"/>
    <w:rsid w:val="00D22E71"/>
    <w:rsid w:val="00D22EE7"/>
    <w:rsid w:val="00D22F06"/>
    <w:rsid w:val="00D232FC"/>
    <w:rsid w:val="00D23320"/>
    <w:rsid w:val="00D234CA"/>
    <w:rsid w:val="00D2356D"/>
    <w:rsid w:val="00D2359A"/>
    <w:rsid w:val="00D23C3E"/>
    <w:rsid w:val="00D23DE5"/>
    <w:rsid w:val="00D23E42"/>
    <w:rsid w:val="00D2404C"/>
    <w:rsid w:val="00D24066"/>
    <w:rsid w:val="00D24088"/>
    <w:rsid w:val="00D24320"/>
    <w:rsid w:val="00D243C5"/>
    <w:rsid w:val="00D245A0"/>
    <w:rsid w:val="00D2468A"/>
    <w:rsid w:val="00D24D39"/>
    <w:rsid w:val="00D250B9"/>
    <w:rsid w:val="00D25269"/>
    <w:rsid w:val="00D252AB"/>
    <w:rsid w:val="00D25530"/>
    <w:rsid w:val="00D2567B"/>
    <w:rsid w:val="00D256C3"/>
    <w:rsid w:val="00D256C7"/>
    <w:rsid w:val="00D2593A"/>
    <w:rsid w:val="00D25C01"/>
    <w:rsid w:val="00D25D74"/>
    <w:rsid w:val="00D25DF7"/>
    <w:rsid w:val="00D25FAE"/>
    <w:rsid w:val="00D26320"/>
    <w:rsid w:val="00D267E2"/>
    <w:rsid w:val="00D267F9"/>
    <w:rsid w:val="00D26A12"/>
    <w:rsid w:val="00D26A2F"/>
    <w:rsid w:val="00D26A8B"/>
    <w:rsid w:val="00D26AFE"/>
    <w:rsid w:val="00D26BF7"/>
    <w:rsid w:val="00D26E57"/>
    <w:rsid w:val="00D2719E"/>
    <w:rsid w:val="00D27309"/>
    <w:rsid w:val="00D275DE"/>
    <w:rsid w:val="00D27630"/>
    <w:rsid w:val="00D277A1"/>
    <w:rsid w:val="00D27A06"/>
    <w:rsid w:val="00D27C0B"/>
    <w:rsid w:val="00D27D83"/>
    <w:rsid w:val="00D30036"/>
    <w:rsid w:val="00D301BB"/>
    <w:rsid w:val="00D301D3"/>
    <w:rsid w:val="00D301F2"/>
    <w:rsid w:val="00D30629"/>
    <w:rsid w:val="00D30C1A"/>
    <w:rsid w:val="00D30DD7"/>
    <w:rsid w:val="00D30EA0"/>
    <w:rsid w:val="00D31065"/>
    <w:rsid w:val="00D31213"/>
    <w:rsid w:val="00D31239"/>
    <w:rsid w:val="00D3153C"/>
    <w:rsid w:val="00D31625"/>
    <w:rsid w:val="00D318E9"/>
    <w:rsid w:val="00D31BEA"/>
    <w:rsid w:val="00D31DA0"/>
    <w:rsid w:val="00D32649"/>
    <w:rsid w:val="00D32707"/>
    <w:rsid w:val="00D328ED"/>
    <w:rsid w:val="00D329BC"/>
    <w:rsid w:val="00D329DD"/>
    <w:rsid w:val="00D32B1E"/>
    <w:rsid w:val="00D32D3F"/>
    <w:rsid w:val="00D32E67"/>
    <w:rsid w:val="00D3302A"/>
    <w:rsid w:val="00D330D4"/>
    <w:rsid w:val="00D33162"/>
    <w:rsid w:val="00D331AA"/>
    <w:rsid w:val="00D3345F"/>
    <w:rsid w:val="00D33544"/>
    <w:rsid w:val="00D3380A"/>
    <w:rsid w:val="00D33AA8"/>
    <w:rsid w:val="00D33C58"/>
    <w:rsid w:val="00D34089"/>
    <w:rsid w:val="00D341C5"/>
    <w:rsid w:val="00D34313"/>
    <w:rsid w:val="00D3441F"/>
    <w:rsid w:val="00D344CE"/>
    <w:rsid w:val="00D346B2"/>
    <w:rsid w:val="00D34A5D"/>
    <w:rsid w:val="00D34BB3"/>
    <w:rsid w:val="00D34D9F"/>
    <w:rsid w:val="00D34E69"/>
    <w:rsid w:val="00D34FD8"/>
    <w:rsid w:val="00D35005"/>
    <w:rsid w:val="00D35050"/>
    <w:rsid w:val="00D35291"/>
    <w:rsid w:val="00D35336"/>
    <w:rsid w:val="00D3577D"/>
    <w:rsid w:val="00D35A2B"/>
    <w:rsid w:val="00D35A6E"/>
    <w:rsid w:val="00D35BF0"/>
    <w:rsid w:val="00D35F80"/>
    <w:rsid w:val="00D36376"/>
    <w:rsid w:val="00D367FE"/>
    <w:rsid w:val="00D36D37"/>
    <w:rsid w:val="00D37021"/>
    <w:rsid w:val="00D370A2"/>
    <w:rsid w:val="00D37140"/>
    <w:rsid w:val="00D371B5"/>
    <w:rsid w:val="00D371CB"/>
    <w:rsid w:val="00D372E9"/>
    <w:rsid w:val="00D37332"/>
    <w:rsid w:val="00D37CD9"/>
    <w:rsid w:val="00D37E17"/>
    <w:rsid w:val="00D37E47"/>
    <w:rsid w:val="00D37EE1"/>
    <w:rsid w:val="00D402B9"/>
    <w:rsid w:val="00D40494"/>
    <w:rsid w:val="00D40611"/>
    <w:rsid w:val="00D40A16"/>
    <w:rsid w:val="00D40B83"/>
    <w:rsid w:val="00D410EC"/>
    <w:rsid w:val="00D412E5"/>
    <w:rsid w:val="00D413F3"/>
    <w:rsid w:val="00D41730"/>
    <w:rsid w:val="00D41B60"/>
    <w:rsid w:val="00D41EE2"/>
    <w:rsid w:val="00D41FF4"/>
    <w:rsid w:val="00D42124"/>
    <w:rsid w:val="00D42903"/>
    <w:rsid w:val="00D438A4"/>
    <w:rsid w:val="00D44613"/>
    <w:rsid w:val="00D4485B"/>
    <w:rsid w:val="00D44B53"/>
    <w:rsid w:val="00D44C2E"/>
    <w:rsid w:val="00D44FCF"/>
    <w:rsid w:val="00D45197"/>
    <w:rsid w:val="00D45521"/>
    <w:rsid w:val="00D457A3"/>
    <w:rsid w:val="00D45AFF"/>
    <w:rsid w:val="00D45CA8"/>
    <w:rsid w:val="00D45E96"/>
    <w:rsid w:val="00D462A2"/>
    <w:rsid w:val="00D46646"/>
    <w:rsid w:val="00D46782"/>
    <w:rsid w:val="00D46B22"/>
    <w:rsid w:val="00D471F7"/>
    <w:rsid w:val="00D472F6"/>
    <w:rsid w:val="00D47947"/>
    <w:rsid w:val="00D47A49"/>
    <w:rsid w:val="00D47D44"/>
    <w:rsid w:val="00D500F9"/>
    <w:rsid w:val="00D5051C"/>
    <w:rsid w:val="00D50FC9"/>
    <w:rsid w:val="00D51737"/>
    <w:rsid w:val="00D51BF2"/>
    <w:rsid w:val="00D51CF0"/>
    <w:rsid w:val="00D51E74"/>
    <w:rsid w:val="00D520CE"/>
    <w:rsid w:val="00D52304"/>
    <w:rsid w:val="00D52471"/>
    <w:rsid w:val="00D5252D"/>
    <w:rsid w:val="00D52A0C"/>
    <w:rsid w:val="00D52A40"/>
    <w:rsid w:val="00D52B60"/>
    <w:rsid w:val="00D52ECD"/>
    <w:rsid w:val="00D530EA"/>
    <w:rsid w:val="00D539B4"/>
    <w:rsid w:val="00D53CCE"/>
    <w:rsid w:val="00D53D74"/>
    <w:rsid w:val="00D54280"/>
    <w:rsid w:val="00D542CA"/>
    <w:rsid w:val="00D54327"/>
    <w:rsid w:val="00D543D2"/>
    <w:rsid w:val="00D544F0"/>
    <w:rsid w:val="00D5451D"/>
    <w:rsid w:val="00D547BA"/>
    <w:rsid w:val="00D54B54"/>
    <w:rsid w:val="00D54B72"/>
    <w:rsid w:val="00D54F84"/>
    <w:rsid w:val="00D55021"/>
    <w:rsid w:val="00D55177"/>
    <w:rsid w:val="00D55430"/>
    <w:rsid w:val="00D55545"/>
    <w:rsid w:val="00D559B6"/>
    <w:rsid w:val="00D55D4C"/>
    <w:rsid w:val="00D55D91"/>
    <w:rsid w:val="00D55E81"/>
    <w:rsid w:val="00D55F7A"/>
    <w:rsid w:val="00D56097"/>
    <w:rsid w:val="00D561B8"/>
    <w:rsid w:val="00D56513"/>
    <w:rsid w:val="00D5691E"/>
    <w:rsid w:val="00D56A9F"/>
    <w:rsid w:val="00D56BF5"/>
    <w:rsid w:val="00D56D9B"/>
    <w:rsid w:val="00D56EC2"/>
    <w:rsid w:val="00D5726C"/>
    <w:rsid w:val="00D573E0"/>
    <w:rsid w:val="00D5771E"/>
    <w:rsid w:val="00D57962"/>
    <w:rsid w:val="00D60128"/>
    <w:rsid w:val="00D601AC"/>
    <w:rsid w:val="00D6031A"/>
    <w:rsid w:val="00D606A1"/>
    <w:rsid w:val="00D60745"/>
    <w:rsid w:val="00D60A39"/>
    <w:rsid w:val="00D60B0A"/>
    <w:rsid w:val="00D60B64"/>
    <w:rsid w:val="00D60BF1"/>
    <w:rsid w:val="00D60C4C"/>
    <w:rsid w:val="00D60DE5"/>
    <w:rsid w:val="00D60FAE"/>
    <w:rsid w:val="00D61028"/>
    <w:rsid w:val="00D6102B"/>
    <w:rsid w:val="00D610CD"/>
    <w:rsid w:val="00D612BF"/>
    <w:rsid w:val="00D61393"/>
    <w:rsid w:val="00D613BA"/>
    <w:rsid w:val="00D61BDE"/>
    <w:rsid w:val="00D621C4"/>
    <w:rsid w:val="00D62395"/>
    <w:rsid w:val="00D623C6"/>
    <w:rsid w:val="00D625D0"/>
    <w:rsid w:val="00D627A7"/>
    <w:rsid w:val="00D628AB"/>
    <w:rsid w:val="00D629BE"/>
    <w:rsid w:val="00D62AAF"/>
    <w:rsid w:val="00D62ACE"/>
    <w:rsid w:val="00D62AF9"/>
    <w:rsid w:val="00D62B79"/>
    <w:rsid w:val="00D62BC8"/>
    <w:rsid w:val="00D62DCA"/>
    <w:rsid w:val="00D62E06"/>
    <w:rsid w:val="00D6315F"/>
    <w:rsid w:val="00D63395"/>
    <w:rsid w:val="00D63590"/>
    <w:rsid w:val="00D637E3"/>
    <w:rsid w:val="00D638E9"/>
    <w:rsid w:val="00D63A32"/>
    <w:rsid w:val="00D64060"/>
    <w:rsid w:val="00D645DB"/>
    <w:rsid w:val="00D6475A"/>
    <w:rsid w:val="00D64786"/>
    <w:rsid w:val="00D6505E"/>
    <w:rsid w:val="00D652BB"/>
    <w:rsid w:val="00D65382"/>
    <w:rsid w:val="00D653DB"/>
    <w:rsid w:val="00D656D0"/>
    <w:rsid w:val="00D6571C"/>
    <w:rsid w:val="00D65A0B"/>
    <w:rsid w:val="00D65B36"/>
    <w:rsid w:val="00D65F19"/>
    <w:rsid w:val="00D662CE"/>
    <w:rsid w:val="00D663B2"/>
    <w:rsid w:val="00D663FD"/>
    <w:rsid w:val="00D66400"/>
    <w:rsid w:val="00D66523"/>
    <w:rsid w:val="00D66996"/>
    <w:rsid w:val="00D66E07"/>
    <w:rsid w:val="00D66EA8"/>
    <w:rsid w:val="00D66EE4"/>
    <w:rsid w:val="00D671C2"/>
    <w:rsid w:val="00D67360"/>
    <w:rsid w:val="00D6763C"/>
    <w:rsid w:val="00D6776F"/>
    <w:rsid w:val="00D67F10"/>
    <w:rsid w:val="00D70108"/>
    <w:rsid w:val="00D701F3"/>
    <w:rsid w:val="00D7042C"/>
    <w:rsid w:val="00D70625"/>
    <w:rsid w:val="00D709E6"/>
    <w:rsid w:val="00D70CBC"/>
    <w:rsid w:val="00D70E94"/>
    <w:rsid w:val="00D70EF9"/>
    <w:rsid w:val="00D71B50"/>
    <w:rsid w:val="00D71C1D"/>
    <w:rsid w:val="00D71F75"/>
    <w:rsid w:val="00D723C0"/>
    <w:rsid w:val="00D724D4"/>
    <w:rsid w:val="00D7253D"/>
    <w:rsid w:val="00D725C1"/>
    <w:rsid w:val="00D725F8"/>
    <w:rsid w:val="00D72AA5"/>
    <w:rsid w:val="00D72B02"/>
    <w:rsid w:val="00D72E0C"/>
    <w:rsid w:val="00D72FFE"/>
    <w:rsid w:val="00D73108"/>
    <w:rsid w:val="00D73185"/>
    <w:rsid w:val="00D731E6"/>
    <w:rsid w:val="00D733CB"/>
    <w:rsid w:val="00D7343E"/>
    <w:rsid w:val="00D737FA"/>
    <w:rsid w:val="00D7412D"/>
    <w:rsid w:val="00D741B4"/>
    <w:rsid w:val="00D74471"/>
    <w:rsid w:val="00D745F3"/>
    <w:rsid w:val="00D748D2"/>
    <w:rsid w:val="00D74C28"/>
    <w:rsid w:val="00D74CFB"/>
    <w:rsid w:val="00D7535F"/>
    <w:rsid w:val="00D7544C"/>
    <w:rsid w:val="00D75A2A"/>
    <w:rsid w:val="00D75A41"/>
    <w:rsid w:val="00D75EEC"/>
    <w:rsid w:val="00D760BF"/>
    <w:rsid w:val="00D76698"/>
    <w:rsid w:val="00D76748"/>
    <w:rsid w:val="00D7680B"/>
    <w:rsid w:val="00D76860"/>
    <w:rsid w:val="00D76946"/>
    <w:rsid w:val="00D76BB7"/>
    <w:rsid w:val="00D76D56"/>
    <w:rsid w:val="00D76FBE"/>
    <w:rsid w:val="00D7796D"/>
    <w:rsid w:val="00D77C82"/>
    <w:rsid w:val="00D8018E"/>
    <w:rsid w:val="00D80397"/>
    <w:rsid w:val="00D803F9"/>
    <w:rsid w:val="00D80588"/>
    <w:rsid w:val="00D80608"/>
    <w:rsid w:val="00D807F3"/>
    <w:rsid w:val="00D80934"/>
    <w:rsid w:val="00D8098D"/>
    <w:rsid w:val="00D80A22"/>
    <w:rsid w:val="00D80B8F"/>
    <w:rsid w:val="00D80C18"/>
    <w:rsid w:val="00D810AF"/>
    <w:rsid w:val="00D8136E"/>
    <w:rsid w:val="00D8139E"/>
    <w:rsid w:val="00D81574"/>
    <w:rsid w:val="00D815EF"/>
    <w:rsid w:val="00D81B25"/>
    <w:rsid w:val="00D81BEA"/>
    <w:rsid w:val="00D81C2A"/>
    <w:rsid w:val="00D81D2C"/>
    <w:rsid w:val="00D82809"/>
    <w:rsid w:val="00D8319C"/>
    <w:rsid w:val="00D8343C"/>
    <w:rsid w:val="00D834E9"/>
    <w:rsid w:val="00D83862"/>
    <w:rsid w:val="00D83A05"/>
    <w:rsid w:val="00D83A69"/>
    <w:rsid w:val="00D84A3C"/>
    <w:rsid w:val="00D84D8D"/>
    <w:rsid w:val="00D84DB8"/>
    <w:rsid w:val="00D850AF"/>
    <w:rsid w:val="00D852A2"/>
    <w:rsid w:val="00D852EF"/>
    <w:rsid w:val="00D855C8"/>
    <w:rsid w:val="00D85846"/>
    <w:rsid w:val="00D859ED"/>
    <w:rsid w:val="00D85AAF"/>
    <w:rsid w:val="00D85AD8"/>
    <w:rsid w:val="00D85DE1"/>
    <w:rsid w:val="00D85E57"/>
    <w:rsid w:val="00D862C5"/>
    <w:rsid w:val="00D863E4"/>
    <w:rsid w:val="00D86578"/>
    <w:rsid w:val="00D865BC"/>
    <w:rsid w:val="00D866AC"/>
    <w:rsid w:val="00D868F5"/>
    <w:rsid w:val="00D86AF0"/>
    <w:rsid w:val="00D86BAE"/>
    <w:rsid w:val="00D86CE6"/>
    <w:rsid w:val="00D86DD5"/>
    <w:rsid w:val="00D86F9E"/>
    <w:rsid w:val="00D872F4"/>
    <w:rsid w:val="00D873FC"/>
    <w:rsid w:val="00D8741E"/>
    <w:rsid w:val="00D8750B"/>
    <w:rsid w:val="00D8764A"/>
    <w:rsid w:val="00D877F5"/>
    <w:rsid w:val="00D878DA"/>
    <w:rsid w:val="00D879EF"/>
    <w:rsid w:val="00D87CC3"/>
    <w:rsid w:val="00D87DDC"/>
    <w:rsid w:val="00D909B1"/>
    <w:rsid w:val="00D90F18"/>
    <w:rsid w:val="00D911C5"/>
    <w:rsid w:val="00D9157B"/>
    <w:rsid w:val="00D916D8"/>
    <w:rsid w:val="00D91841"/>
    <w:rsid w:val="00D91CE2"/>
    <w:rsid w:val="00D91D1B"/>
    <w:rsid w:val="00D91D72"/>
    <w:rsid w:val="00D91EA6"/>
    <w:rsid w:val="00D91F48"/>
    <w:rsid w:val="00D920BE"/>
    <w:rsid w:val="00D92525"/>
    <w:rsid w:val="00D927EB"/>
    <w:rsid w:val="00D928C9"/>
    <w:rsid w:val="00D92B66"/>
    <w:rsid w:val="00D92C13"/>
    <w:rsid w:val="00D92E82"/>
    <w:rsid w:val="00D9315F"/>
    <w:rsid w:val="00D93364"/>
    <w:rsid w:val="00D93598"/>
    <w:rsid w:val="00D9399D"/>
    <w:rsid w:val="00D93ADC"/>
    <w:rsid w:val="00D93B42"/>
    <w:rsid w:val="00D93D05"/>
    <w:rsid w:val="00D93FFB"/>
    <w:rsid w:val="00D9414E"/>
    <w:rsid w:val="00D94360"/>
    <w:rsid w:val="00D943AF"/>
    <w:rsid w:val="00D945C9"/>
    <w:rsid w:val="00D94639"/>
    <w:rsid w:val="00D94747"/>
    <w:rsid w:val="00D94789"/>
    <w:rsid w:val="00D948E4"/>
    <w:rsid w:val="00D94CDA"/>
    <w:rsid w:val="00D94D6D"/>
    <w:rsid w:val="00D9517E"/>
    <w:rsid w:val="00D953AA"/>
    <w:rsid w:val="00D95676"/>
    <w:rsid w:val="00D956E5"/>
    <w:rsid w:val="00D9574D"/>
    <w:rsid w:val="00D95A16"/>
    <w:rsid w:val="00D95AE6"/>
    <w:rsid w:val="00D95F7D"/>
    <w:rsid w:val="00D95FB8"/>
    <w:rsid w:val="00D960D3"/>
    <w:rsid w:val="00D961D1"/>
    <w:rsid w:val="00D963CD"/>
    <w:rsid w:val="00D96A93"/>
    <w:rsid w:val="00D96D41"/>
    <w:rsid w:val="00D974FF"/>
    <w:rsid w:val="00DA0323"/>
    <w:rsid w:val="00DA068E"/>
    <w:rsid w:val="00DA0843"/>
    <w:rsid w:val="00DA0BD9"/>
    <w:rsid w:val="00DA0D8F"/>
    <w:rsid w:val="00DA19AD"/>
    <w:rsid w:val="00DA19ED"/>
    <w:rsid w:val="00DA1B88"/>
    <w:rsid w:val="00DA1D7A"/>
    <w:rsid w:val="00DA1D9D"/>
    <w:rsid w:val="00DA2702"/>
    <w:rsid w:val="00DA2942"/>
    <w:rsid w:val="00DA29A2"/>
    <w:rsid w:val="00DA2EBC"/>
    <w:rsid w:val="00DA3267"/>
    <w:rsid w:val="00DA3B47"/>
    <w:rsid w:val="00DA3FAA"/>
    <w:rsid w:val="00DA411D"/>
    <w:rsid w:val="00DA4418"/>
    <w:rsid w:val="00DA44DE"/>
    <w:rsid w:val="00DA4566"/>
    <w:rsid w:val="00DA463E"/>
    <w:rsid w:val="00DA4B14"/>
    <w:rsid w:val="00DA4CA5"/>
    <w:rsid w:val="00DA4F69"/>
    <w:rsid w:val="00DA4F82"/>
    <w:rsid w:val="00DA50ED"/>
    <w:rsid w:val="00DA51D9"/>
    <w:rsid w:val="00DA5492"/>
    <w:rsid w:val="00DA5929"/>
    <w:rsid w:val="00DA5AF2"/>
    <w:rsid w:val="00DA5BBD"/>
    <w:rsid w:val="00DA5D78"/>
    <w:rsid w:val="00DA60F3"/>
    <w:rsid w:val="00DA6217"/>
    <w:rsid w:val="00DA62EC"/>
    <w:rsid w:val="00DA6729"/>
    <w:rsid w:val="00DA67B0"/>
    <w:rsid w:val="00DA69D2"/>
    <w:rsid w:val="00DA69FF"/>
    <w:rsid w:val="00DA6A99"/>
    <w:rsid w:val="00DA6C4C"/>
    <w:rsid w:val="00DA6DC5"/>
    <w:rsid w:val="00DA6E16"/>
    <w:rsid w:val="00DA6E33"/>
    <w:rsid w:val="00DA6E85"/>
    <w:rsid w:val="00DA70F8"/>
    <w:rsid w:val="00DA7198"/>
    <w:rsid w:val="00DA7353"/>
    <w:rsid w:val="00DA73F1"/>
    <w:rsid w:val="00DA762E"/>
    <w:rsid w:val="00DA7713"/>
    <w:rsid w:val="00DA79B2"/>
    <w:rsid w:val="00DA7E32"/>
    <w:rsid w:val="00DB0689"/>
    <w:rsid w:val="00DB0893"/>
    <w:rsid w:val="00DB09CF"/>
    <w:rsid w:val="00DB0E1F"/>
    <w:rsid w:val="00DB0F48"/>
    <w:rsid w:val="00DB111C"/>
    <w:rsid w:val="00DB11C7"/>
    <w:rsid w:val="00DB1350"/>
    <w:rsid w:val="00DB139D"/>
    <w:rsid w:val="00DB19FF"/>
    <w:rsid w:val="00DB1A83"/>
    <w:rsid w:val="00DB1BE5"/>
    <w:rsid w:val="00DB1D6E"/>
    <w:rsid w:val="00DB1EF0"/>
    <w:rsid w:val="00DB28F8"/>
    <w:rsid w:val="00DB29E0"/>
    <w:rsid w:val="00DB3014"/>
    <w:rsid w:val="00DB3386"/>
    <w:rsid w:val="00DB342A"/>
    <w:rsid w:val="00DB3616"/>
    <w:rsid w:val="00DB3759"/>
    <w:rsid w:val="00DB3AAC"/>
    <w:rsid w:val="00DB3C2B"/>
    <w:rsid w:val="00DB3D83"/>
    <w:rsid w:val="00DB4090"/>
    <w:rsid w:val="00DB459C"/>
    <w:rsid w:val="00DB46B6"/>
    <w:rsid w:val="00DB48E3"/>
    <w:rsid w:val="00DB4A40"/>
    <w:rsid w:val="00DB4B58"/>
    <w:rsid w:val="00DB4D65"/>
    <w:rsid w:val="00DB4E49"/>
    <w:rsid w:val="00DB4EBC"/>
    <w:rsid w:val="00DB52E0"/>
    <w:rsid w:val="00DB587B"/>
    <w:rsid w:val="00DB58DB"/>
    <w:rsid w:val="00DB58F4"/>
    <w:rsid w:val="00DB59D5"/>
    <w:rsid w:val="00DB5D87"/>
    <w:rsid w:val="00DB5E8D"/>
    <w:rsid w:val="00DB6058"/>
    <w:rsid w:val="00DB61EA"/>
    <w:rsid w:val="00DB63B5"/>
    <w:rsid w:val="00DB63E9"/>
    <w:rsid w:val="00DB64E0"/>
    <w:rsid w:val="00DB66C0"/>
    <w:rsid w:val="00DB6807"/>
    <w:rsid w:val="00DB68AA"/>
    <w:rsid w:val="00DB6976"/>
    <w:rsid w:val="00DB6B00"/>
    <w:rsid w:val="00DB6C31"/>
    <w:rsid w:val="00DB6F62"/>
    <w:rsid w:val="00DB72E9"/>
    <w:rsid w:val="00DB72F4"/>
    <w:rsid w:val="00DB759E"/>
    <w:rsid w:val="00DB78BC"/>
    <w:rsid w:val="00DB7A13"/>
    <w:rsid w:val="00DB7B81"/>
    <w:rsid w:val="00DB7C90"/>
    <w:rsid w:val="00DC0422"/>
    <w:rsid w:val="00DC07AE"/>
    <w:rsid w:val="00DC0818"/>
    <w:rsid w:val="00DC09A5"/>
    <w:rsid w:val="00DC0A5D"/>
    <w:rsid w:val="00DC0B39"/>
    <w:rsid w:val="00DC0C71"/>
    <w:rsid w:val="00DC0CA5"/>
    <w:rsid w:val="00DC0CEF"/>
    <w:rsid w:val="00DC10BA"/>
    <w:rsid w:val="00DC130A"/>
    <w:rsid w:val="00DC1399"/>
    <w:rsid w:val="00DC14DE"/>
    <w:rsid w:val="00DC15C2"/>
    <w:rsid w:val="00DC160E"/>
    <w:rsid w:val="00DC1A0B"/>
    <w:rsid w:val="00DC1A33"/>
    <w:rsid w:val="00DC1C70"/>
    <w:rsid w:val="00DC1CCC"/>
    <w:rsid w:val="00DC2095"/>
    <w:rsid w:val="00DC20D6"/>
    <w:rsid w:val="00DC275C"/>
    <w:rsid w:val="00DC2C44"/>
    <w:rsid w:val="00DC2D50"/>
    <w:rsid w:val="00DC320B"/>
    <w:rsid w:val="00DC3397"/>
    <w:rsid w:val="00DC341A"/>
    <w:rsid w:val="00DC39DE"/>
    <w:rsid w:val="00DC3B3C"/>
    <w:rsid w:val="00DC3B52"/>
    <w:rsid w:val="00DC44AA"/>
    <w:rsid w:val="00DC44B8"/>
    <w:rsid w:val="00DC4518"/>
    <w:rsid w:val="00DC4A72"/>
    <w:rsid w:val="00DC4B7A"/>
    <w:rsid w:val="00DC4B84"/>
    <w:rsid w:val="00DC4CA9"/>
    <w:rsid w:val="00DC5217"/>
    <w:rsid w:val="00DC5272"/>
    <w:rsid w:val="00DC5471"/>
    <w:rsid w:val="00DC5B2C"/>
    <w:rsid w:val="00DC5C3F"/>
    <w:rsid w:val="00DC5C57"/>
    <w:rsid w:val="00DC5FF7"/>
    <w:rsid w:val="00DC5FFD"/>
    <w:rsid w:val="00DC60A6"/>
    <w:rsid w:val="00DC662C"/>
    <w:rsid w:val="00DC67B3"/>
    <w:rsid w:val="00DC6C6D"/>
    <w:rsid w:val="00DC6D28"/>
    <w:rsid w:val="00DC706F"/>
    <w:rsid w:val="00DC712A"/>
    <w:rsid w:val="00DC7380"/>
    <w:rsid w:val="00DC75EC"/>
    <w:rsid w:val="00DC763C"/>
    <w:rsid w:val="00DC7993"/>
    <w:rsid w:val="00DC79B8"/>
    <w:rsid w:val="00DC7A77"/>
    <w:rsid w:val="00DD03D6"/>
    <w:rsid w:val="00DD089D"/>
    <w:rsid w:val="00DD1283"/>
    <w:rsid w:val="00DD1738"/>
    <w:rsid w:val="00DD1980"/>
    <w:rsid w:val="00DD1BB1"/>
    <w:rsid w:val="00DD1D6A"/>
    <w:rsid w:val="00DD1DF2"/>
    <w:rsid w:val="00DD2207"/>
    <w:rsid w:val="00DD2459"/>
    <w:rsid w:val="00DD2740"/>
    <w:rsid w:val="00DD27DE"/>
    <w:rsid w:val="00DD30E7"/>
    <w:rsid w:val="00DD33B0"/>
    <w:rsid w:val="00DD340D"/>
    <w:rsid w:val="00DD35D6"/>
    <w:rsid w:val="00DD3A8F"/>
    <w:rsid w:val="00DD3B5E"/>
    <w:rsid w:val="00DD3CD6"/>
    <w:rsid w:val="00DD3FE9"/>
    <w:rsid w:val="00DD41B0"/>
    <w:rsid w:val="00DD424B"/>
    <w:rsid w:val="00DD43C3"/>
    <w:rsid w:val="00DD444B"/>
    <w:rsid w:val="00DD4467"/>
    <w:rsid w:val="00DD48C7"/>
    <w:rsid w:val="00DD4DA5"/>
    <w:rsid w:val="00DD4F97"/>
    <w:rsid w:val="00DD50EE"/>
    <w:rsid w:val="00DD51FB"/>
    <w:rsid w:val="00DD59EB"/>
    <w:rsid w:val="00DD5A95"/>
    <w:rsid w:val="00DD5DB5"/>
    <w:rsid w:val="00DD5F44"/>
    <w:rsid w:val="00DD6988"/>
    <w:rsid w:val="00DD6995"/>
    <w:rsid w:val="00DD6D61"/>
    <w:rsid w:val="00DD6D94"/>
    <w:rsid w:val="00DD6E30"/>
    <w:rsid w:val="00DD6EBB"/>
    <w:rsid w:val="00DD70FB"/>
    <w:rsid w:val="00DD72F3"/>
    <w:rsid w:val="00DD76C9"/>
    <w:rsid w:val="00DD7740"/>
    <w:rsid w:val="00DD7DB5"/>
    <w:rsid w:val="00DE031B"/>
    <w:rsid w:val="00DE043C"/>
    <w:rsid w:val="00DE07C6"/>
    <w:rsid w:val="00DE0C3B"/>
    <w:rsid w:val="00DE111C"/>
    <w:rsid w:val="00DE12BD"/>
    <w:rsid w:val="00DE13CA"/>
    <w:rsid w:val="00DE159D"/>
    <w:rsid w:val="00DE18EE"/>
    <w:rsid w:val="00DE194E"/>
    <w:rsid w:val="00DE1E42"/>
    <w:rsid w:val="00DE2203"/>
    <w:rsid w:val="00DE231E"/>
    <w:rsid w:val="00DE2504"/>
    <w:rsid w:val="00DE25CF"/>
    <w:rsid w:val="00DE295C"/>
    <w:rsid w:val="00DE2DD8"/>
    <w:rsid w:val="00DE2E8C"/>
    <w:rsid w:val="00DE2F11"/>
    <w:rsid w:val="00DE30A5"/>
    <w:rsid w:val="00DE340C"/>
    <w:rsid w:val="00DE374E"/>
    <w:rsid w:val="00DE379E"/>
    <w:rsid w:val="00DE3855"/>
    <w:rsid w:val="00DE3F1E"/>
    <w:rsid w:val="00DE434C"/>
    <w:rsid w:val="00DE470A"/>
    <w:rsid w:val="00DE47BE"/>
    <w:rsid w:val="00DE4824"/>
    <w:rsid w:val="00DE49D9"/>
    <w:rsid w:val="00DE4E3C"/>
    <w:rsid w:val="00DE5040"/>
    <w:rsid w:val="00DE518D"/>
    <w:rsid w:val="00DE528A"/>
    <w:rsid w:val="00DE5359"/>
    <w:rsid w:val="00DE5442"/>
    <w:rsid w:val="00DE5833"/>
    <w:rsid w:val="00DE5887"/>
    <w:rsid w:val="00DE5AC7"/>
    <w:rsid w:val="00DE5DE2"/>
    <w:rsid w:val="00DE643D"/>
    <w:rsid w:val="00DE6590"/>
    <w:rsid w:val="00DE69BE"/>
    <w:rsid w:val="00DE6B9B"/>
    <w:rsid w:val="00DE6D8B"/>
    <w:rsid w:val="00DE7080"/>
    <w:rsid w:val="00DE7263"/>
    <w:rsid w:val="00DE72F7"/>
    <w:rsid w:val="00DE7A0B"/>
    <w:rsid w:val="00DE7B90"/>
    <w:rsid w:val="00DE7D34"/>
    <w:rsid w:val="00DE7DFF"/>
    <w:rsid w:val="00DE7F0F"/>
    <w:rsid w:val="00DF0254"/>
    <w:rsid w:val="00DF0682"/>
    <w:rsid w:val="00DF0AF5"/>
    <w:rsid w:val="00DF0E4E"/>
    <w:rsid w:val="00DF0F52"/>
    <w:rsid w:val="00DF1518"/>
    <w:rsid w:val="00DF1E84"/>
    <w:rsid w:val="00DF205F"/>
    <w:rsid w:val="00DF243C"/>
    <w:rsid w:val="00DF261F"/>
    <w:rsid w:val="00DF2CF1"/>
    <w:rsid w:val="00DF2D99"/>
    <w:rsid w:val="00DF2F96"/>
    <w:rsid w:val="00DF3040"/>
    <w:rsid w:val="00DF32A7"/>
    <w:rsid w:val="00DF32E3"/>
    <w:rsid w:val="00DF390D"/>
    <w:rsid w:val="00DF3C36"/>
    <w:rsid w:val="00DF3C91"/>
    <w:rsid w:val="00DF3E44"/>
    <w:rsid w:val="00DF4048"/>
    <w:rsid w:val="00DF4108"/>
    <w:rsid w:val="00DF417E"/>
    <w:rsid w:val="00DF428D"/>
    <w:rsid w:val="00DF42F4"/>
    <w:rsid w:val="00DF439D"/>
    <w:rsid w:val="00DF471A"/>
    <w:rsid w:val="00DF47D3"/>
    <w:rsid w:val="00DF4960"/>
    <w:rsid w:val="00DF4BC8"/>
    <w:rsid w:val="00DF4C4E"/>
    <w:rsid w:val="00DF50C9"/>
    <w:rsid w:val="00DF511B"/>
    <w:rsid w:val="00DF5135"/>
    <w:rsid w:val="00DF5195"/>
    <w:rsid w:val="00DF52F2"/>
    <w:rsid w:val="00DF5622"/>
    <w:rsid w:val="00DF56DB"/>
    <w:rsid w:val="00DF574D"/>
    <w:rsid w:val="00DF5A56"/>
    <w:rsid w:val="00DF5BA5"/>
    <w:rsid w:val="00DF5BFB"/>
    <w:rsid w:val="00DF6093"/>
    <w:rsid w:val="00DF6187"/>
    <w:rsid w:val="00DF628F"/>
    <w:rsid w:val="00DF670E"/>
    <w:rsid w:val="00DF67A4"/>
    <w:rsid w:val="00DF70E1"/>
    <w:rsid w:val="00DF713F"/>
    <w:rsid w:val="00DF740A"/>
    <w:rsid w:val="00DF761B"/>
    <w:rsid w:val="00DF78DD"/>
    <w:rsid w:val="00DF7934"/>
    <w:rsid w:val="00DF7A92"/>
    <w:rsid w:val="00DF7D6F"/>
    <w:rsid w:val="00DF7ED1"/>
    <w:rsid w:val="00DF7F2A"/>
    <w:rsid w:val="00E00373"/>
    <w:rsid w:val="00E00515"/>
    <w:rsid w:val="00E00691"/>
    <w:rsid w:val="00E00812"/>
    <w:rsid w:val="00E009CA"/>
    <w:rsid w:val="00E00D34"/>
    <w:rsid w:val="00E00FFE"/>
    <w:rsid w:val="00E012A3"/>
    <w:rsid w:val="00E0159B"/>
    <w:rsid w:val="00E015EE"/>
    <w:rsid w:val="00E019F0"/>
    <w:rsid w:val="00E01A7E"/>
    <w:rsid w:val="00E01BB9"/>
    <w:rsid w:val="00E023F4"/>
    <w:rsid w:val="00E02522"/>
    <w:rsid w:val="00E02845"/>
    <w:rsid w:val="00E02AB0"/>
    <w:rsid w:val="00E0314C"/>
    <w:rsid w:val="00E03259"/>
    <w:rsid w:val="00E0327D"/>
    <w:rsid w:val="00E034D4"/>
    <w:rsid w:val="00E0355A"/>
    <w:rsid w:val="00E035F5"/>
    <w:rsid w:val="00E03A97"/>
    <w:rsid w:val="00E03B0B"/>
    <w:rsid w:val="00E03C2C"/>
    <w:rsid w:val="00E03E16"/>
    <w:rsid w:val="00E0402B"/>
    <w:rsid w:val="00E04144"/>
    <w:rsid w:val="00E04523"/>
    <w:rsid w:val="00E04839"/>
    <w:rsid w:val="00E04999"/>
    <w:rsid w:val="00E04F10"/>
    <w:rsid w:val="00E05013"/>
    <w:rsid w:val="00E050A2"/>
    <w:rsid w:val="00E053B4"/>
    <w:rsid w:val="00E053F5"/>
    <w:rsid w:val="00E05440"/>
    <w:rsid w:val="00E05530"/>
    <w:rsid w:val="00E05619"/>
    <w:rsid w:val="00E056BE"/>
    <w:rsid w:val="00E05A08"/>
    <w:rsid w:val="00E05BE1"/>
    <w:rsid w:val="00E06034"/>
    <w:rsid w:val="00E0627C"/>
    <w:rsid w:val="00E062A1"/>
    <w:rsid w:val="00E063D6"/>
    <w:rsid w:val="00E06409"/>
    <w:rsid w:val="00E066FE"/>
    <w:rsid w:val="00E06A5A"/>
    <w:rsid w:val="00E06E2E"/>
    <w:rsid w:val="00E06F2B"/>
    <w:rsid w:val="00E06FA0"/>
    <w:rsid w:val="00E070DA"/>
    <w:rsid w:val="00E071B4"/>
    <w:rsid w:val="00E07555"/>
    <w:rsid w:val="00E075A1"/>
    <w:rsid w:val="00E075F3"/>
    <w:rsid w:val="00E076B4"/>
    <w:rsid w:val="00E07A59"/>
    <w:rsid w:val="00E07B1A"/>
    <w:rsid w:val="00E07DC6"/>
    <w:rsid w:val="00E102DF"/>
    <w:rsid w:val="00E10361"/>
    <w:rsid w:val="00E105EE"/>
    <w:rsid w:val="00E1079A"/>
    <w:rsid w:val="00E108F5"/>
    <w:rsid w:val="00E10955"/>
    <w:rsid w:val="00E10D6C"/>
    <w:rsid w:val="00E10F60"/>
    <w:rsid w:val="00E1123C"/>
    <w:rsid w:val="00E1128E"/>
    <w:rsid w:val="00E11294"/>
    <w:rsid w:val="00E11594"/>
    <w:rsid w:val="00E1179A"/>
    <w:rsid w:val="00E117B1"/>
    <w:rsid w:val="00E11821"/>
    <w:rsid w:val="00E11BFD"/>
    <w:rsid w:val="00E11FA7"/>
    <w:rsid w:val="00E12138"/>
    <w:rsid w:val="00E122E2"/>
    <w:rsid w:val="00E126ED"/>
    <w:rsid w:val="00E1286B"/>
    <w:rsid w:val="00E12905"/>
    <w:rsid w:val="00E129D1"/>
    <w:rsid w:val="00E12D0A"/>
    <w:rsid w:val="00E12D14"/>
    <w:rsid w:val="00E13265"/>
    <w:rsid w:val="00E134E7"/>
    <w:rsid w:val="00E13CBE"/>
    <w:rsid w:val="00E13F9D"/>
    <w:rsid w:val="00E13FCB"/>
    <w:rsid w:val="00E14899"/>
    <w:rsid w:val="00E14985"/>
    <w:rsid w:val="00E149D3"/>
    <w:rsid w:val="00E14B74"/>
    <w:rsid w:val="00E14D83"/>
    <w:rsid w:val="00E14DE7"/>
    <w:rsid w:val="00E14F16"/>
    <w:rsid w:val="00E14FC1"/>
    <w:rsid w:val="00E1514D"/>
    <w:rsid w:val="00E15322"/>
    <w:rsid w:val="00E1548D"/>
    <w:rsid w:val="00E15623"/>
    <w:rsid w:val="00E156AD"/>
    <w:rsid w:val="00E15838"/>
    <w:rsid w:val="00E159B5"/>
    <w:rsid w:val="00E15A91"/>
    <w:rsid w:val="00E15A9B"/>
    <w:rsid w:val="00E15ABD"/>
    <w:rsid w:val="00E15B6E"/>
    <w:rsid w:val="00E15EFC"/>
    <w:rsid w:val="00E1602C"/>
    <w:rsid w:val="00E1653B"/>
    <w:rsid w:val="00E16754"/>
    <w:rsid w:val="00E16816"/>
    <w:rsid w:val="00E16A59"/>
    <w:rsid w:val="00E16FF8"/>
    <w:rsid w:val="00E1713A"/>
    <w:rsid w:val="00E171AB"/>
    <w:rsid w:val="00E17228"/>
    <w:rsid w:val="00E1763E"/>
    <w:rsid w:val="00E17A41"/>
    <w:rsid w:val="00E17D29"/>
    <w:rsid w:val="00E20052"/>
    <w:rsid w:val="00E200AA"/>
    <w:rsid w:val="00E20214"/>
    <w:rsid w:val="00E202DF"/>
    <w:rsid w:val="00E205A7"/>
    <w:rsid w:val="00E20A3B"/>
    <w:rsid w:val="00E20AC4"/>
    <w:rsid w:val="00E20B0B"/>
    <w:rsid w:val="00E20D4E"/>
    <w:rsid w:val="00E20F0D"/>
    <w:rsid w:val="00E20FC6"/>
    <w:rsid w:val="00E21260"/>
    <w:rsid w:val="00E21373"/>
    <w:rsid w:val="00E21634"/>
    <w:rsid w:val="00E21999"/>
    <w:rsid w:val="00E21A1F"/>
    <w:rsid w:val="00E21B01"/>
    <w:rsid w:val="00E21C4B"/>
    <w:rsid w:val="00E21D92"/>
    <w:rsid w:val="00E227CB"/>
    <w:rsid w:val="00E22F86"/>
    <w:rsid w:val="00E23575"/>
    <w:rsid w:val="00E235D4"/>
    <w:rsid w:val="00E23D18"/>
    <w:rsid w:val="00E23F30"/>
    <w:rsid w:val="00E24101"/>
    <w:rsid w:val="00E24348"/>
    <w:rsid w:val="00E24564"/>
    <w:rsid w:val="00E248A3"/>
    <w:rsid w:val="00E24DDA"/>
    <w:rsid w:val="00E24E3E"/>
    <w:rsid w:val="00E2507C"/>
    <w:rsid w:val="00E252EC"/>
    <w:rsid w:val="00E26017"/>
    <w:rsid w:val="00E26155"/>
    <w:rsid w:val="00E2622B"/>
    <w:rsid w:val="00E264CA"/>
    <w:rsid w:val="00E26D49"/>
    <w:rsid w:val="00E26DD6"/>
    <w:rsid w:val="00E26E4F"/>
    <w:rsid w:val="00E26ED6"/>
    <w:rsid w:val="00E27151"/>
    <w:rsid w:val="00E273FF"/>
    <w:rsid w:val="00E276DE"/>
    <w:rsid w:val="00E2786E"/>
    <w:rsid w:val="00E2794B"/>
    <w:rsid w:val="00E27BCC"/>
    <w:rsid w:val="00E27D64"/>
    <w:rsid w:val="00E27ECB"/>
    <w:rsid w:val="00E27F9F"/>
    <w:rsid w:val="00E30206"/>
    <w:rsid w:val="00E30535"/>
    <w:rsid w:val="00E30D2D"/>
    <w:rsid w:val="00E30DB9"/>
    <w:rsid w:val="00E30E9C"/>
    <w:rsid w:val="00E30F69"/>
    <w:rsid w:val="00E30FCA"/>
    <w:rsid w:val="00E3105F"/>
    <w:rsid w:val="00E31083"/>
    <w:rsid w:val="00E311CF"/>
    <w:rsid w:val="00E31235"/>
    <w:rsid w:val="00E31448"/>
    <w:rsid w:val="00E31888"/>
    <w:rsid w:val="00E31974"/>
    <w:rsid w:val="00E31DF6"/>
    <w:rsid w:val="00E31E45"/>
    <w:rsid w:val="00E320C2"/>
    <w:rsid w:val="00E32494"/>
    <w:rsid w:val="00E325DA"/>
    <w:rsid w:val="00E32659"/>
    <w:rsid w:val="00E3289F"/>
    <w:rsid w:val="00E328AC"/>
    <w:rsid w:val="00E32D76"/>
    <w:rsid w:val="00E33333"/>
    <w:rsid w:val="00E33522"/>
    <w:rsid w:val="00E335C6"/>
    <w:rsid w:val="00E33653"/>
    <w:rsid w:val="00E3374D"/>
    <w:rsid w:val="00E337FF"/>
    <w:rsid w:val="00E33824"/>
    <w:rsid w:val="00E3383F"/>
    <w:rsid w:val="00E33A7E"/>
    <w:rsid w:val="00E33F39"/>
    <w:rsid w:val="00E33FC0"/>
    <w:rsid w:val="00E3422B"/>
    <w:rsid w:val="00E3449D"/>
    <w:rsid w:val="00E34A36"/>
    <w:rsid w:val="00E34AED"/>
    <w:rsid w:val="00E34B50"/>
    <w:rsid w:val="00E34D3F"/>
    <w:rsid w:val="00E34FF1"/>
    <w:rsid w:val="00E350A6"/>
    <w:rsid w:val="00E35472"/>
    <w:rsid w:val="00E3565A"/>
    <w:rsid w:val="00E35B70"/>
    <w:rsid w:val="00E35C58"/>
    <w:rsid w:val="00E35E9B"/>
    <w:rsid w:val="00E35EC2"/>
    <w:rsid w:val="00E35FDD"/>
    <w:rsid w:val="00E363B4"/>
    <w:rsid w:val="00E364E3"/>
    <w:rsid w:val="00E36AAC"/>
    <w:rsid w:val="00E36AD3"/>
    <w:rsid w:val="00E36E72"/>
    <w:rsid w:val="00E3708E"/>
    <w:rsid w:val="00E372C6"/>
    <w:rsid w:val="00E372FF"/>
    <w:rsid w:val="00E37668"/>
    <w:rsid w:val="00E376DE"/>
    <w:rsid w:val="00E37B69"/>
    <w:rsid w:val="00E37BD3"/>
    <w:rsid w:val="00E37C34"/>
    <w:rsid w:val="00E37E50"/>
    <w:rsid w:val="00E40103"/>
    <w:rsid w:val="00E40296"/>
    <w:rsid w:val="00E403D1"/>
    <w:rsid w:val="00E403DB"/>
    <w:rsid w:val="00E40407"/>
    <w:rsid w:val="00E40539"/>
    <w:rsid w:val="00E405F7"/>
    <w:rsid w:val="00E40C21"/>
    <w:rsid w:val="00E410BD"/>
    <w:rsid w:val="00E410F8"/>
    <w:rsid w:val="00E41117"/>
    <w:rsid w:val="00E4135F"/>
    <w:rsid w:val="00E4159C"/>
    <w:rsid w:val="00E4171F"/>
    <w:rsid w:val="00E41908"/>
    <w:rsid w:val="00E42209"/>
    <w:rsid w:val="00E4260C"/>
    <w:rsid w:val="00E429DD"/>
    <w:rsid w:val="00E42CBC"/>
    <w:rsid w:val="00E42F28"/>
    <w:rsid w:val="00E43051"/>
    <w:rsid w:val="00E4337C"/>
    <w:rsid w:val="00E437B3"/>
    <w:rsid w:val="00E43B38"/>
    <w:rsid w:val="00E43B5F"/>
    <w:rsid w:val="00E43DC4"/>
    <w:rsid w:val="00E43E4D"/>
    <w:rsid w:val="00E44039"/>
    <w:rsid w:val="00E4430A"/>
    <w:rsid w:val="00E444AE"/>
    <w:rsid w:val="00E44747"/>
    <w:rsid w:val="00E4479B"/>
    <w:rsid w:val="00E447EB"/>
    <w:rsid w:val="00E448F8"/>
    <w:rsid w:val="00E44C02"/>
    <w:rsid w:val="00E44CCF"/>
    <w:rsid w:val="00E44DA9"/>
    <w:rsid w:val="00E44EB8"/>
    <w:rsid w:val="00E450C2"/>
    <w:rsid w:val="00E451B9"/>
    <w:rsid w:val="00E4548D"/>
    <w:rsid w:val="00E45731"/>
    <w:rsid w:val="00E45797"/>
    <w:rsid w:val="00E457AB"/>
    <w:rsid w:val="00E45A2F"/>
    <w:rsid w:val="00E45D6B"/>
    <w:rsid w:val="00E45F7F"/>
    <w:rsid w:val="00E46666"/>
    <w:rsid w:val="00E467FE"/>
    <w:rsid w:val="00E4696C"/>
    <w:rsid w:val="00E46BFE"/>
    <w:rsid w:val="00E46C21"/>
    <w:rsid w:val="00E46D03"/>
    <w:rsid w:val="00E46E46"/>
    <w:rsid w:val="00E472EB"/>
    <w:rsid w:val="00E47A57"/>
    <w:rsid w:val="00E47B6D"/>
    <w:rsid w:val="00E47EF6"/>
    <w:rsid w:val="00E50922"/>
    <w:rsid w:val="00E5098A"/>
    <w:rsid w:val="00E51253"/>
    <w:rsid w:val="00E51C79"/>
    <w:rsid w:val="00E5204E"/>
    <w:rsid w:val="00E522AB"/>
    <w:rsid w:val="00E52A40"/>
    <w:rsid w:val="00E52AC7"/>
    <w:rsid w:val="00E52E25"/>
    <w:rsid w:val="00E5318C"/>
    <w:rsid w:val="00E533A1"/>
    <w:rsid w:val="00E53448"/>
    <w:rsid w:val="00E5345D"/>
    <w:rsid w:val="00E5374A"/>
    <w:rsid w:val="00E53931"/>
    <w:rsid w:val="00E5396B"/>
    <w:rsid w:val="00E53A24"/>
    <w:rsid w:val="00E53B63"/>
    <w:rsid w:val="00E53BE1"/>
    <w:rsid w:val="00E53CAB"/>
    <w:rsid w:val="00E53F97"/>
    <w:rsid w:val="00E54019"/>
    <w:rsid w:val="00E5424D"/>
    <w:rsid w:val="00E5474C"/>
    <w:rsid w:val="00E5497F"/>
    <w:rsid w:val="00E54E3F"/>
    <w:rsid w:val="00E55022"/>
    <w:rsid w:val="00E551C3"/>
    <w:rsid w:val="00E5528D"/>
    <w:rsid w:val="00E555D8"/>
    <w:rsid w:val="00E55889"/>
    <w:rsid w:val="00E559EA"/>
    <w:rsid w:val="00E55C98"/>
    <w:rsid w:val="00E55CA5"/>
    <w:rsid w:val="00E55EAC"/>
    <w:rsid w:val="00E56040"/>
    <w:rsid w:val="00E56158"/>
    <w:rsid w:val="00E564EF"/>
    <w:rsid w:val="00E56528"/>
    <w:rsid w:val="00E5675C"/>
    <w:rsid w:val="00E567AE"/>
    <w:rsid w:val="00E567BD"/>
    <w:rsid w:val="00E568DF"/>
    <w:rsid w:val="00E56EAC"/>
    <w:rsid w:val="00E57227"/>
    <w:rsid w:val="00E57268"/>
    <w:rsid w:val="00E57357"/>
    <w:rsid w:val="00E573E8"/>
    <w:rsid w:val="00E576AB"/>
    <w:rsid w:val="00E5784A"/>
    <w:rsid w:val="00E57ADC"/>
    <w:rsid w:val="00E57B81"/>
    <w:rsid w:val="00E57D13"/>
    <w:rsid w:val="00E57F70"/>
    <w:rsid w:val="00E60252"/>
    <w:rsid w:val="00E602B0"/>
    <w:rsid w:val="00E6030E"/>
    <w:rsid w:val="00E6058E"/>
    <w:rsid w:val="00E607A3"/>
    <w:rsid w:val="00E607CC"/>
    <w:rsid w:val="00E60D47"/>
    <w:rsid w:val="00E60F57"/>
    <w:rsid w:val="00E60FF0"/>
    <w:rsid w:val="00E61299"/>
    <w:rsid w:val="00E61401"/>
    <w:rsid w:val="00E61678"/>
    <w:rsid w:val="00E61C32"/>
    <w:rsid w:val="00E61C78"/>
    <w:rsid w:val="00E61DFD"/>
    <w:rsid w:val="00E6209B"/>
    <w:rsid w:val="00E62417"/>
    <w:rsid w:val="00E62566"/>
    <w:rsid w:val="00E626E2"/>
    <w:rsid w:val="00E62B3A"/>
    <w:rsid w:val="00E62BA9"/>
    <w:rsid w:val="00E630FA"/>
    <w:rsid w:val="00E63317"/>
    <w:rsid w:val="00E63752"/>
    <w:rsid w:val="00E63E85"/>
    <w:rsid w:val="00E6404B"/>
    <w:rsid w:val="00E64154"/>
    <w:rsid w:val="00E643D8"/>
    <w:rsid w:val="00E644F4"/>
    <w:rsid w:val="00E64534"/>
    <w:rsid w:val="00E6463A"/>
    <w:rsid w:val="00E64B77"/>
    <w:rsid w:val="00E64E17"/>
    <w:rsid w:val="00E6512A"/>
    <w:rsid w:val="00E6539C"/>
    <w:rsid w:val="00E658D4"/>
    <w:rsid w:val="00E65907"/>
    <w:rsid w:val="00E65A34"/>
    <w:rsid w:val="00E65C7A"/>
    <w:rsid w:val="00E65EAA"/>
    <w:rsid w:val="00E6653B"/>
    <w:rsid w:val="00E6678C"/>
    <w:rsid w:val="00E67078"/>
    <w:rsid w:val="00E67095"/>
    <w:rsid w:val="00E6728C"/>
    <w:rsid w:val="00E67549"/>
    <w:rsid w:val="00E67630"/>
    <w:rsid w:val="00E67AA1"/>
    <w:rsid w:val="00E67DF2"/>
    <w:rsid w:val="00E67E89"/>
    <w:rsid w:val="00E67EEA"/>
    <w:rsid w:val="00E705BF"/>
    <w:rsid w:val="00E70829"/>
    <w:rsid w:val="00E709E2"/>
    <w:rsid w:val="00E7108A"/>
    <w:rsid w:val="00E7123B"/>
    <w:rsid w:val="00E7128C"/>
    <w:rsid w:val="00E713B6"/>
    <w:rsid w:val="00E715C2"/>
    <w:rsid w:val="00E717AB"/>
    <w:rsid w:val="00E717CA"/>
    <w:rsid w:val="00E7199F"/>
    <w:rsid w:val="00E71C14"/>
    <w:rsid w:val="00E71C36"/>
    <w:rsid w:val="00E71E36"/>
    <w:rsid w:val="00E71F65"/>
    <w:rsid w:val="00E720FE"/>
    <w:rsid w:val="00E7259E"/>
    <w:rsid w:val="00E725FC"/>
    <w:rsid w:val="00E727BB"/>
    <w:rsid w:val="00E72BD1"/>
    <w:rsid w:val="00E7302A"/>
    <w:rsid w:val="00E732F2"/>
    <w:rsid w:val="00E7334F"/>
    <w:rsid w:val="00E73647"/>
    <w:rsid w:val="00E73686"/>
    <w:rsid w:val="00E7375A"/>
    <w:rsid w:val="00E7379B"/>
    <w:rsid w:val="00E73846"/>
    <w:rsid w:val="00E73A3A"/>
    <w:rsid w:val="00E73ED2"/>
    <w:rsid w:val="00E74073"/>
    <w:rsid w:val="00E74109"/>
    <w:rsid w:val="00E74307"/>
    <w:rsid w:val="00E743CD"/>
    <w:rsid w:val="00E7468E"/>
    <w:rsid w:val="00E74969"/>
    <w:rsid w:val="00E750C5"/>
    <w:rsid w:val="00E752E2"/>
    <w:rsid w:val="00E7541E"/>
    <w:rsid w:val="00E754B4"/>
    <w:rsid w:val="00E75523"/>
    <w:rsid w:val="00E756D1"/>
    <w:rsid w:val="00E75745"/>
    <w:rsid w:val="00E7598A"/>
    <w:rsid w:val="00E759D6"/>
    <w:rsid w:val="00E75BC8"/>
    <w:rsid w:val="00E75C65"/>
    <w:rsid w:val="00E75E21"/>
    <w:rsid w:val="00E76002"/>
    <w:rsid w:val="00E76042"/>
    <w:rsid w:val="00E76B91"/>
    <w:rsid w:val="00E76BCA"/>
    <w:rsid w:val="00E76C4B"/>
    <w:rsid w:val="00E77150"/>
    <w:rsid w:val="00E775A7"/>
    <w:rsid w:val="00E7767F"/>
    <w:rsid w:val="00E77963"/>
    <w:rsid w:val="00E77970"/>
    <w:rsid w:val="00E77A1F"/>
    <w:rsid w:val="00E8003A"/>
    <w:rsid w:val="00E8035E"/>
    <w:rsid w:val="00E803EF"/>
    <w:rsid w:val="00E807A8"/>
    <w:rsid w:val="00E80996"/>
    <w:rsid w:val="00E80BF9"/>
    <w:rsid w:val="00E80CC3"/>
    <w:rsid w:val="00E80EF3"/>
    <w:rsid w:val="00E810D5"/>
    <w:rsid w:val="00E81395"/>
    <w:rsid w:val="00E819AA"/>
    <w:rsid w:val="00E820A7"/>
    <w:rsid w:val="00E8252C"/>
    <w:rsid w:val="00E8258F"/>
    <w:rsid w:val="00E82BE5"/>
    <w:rsid w:val="00E82C32"/>
    <w:rsid w:val="00E82EB2"/>
    <w:rsid w:val="00E8303D"/>
    <w:rsid w:val="00E83182"/>
    <w:rsid w:val="00E83362"/>
    <w:rsid w:val="00E8336C"/>
    <w:rsid w:val="00E836CC"/>
    <w:rsid w:val="00E83942"/>
    <w:rsid w:val="00E83A5C"/>
    <w:rsid w:val="00E83C89"/>
    <w:rsid w:val="00E84647"/>
    <w:rsid w:val="00E846E1"/>
    <w:rsid w:val="00E846F4"/>
    <w:rsid w:val="00E8489A"/>
    <w:rsid w:val="00E84C07"/>
    <w:rsid w:val="00E84DB2"/>
    <w:rsid w:val="00E84DDD"/>
    <w:rsid w:val="00E84F28"/>
    <w:rsid w:val="00E85013"/>
    <w:rsid w:val="00E850F5"/>
    <w:rsid w:val="00E8520F"/>
    <w:rsid w:val="00E852E4"/>
    <w:rsid w:val="00E8543A"/>
    <w:rsid w:val="00E856DC"/>
    <w:rsid w:val="00E858AF"/>
    <w:rsid w:val="00E859A2"/>
    <w:rsid w:val="00E859F1"/>
    <w:rsid w:val="00E85A98"/>
    <w:rsid w:val="00E85BA5"/>
    <w:rsid w:val="00E85D50"/>
    <w:rsid w:val="00E85E4C"/>
    <w:rsid w:val="00E86181"/>
    <w:rsid w:val="00E868AC"/>
    <w:rsid w:val="00E86986"/>
    <w:rsid w:val="00E86DAB"/>
    <w:rsid w:val="00E86EA2"/>
    <w:rsid w:val="00E87157"/>
    <w:rsid w:val="00E87500"/>
    <w:rsid w:val="00E87675"/>
    <w:rsid w:val="00E87DE8"/>
    <w:rsid w:val="00E9014C"/>
    <w:rsid w:val="00E90210"/>
    <w:rsid w:val="00E90BBB"/>
    <w:rsid w:val="00E90BE1"/>
    <w:rsid w:val="00E90F6E"/>
    <w:rsid w:val="00E916BC"/>
    <w:rsid w:val="00E919B6"/>
    <w:rsid w:val="00E91A75"/>
    <w:rsid w:val="00E91C53"/>
    <w:rsid w:val="00E91F2C"/>
    <w:rsid w:val="00E92410"/>
    <w:rsid w:val="00E92470"/>
    <w:rsid w:val="00E9281D"/>
    <w:rsid w:val="00E92838"/>
    <w:rsid w:val="00E92AC6"/>
    <w:rsid w:val="00E92B07"/>
    <w:rsid w:val="00E92C2D"/>
    <w:rsid w:val="00E92CCA"/>
    <w:rsid w:val="00E92D06"/>
    <w:rsid w:val="00E92D79"/>
    <w:rsid w:val="00E92DD6"/>
    <w:rsid w:val="00E92DE0"/>
    <w:rsid w:val="00E92F56"/>
    <w:rsid w:val="00E93175"/>
    <w:rsid w:val="00E931EF"/>
    <w:rsid w:val="00E932DA"/>
    <w:rsid w:val="00E9355B"/>
    <w:rsid w:val="00E93603"/>
    <w:rsid w:val="00E938DF"/>
    <w:rsid w:val="00E93B09"/>
    <w:rsid w:val="00E93D26"/>
    <w:rsid w:val="00E93D48"/>
    <w:rsid w:val="00E940D6"/>
    <w:rsid w:val="00E94442"/>
    <w:rsid w:val="00E944E1"/>
    <w:rsid w:val="00E95191"/>
    <w:rsid w:val="00E95635"/>
    <w:rsid w:val="00E95741"/>
    <w:rsid w:val="00E95C69"/>
    <w:rsid w:val="00E95D67"/>
    <w:rsid w:val="00E95E0C"/>
    <w:rsid w:val="00E9622A"/>
    <w:rsid w:val="00E96304"/>
    <w:rsid w:val="00E9635E"/>
    <w:rsid w:val="00E9657C"/>
    <w:rsid w:val="00E965DC"/>
    <w:rsid w:val="00E966B2"/>
    <w:rsid w:val="00E96776"/>
    <w:rsid w:val="00E96881"/>
    <w:rsid w:val="00E96C4D"/>
    <w:rsid w:val="00E96CB8"/>
    <w:rsid w:val="00E96CEC"/>
    <w:rsid w:val="00E97056"/>
    <w:rsid w:val="00E97732"/>
    <w:rsid w:val="00E97742"/>
    <w:rsid w:val="00E97914"/>
    <w:rsid w:val="00E97BB1"/>
    <w:rsid w:val="00E97BFE"/>
    <w:rsid w:val="00E97D07"/>
    <w:rsid w:val="00E97D1D"/>
    <w:rsid w:val="00EA00AD"/>
    <w:rsid w:val="00EA02E3"/>
    <w:rsid w:val="00EA02F6"/>
    <w:rsid w:val="00EA035D"/>
    <w:rsid w:val="00EA036B"/>
    <w:rsid w:val="00EA047F"/>
    <w:rsid w:val="00EA049F"/>
    <w:rsid w:val="00EA0674"/>
    <w:rsid w:val="00EA0981"/>
    <w:rsid w:val="00EA0B14"/>
    <w:rsid w:val="00EA0D59"/>
    <w:rsid w:val="00EA100A"/>
    <w:rsid w:val="00EA10EE"/>
    <w:rsid w:val="00EA1753"/>
    <w:rsid w:val="00EA1A60"/>
    <w:rsid w:val="00EA1A64"/>
    <w:rsid w:val="00EA1BA0"/>
    <w:rsid w:val="00EA1C4B"/>
    <w:rsid w:val="00EA1CFD"/>
    <w:rsid w:val="00EA22DE"/>
    <w:rsid w:val="00EA2326"/>
    <w:rsid w:val="00EA242A"/>
    <w:rsid w:val="00EA24B8"/>
    <w:rsid w:val="00EA266B"/>
    <w:rsid w:val="00EA2806"/>
    <w:rsid w:val="00EA282A"/>
    <w:rsid w:val="00EA2847"/>
    <w:rsid w:val="00EA296A"/>
    <w:rsid w:val="00EA2A14"/>
    <w:rsid w:val="00EA2FED"/>
    <w:rsid w:val="00EA31C3"/>
    <w:rsid w:val="00EA327C"/>
    <w:rsid w:val="00EA363F"/>
    <w:rsid w:val="00EA3949"/>
    <w:rsid w:val="00EA3A4E"/>
    <w:rsid w:val="00EA3D56"/>
    <w:rsid w:val="00EA3EB1"/>
    <w:rsid w:val="00EA3FC4"/>
    <w:rsid w:val="00EA421E"/>
    <w:rsid w:val="00EA4307"/>
    <w:rsid w:val="00EA4683"/>
    <w:rsid w:val="00EA4840"/>
    <w:rsid w:val="00EA4E87"/>
    <w:rsid w:val="00EA508C"/>
    <w:rsid w:val="00EA53D2"/>
    <w:rsid w:val="00EA5511"/>
    <w:rsid w:val="00EA5672"/>
    <w:rsid w:val="00EA5914"/>
    <w:rsid w:val="00EA5A43"/>
    <w:rsid w:val="00EA5B5F"/>
    <w:rsid w:val="00EA5CAF"/>
    <w:rsid w:val="00EA5CE3"/>
    <w:rsid w:val="00EA602A"/>
    <w:rsid w:val="00EA6030"/>
    <w:rsid w:val="00EA6449"/>
    <w:rsid w:val="00EA64F6"/>
    <w:rsid w:val="00EA6CDF"/>
    <w:rsid w:val="00EA6DDA"/>
    <w:rsid w:val="00EA70D0"/>
    <w:rsid w:val="00EA76F8"/>
    <w:rsid w:val="00EA7805"/>
    <w:rsid w:val="00EA7921"/>
    <w:rsid w:val="00EA7CF0"/>
    <w:rsid w:val="00EA7DBD"/>
    <w:rsid w:val="00EB02A5"/>
    <w:rsid w:val="00EB0615"/>
    <w:rsid w:val="00EB0656"/>
    <w:rsid w:val="00EB0BFF"/>
    <w:rsid w:val="00EB0D1B"/>
    <w:rsid w:val="00EB110B"/>
    <w:rsid w:val="00EB11EB"/>
    <w:rsid w:val="00EB13A6"/>
    <w:rsid w:val="00EB15E5"/>
    <w:rsid w:val="00EB1754"/>
    <w:rsid w:val="00EB190C"/>
    <w:rsid w:val="00EB19B0"/>
    <w:rsid w:val="00EB1A7B"/>
    <w:rsid w:val="00EB2268"/>
    <w:rsid w:val="00EB2A4F"/>
    <w:rsid w:val="00EB2E34"/>
    <w:rsid w:val="00EB33B1"/>
    <w:rsid w:val="00EB3477"/>
    <w:rsid w:val="00EB38B7"/>
    <w:rsid w:val="00EB396C"/>
    <w:rsid w:val="00EB3C87"/>
    <w:rsid w:val="00EB3CEF"/>
    <w:rsid w:val="00EB3EF4"/>
    <w:rsid w:val="00EB3F34"/>
    <w:rsid w:val="00EB3F59"/>
    <w:rsid w:val="00EB4044"/>
    <w:rsid w:val="00EB4FA7"/>
    <w:rsid w:val="00EB520D"/>
    <w:rsid w:val="00EB5257"/>
    <w:rsid w:val="00EB5475"/>
    <w:rsid w:val="00EB55E0"/>
    <w:rsid w:val="00EB5799"/>
    <w:rsid w:val="00EB5BF1"/>
    <w:rsid w:val="00EB5C22"/>
    <w:rsid w:val="00EB619C"/>
    <w:rsid w:val="00EB6320"/>
    <w:rsid w:val="00EB63CA"/>
    <w:rsid w:val="00EB673C"/>
    <w:rsid w:val="00EB6834"/>
    <w:rsid w:val="00EB68B2"/>
    <w:rsid w:val="00EB6A55"/>
    <w:rsid w:val="00EB6DB8"/>
    <w:rsid w:val="00EB6E06"/>
    <w:rsid w:val="00EB71A4"/>
    <w:rsid w:val="00EB7237"/>
    <w:rsid w:val="00EB76C6"/>
    <w:rsid w:val="00EB7793"/>
    <w:rsid w:val="00EB79BB"/>
    <w:rsid w:val="00EB79DD"/>
    <w:rsid w:val="00EB7A2F"/>
    <w:rsid w:val="00EB7A4D"/>
    <w:rsid w:val="00EB7F5B"/>
    <w:rsid w:val="00EC0173"/>
    <w:rsid w:val="00EC03E8"/>
    <w:rsid w:val="00EC05B0"/>
    <w:rsid w:val="00EC05F6"/>
    <w:rsid w:val="00EC06BF"/>
    <w:rsid w:val="00EC0A3B"/>
    <w:rsid w:val="00EC0B6B"/>
    <w:rsid w:val="00EC0B80"/>
    <w:rsid w:val="00EC0CC9"/>
    <w:rsid w:val="00EC1257"/>
    <w:rsid w:val="00EC154C"/>
    <w:rsid w:val="00EC16C5"/>
    <w:rsid w:val="00EC18D2"/>
    <w:rsid w:val="00EC1EA7"/>
    <w:rsid w:val="00EC1F37"/>
    <w:rsid w:val="00EC2189"/>
    <w:rsid w:val="00EC23AD"/>
    <w:rsid w:val="00EC246D"/>
    <w:rsid w:val="00EC252D"/>
    <w:rsid w:val="00EC26A6"/>
    <w:rsid w:val="00EC26C7"/>
    <w:rsid w:val="00EC2942"/>
    <w:rsid w:val="00EC2D17"/>
    <w:rsid w:val="00EC31EB"/>
    <w:rsid w:val="00EC32E1"/>
    <w:rsid w:val="00EC336C"/>
    <w:rsid w:val="00EC34C5"/>
    <w:rsid w:val="00EC3573"/>
    <w:rsid w:val="00EC357C"/>
    <w:rsid w:val="00EC365B"/>
    <w:rsid w:val="00EC38D4"/>
    <w:rsid w:val="00EC3E9C"/>
    <w:rsid w:val="00EC3F87"/>
    <w:rsid w:val="00EC40C0"/>
    <w:rsid w:val="00EC4148"/>
    <w:rsid w:val="00EC4196"/>
    <w:rsid w:val="00EC45AE"/>
    <w:rsid w:val="00EC4B81"/>
    <w:rsid w:val="00EC4D33"/>
    <w:rsid w:val="00EC56B6"/>
    <w:rsid w:val="00EC56DD"/>
    <w:rsid w:val="00EC580F"/>
    <w:rsid w:val="00EC581D"/>
    <w:rsid w:val="00EC5F6C"/>
    <w:rsid w:val="00EC603F"/>
    <w:rsid w:val="00EC6086"/>
    <w:rsid w:val="00EC63D7"/>
    <w:rsid w:val="00EC666C"/>
    <w:rsid w:val="00EC69E4"/>
    <w:rsid w:val="00EC6C95"/>
    <w:rsid w:val="00EC70A3"/>
    <w:rsid w:val="00EC734D"/>
    <w:rsid w:val="00EC7452"/>
    <w:rsid w:val="00EC75B0"/>
    <w:rsid w:val="00EC760D"/>
    <w:rsid w:val="00EC76ED"/>
    <w:rsid w:val="00EC78D8"/>
    <w:rsid w:val="00EC79F9"/>
    <w:rsid w:val="00ED031D"/>
    <w:rsid w:val="00ED0324"/>
    <w:rsid w:val="00ED0570"/>
    <w:rsid w:val="00ED059E"/>
    <w:rsid w:val="00ED0AAB"/>
    <w:rsid w:val="00ED1394"/>
    <w:rsid w:val="00ED150C"/>
    <w:rsid w:val="00ED167A"/>
    <w:rsid w:val="00ED1A44"/>
    <w:rsid w:val="00ED1B73"/>
    <w:rsid w:val="00ED1BF1"/>
    <w:rsid w:val="00ED2056"/>
    <w:rsid w:val="00ED2059"/>
    <w:rsid w:val="00ED2148"/>
    <w:rsid w:val="00ED221E"/>
    <w:rsid w:val="00ED22CA"/>
    <w:rsid w:val="00ED2414"/>
    <w:rsid w:val="00ED2ABF"/>
    <w:rsid w:val="00ED2DA1"/>
    <w:rsid w:val="00ED2F96"/>
    <w:rsid w:val="00ED2FD9"/>
    <w:rsid w:val="00ED3123"/>
    <w:rsid w:val="00ED3223"/>
    <w:rsid w:val="00ED327F"/>
    <w:rsid w:val="00ED3558"/>
    <w:rsid w:val="00ED356F"/>
    <w:rsid w:val="00ED35C9"/>
    <w:rsid w:val="00ED36C8"/>
    <w:rsid w:val="00ED36FF"/>
    <w:rsid w:val="00ED3769"/>
    <w:rsid w:val="00ED3C59"/>
    <w:rsid w:val="00ED3E43"/>
    <w:rsid w:val="00ED402F"/>
    <w:rsid w:val="00ED4303"/>
    <w:rsid w:val="00ED43B1"/>
    <w:rsid w:val="00ED4418"/>
    <w:rsid w:val="00ED495B"/>
    <w:rsid w:val="00ED4BF8"/>
    <w:rsid w:val="00ED5073"/>
    <w:rsid w:val="00ED50E7"/>
    <w:rsid w:val="00ED5124"/>
    <w:rsid w:val="00ED53F6"/>
    <w:rsid w:val="00ED5691"/>
    <w:rsid w:val="00ED572C"/>
    <w:rsid w:val="00ED585E"/>
    <w:rsid w:val="00ED590E"/>
    <w:rsid w:val="00ED598C"/>
    <w:rsid w:val="00ED5D35"/>
    <w:rsid w:val="00ED5FE3"/>
    <w:rsid w:val="00ED61DF"/>
    <w:rsid w:val="00ED66CA"/>
    <w:rsid w:val="00ED6779"/>
    <w:rsid w:val="00ED6904"/>
    <w:rsid w:val="00ED6A4F"/>
    <w:rsid w:val="00ED6F66"/>
    <w:rsid w:val="00ED7524"/>
    <w:rsid w:val="00ED783F"/>
    <w:rsid w:val="00ED7C3B"/>
    <w:rsid w:val="00EE04DA"/>
    <w:rsid w:val="00EE0922"/>
    <w:rsid w:val="00EE0BD3"/>
    <w:rsid w:val="00EE0C7D"/>
    <w:rsid w:val="00EE1178"/>
    <w:rsid w:val="00EE1368"/>
    <w:rsid w:val="00EE13B6"/>
    <w:rsid w:val="00EE1662"/>
    <w:rsid w:val="00EE1C09"/>
    <w:rsid w:val="00EE1EFF"/>
    <w:rsid w:val="00EE216F"/>
    <w:rsid w:val="00EE21E5"/>
    <w:rsid w:val="00EE27A0"/>
    <w:rsid w:val="00EE2949"/>
    <w:rsid w:val="00EE2B19"/>
    <w:rsid w:val="00EE2E50"/>
    <w:rsid w:val="00EE3100"/>
    <w:rsid w:val="00EE32E5"/>
    <w:rsid w:val="00EE3760"/>
    <w:rsid w:val="00EE379D"/>
    <w:rsid w:val="00EE39A8"/>
    <w:rsid w:val="00EE39CB"/>
    <w:rsid w:val="00EE3A3F"/>
    <w:rsid w:val="00EE3D6A"/>
    <w:rsid w:val="00EE4340"/>
    <w:rsid w:val="00EE43F3"/>
    <w:rsid w:val="00EE43F8"/>
    <w:rsid w:val="00EE47D4"/>
    <w:rsid w:val="00EE4934"/>
    <w:rsid w:val="00EE49C3"/>
    <w:rsid w:val="00EE5060"/>
    <w:rsid w:val="00EE5309"/>
    <w:rsid w:val="00EE577E"/>
    <w:rsid w:val="00EE5A0A"/>
    <w:rsid w:val="00EE5D1A"/>
    <w:rsid w:val="00EE5D6A"/>
    <w:rsid w:val="00EE5EC1"/>
    <w:rsid w:val="00EE61E0"/>
    <w:rsid w:val="00EE6340"/>
    <w:rsid w:val="00EE6881"/>
    <w:rsid w:val="00EE6973"/>
    <w:rsid w:val="00EE6BCB"/>
    <w:rsid w:val="00EE6C0A"/>
    <w:rsid w:val="00EE7202"/>
    <w:rsid w:val="00EE72FF"/>
    <w:rsid w:val="00EE744C"/>
    <w:rsid w:val="00EE78AC"/>
    <w:rsid w:val="00EE78F8"/>
    <w:rsid w:val="00EE7AFE"/>
    <w:rsid w:val="00EE7B76"/>
    <w:rsid w:val="00EE7CBD"/>
    <w:rsid w:val="00EE7DE6"/>
    <w:rsid w:val="00EE7F54"/>
    <w:rsid w:val="00EF03D7"/>
    <w:rsid w:val="00EF0952"/>
    <w:rsid w:val="00EF0CD3"/>
    <w:rsid w:val="00EF0D8B"/>
    <w:rsid w:val="00EF13A5"/>
    <w:rsid w:val="00EF188F"/>
    <w:rsid w:val="00EF1962"/>
    <w:rsid w:val="00EF19E2"/>
    <w:rsid w:val="00EF1B68"/>
    <w:rsid w:val="00EF1C40"/>
    <w:rsid w:val="00EF1D66"/>
    <w:rsid w:val="00EF2494"/>
    <w:rsid w:val="00EF2899"/>
    <w:rsid w:val="00EF2984"/>
    <w:rsid w:val="00EF3443"/>
    <w:rsid w:val="00EF361C"/>
    <w:rsid w:val="00EF36CC"/>
    <w:rsid w:val="00EF37B0"/>
    <w:rsid w:val="00EF3B8D"/>
    <w:rsid w:val="00EF3CA8"/>
    <w:rsid w:val="00EF3DF8"/>
    <w:rsid w:val="00EF3E02"/>
    <w:rsid w:val="00EF454E"/>
    <w:rsid w:val="00EF4575"/>
    <w:rsid w:val="00EF45D6"/>
    <w:rsid w:val="00EF4776"/>
    <w:rsid w:val="00EF47E7"/>
    <w:rsid w:val="00EF4B9E"/>
    <w:rsid w:val="00EF4D6A"/>
    <w:rsid w:val="00EF4D79"/>
    <w:rsid w:val="00EF4DA5"/>
    <w:rsid w:val="00EF4F3A"/>
    <w:rsid w:val="00EF5054"/>
    <w:rsid w:val="00EF50A6"/>
    <w:rsid w:val="00EF50C3"/>
    <w:rsid w:val="00EF5537"/>
    <w:rsid w:val="00EF572D"/>
    <w:rsid w:val="00EF5B19"/>
    <w:rsid w:val="00EF5B31"/>
    <w:rsid w:val="00EF5B8E"/>
    <w:rsid w:val="00EF5BBD"/>
    <w:rsid w:val="00EF5C17"/>
    <w:rsid w:val="00EF5DFA"/>
    <w:rsid w:val="00EF5E0C"/>
    <w:rsid w:val="00EF5E2B"/>
    <w:rsid w:val="00EF623E"/>
    <w:rsid w:val="00EF64C0"/>
    <w:rsid w:val="00EF66F8"/>
    <w:rsid w:val="00EF7024"/>
    <w:rsid w:val="00EF7097"/>
    <w:rsid w:val="00EF7403"/>
    <w:rsid w:val="00EF7466"/>
    <w:rsid w:val="00EF7803"/>
    <w:rsid w:val="00EF7A47"/>
    <w:rsid w:val="00F00209"/>
    <w:rsid w:val="00F0055F"/>
    <w:rsid w:val="00F008DB"/>
    <w:rsid w:val="00F00C29"/>
    <w:rsid w:val="00F00FAB"/>
    <w:rsid w:val="00F01117"/>
    <w:rsid w:val="00F011CA"/>
    <w:rsid w:val="00F0150E"/>
    <w:rsid w:val="00F01706"/>
    <w:rsid w:val="00F0191D"/>
    <w:rsid w:val="00F01CD5"/>
    <w:rsid w:val="00F01F46"/>
    <w:rsid w:val="00F022BB"/>
    <w:rsid w:val="00F02624"/>
    <w:rsid w:val="00F0292A"/>
    <w:rsid w:val="00F02B81"/>
    <w:rsid w:val="00F02CCC"/>
    <w:rsid w:val="00F03029"/>
    <w:rsid w:val="00F030C8"/>
    <w:rsid w:val="00F03170"/>
    <w:rsid w:val="00F03379"/>
    <w:rsid w:val="00F03727"/>
    <w:rsid w:val="00F03928"/>
    <w:rsid w:val="00F03C66"/>
    <w:rsid w:val="00F03F44"/>
    <w:rsid w:val="00F040B9"/>
    <w:rsid w:val="00F04101"/>
    <w:rsid w:val="00F04280"/>
    <w:rsid w:val="00F042B7"/>
    <w:rsid w:val="00F04404"/>
    <w:rsid w:val="00F046F6"/>
    <w:rsid w:val="00F04C6A"/>
    <w:rsid w:val="00F04E3D"/>
    <w:rsid w:val="00F04FA2"/>
    <w:rsid w:val="00F0503D"/>
    <w:rsid w:val="00F059F5"/>
    <w:rsid w:val="00F05A3B"/>
    <w:rsid w:val="00F05F3A"/>
    <w:rsid w:val="00F05F79"/>
    <w:rsid w:val="00F05FB7"/>
    <w:rsid w:val="00F05FD4"/>
    <w:rsid w:val="00F060FA"/>
    <w:rsid w:val="00F063D5"/>
    <w:rsid w:val="00F064E4"/>
    <w:rsid w:val="00F067AB"/>
    <w:rsid w:val="00F06897"/>
    <w:rsid w:val="00F06F37"/>
    <w:rsid w:val="00F073FA"/>
    <w:rsid w:val="00F07629"/>
    <w:rsid w:val="00F076B5"/>
    <w:rsid w:val="00F076FD"/>
    <w:rsid w:val="00F07E65"/>
    <w:rsid w:val="00F07EA1"/>
    <w:rsid w:val="00F07F88"/>
    <w:rsid w:val="00F1023D"/>
    <w:rsid w:val="00F1049A"/>
    <w:rsid w:val="00F105A9"/>
    <w:rsid w:val="00F10665"/>
    <w:rsid w:val="00F1089A"/>
    <w:rsid w:val="00F10D5C"/>
    <w:rsid w:val="00F10D8F"/>
    <w:rsid w:val="00F11091"/>
    <w:rsid w:val="00F11267"/>
    <w:rsid w:val="00F114C2"/>
    <w:rsid w:val="00F119B6"/>
    <w:rsid w:val="00F11BD1"/>
    <w:rsid w:val="00F11FD7"/>
    <w:rsid w:val="00F1216B"/>
    <w:rsid w:val="00F122B1"/>
    <w:rsid w:val="00F125AA"/>
    <w:rsid w:val="00F127A0"/>
    <w:rsid w:val="00F12883"/>
    <w:rsid w:val="00F12C0D"/>
    <w:rsid w:val="00F12DB4"/>
    <w:rsid w:val="00F12F50"/>
    <w:rsid w:val="00F13088"/>
    <w:rsid w:val="00F131E1"/>
    <w:rsid w:val="00F131FA"/>
    <w:rsid w:val="00F13289"/>
    <w:rsid w:val="00F1335F"/>
    <w:rsid w:val="00F138CE"/>
    <w:rsid w:val="00F139E0"/>
    <w:rsid w:val="00F13DC7"/>
    <w:rsid w:val="00F13DF6"/>
    <w:rsid w:val="00F13F1B"/>
    <w:rsid w:val="00F14370"/>
    <w:rsid w:val="00F14448"/>
    <w:rsid w:val="00F144D8"/>
    <w:rsid w:val="00F14B18"/>
    <w:rsid w:val="00F14E34"/>
    <w:rsid w:val="00F14E9F"/>
    <w:rsid w:val="00F14EBF"/>
    <w:rsid w:val="00F15207"/>
    <w:rsid w:val="00F153D4"/>
    <w:rsid w:val="00F1561B"/>
    <w:rsid w:val="00F15624"/>
    <w:rsid w:val="00F15723"/>
    <w:rsid w:val="00F15947"/>
    <w:rsid w:val="00F15B67"/>
    <w:rsid w:val="00F15FCA"/>
    <w:rsid w:val="00F162BC"/>
    <w:rsid w:val="00F16ADF"/>
    <w:rsid w:val="00F16E27"/>
    <w:rsid w:val="00F16EE6"/>
    <w:rsid w:val="00F16F6A"/>
    <w:rsid w:val="00F17155"/>
    <w:rsid w:val="00F173B8"/>
    <w:rsid w:val="00F173FE"/>
    <w:rsid w:val="00F17A6D"/>
    <w:rsid w:val="00F17BE9"/>
    <w:rsid w:val="00F17D9A"/>
    <w:rsid w:val="00F17FA7"/>
    <w:rsid w:val="00F204E1"/>
    <w:rsid w:val="00F2052F"/>
    <w:rsid w:val="00F20565"/>
    <w:rsid w:val="00F2087B"/>
    <w:rsid w:val="00F20AC7"/>
    <w:rsid w:val="00F20B9E"/>
    <w:rsid w:val="00F20D27"/>
    <w:rsid w:val="00F21032"/>
    <w:rsid w:val="00F212F3"/>
    <w:rsid w:val="00F215DE"/>
    <w:rsid w:val="00F217CB"/>
    <w:rsid w:val="00F2180D"/>
    <w:rsid w:val="00F218FF"/>
    <w:rsid w:val="00F21A93"/>
    <w:rsid w:val="00F21AA8"/>
    <w:rsid w:val="00F21D29"/>
    <w:rsid w:val="00F21FE9"/>
    <w:rsid w:val="00F22083"/>
    <w:rsid w:val="00F22149"/>
    <w:rsid w:val="00F222F1"/>
    <w:rsid w:val="00F22573"/>
    <w:rsid w:val="00F226CB"/>
    <w:rsid w:val="00F228D6"/>
    <w:rsid w:val="00F22A4B"/>
    <w:rsid w:val="00F22A75"/>
    <w:rsid w:val="00F22E3D"/>
    <w:rsid w:val="00F22FED"/>
    <w:rsid w:val="00F23728"/>
    <w:rsid w:val="00F239C6"/>
    <w:rsid w:val="00F23F4D"/>
    <w:rsid w:val="00F2408A"/>
    <w:rsid w:val="00F2427F"/>
    <w:rsid w:val="00F24340"/>
    <w:rsid w:val="00F24567"/>
    <w:rsid w:val="00F2471A"/>
    <w:rsid w:val="00F24A4A"/>
    <w:rsid w:val="00F24CC7"/>
    <w:rsid w:val="00F24CCC"/>
    <w:rsid w:val="00F24E1F"/>
    <w:rsid w:val="00F24EF1"/>
    <w:rsid w:val="00F25120"/>
    <w:rsid w:val="00F25191"/>
    <w:rsid w:val="00F2551B"/>
    <w:rsid w:val="00F25630"/>
    <w:rsid w:val="00F25793"/>
    <w:rsid w:val="00F25B54"/>
    <w:rsid w:val="00F25C16"/>
    <w:rsid w:val="00F25E72"/>
    <w:rsid w:val="00F25F3E"/>
    <w:rsid w:val="00F261A6"/>
    <w:rsid w:val="00F262B3"/>
    <w:rsid w:val="00F26501"/>
    <w:rsid w:val="00F26641"/>
    <w:rsid w:val="00F26649"/>
    <w:rsid w:val="00F26824"/>
    <w:rsid w:val="00F26844"/>
    <w:rsid w:val="00F26A9F"/>
    <w:rsid w:val="00F26AEB"/>
    <w:rsid w:val="00F26D84"/>
    <w:rsid w:val="00F26DA0"/>
    <w:rsid w:val="00F26EED"/>
    <w:rsid w:val="00F26FA3"/>
    <w:rsid w:val="00F271CB"/>
    <w:rsid w:val="00F27501"/>
    <w:rsid w:val="00F27796"/>
    <w:rsid w:val="00F27906"/>
    <w:rsid w:val="00F27A86"/>
    <w:rsid w:val="00F27CAB"/>
    <w:rsid w:val="00F27F02"/>
    <w:rsid w:val="00F27F11"/>
    <w:rsid w:val="00F30058"/>
    <w:rsid w:val="00F300F3"/>
    <w:rsid w:val="00F302CB"/>
    <w:rsid w:val="00F3095B"/>
    <w:rsid w:val="00F309AE"/>
    <w:rsid w:val="00F30B99"/>
    <w:rsid w:val="00F30C0E"/>
    <w:rsid w:val="00F30C3C"/>
    <w:rsid w:val="00F30F16"/>
    <w:rsid w:val="00F31039"/>
    <w:rsid w:val="00F310A7"/>
    <w:rsid w:val="00F31167"/>
    <w:rsid w:val="00F3145B"/>
    <w:rsid w:val="00F314C0"/>
    <w:rsid w:val="00F316E5"/>
    <w:rsid w:val="00F3172C"/>
    <w:rsid w:val="00F317EA"/>
    <w:rsid w:val="00F318D7"/>
    <w:rsid w:val="00F31ABF"/>
    <w:rsid w:val="00F31C32"/>
    <w:rsid w:val="00F31D2E"/>
    <w:rsid w:val="00F31D3A"/>
    <w:rsid w:val="00F31E3D"/>
    <w:rsid w:val="00F32232"/>
    <w:rsid w:val="00F3250F"/>
    <w:rsid w:val="00F325FD"/>
    <w:rsid w:val="00F32791"/>
    <w:rsid w:val="00F327A4"/>
    <w:rsid w:val="00F327AE"/>
    <w:rsid w:val="00F329CA"/>
    <w:rsid w:val="00F32AA1"/>
    <w:rsid w:val="00F32C16"/>
    <w:rsid w:val="00F32DD4"/>
    <w:rsid w:val="00F32F3E"/>
    <w:rsid w:val="00F32FBE"/>
    <w:rsid w:val="00F333A6"/>
    <w:rsid w:val="00F3342A"/>
    <w:rsid w:val="00F335BA"/>
    <w:rsid w:val="00F33DF8"/>
    <w:rsid w:val="00F33E36"/>
    <w:rsid w:val="00F33F8E"/>
    <w:rsid w:val="00F34707"/>
    <w:rsid w:val="00F348FA"/>
    <w:rsid w:val="00F34A72"/>
    <w:rsid w:val="00F34DAA"/>
    <w:rsid w:val="00F35287"/>
    <w:rsid w:val="00F353E5"/>
    <w:rsid w:val="00F356FC"/>
    <w:rsid w:val="00F35B24"/>
    <w:rsid w:val="00F35B47"/>
    <w:rsid w:val="00F35C7F"/>
    <w:rsid w:val="00F35E5B"/>
    <w:rsid w:val="00F35FB8"/>
    <w:rsid w:val="00F35FF6"/>
    <w:rsid w:val="00F36405"/>
    <w:rsid w:val="00F36475"/>
    <w:rsid w:val="00F36DFD"/>
    <w:rsid w:val="00F37125"/>
    <w:rsid w:val="00F373AC"/>
    <w:rsid w:val="00F37403"/>
    <w:rsid w:val="00F3769E"/>
    <w:rsid w:val="00F3776A"/>
    <w:rsid w:val="00F37789"/>
    <w:rsid w:val="00F37BC1"/>
    <w:rsid w:val="00F37F6F"/>
    <w:rsid w:val="00F40027"/>
    <w:rsid w:val="00F40137"/>
    <w:rsid w:val="00F401A3"/>
    <w:rsid w:val="00F401E8"/>
    <w:rsid w:val="00F406E7"/>
    <w:rsid w:val="00F40822"/>
    <w:rsid w:val="00F40BD3"/>
    <w:rsid w:val="00F40C0C"/>
    <w:rsid w:val="00F40DB9"/>
    <w:rsid w:val="00F40E16"/>
    <w:rsid w:val="00F411DC"/>
    <w:rsid w:val="00F41304"/>
    <w:rsid w:val="00F4143F"/>
    <w:rsid w:val="00F41514"/>
    <w:rsid w:val="00F41516"/>
    <w:rsid w:val="00F41928"/>
    <w:rsid w:val="00F419A5"/>
    <w:rsid w:val="00F419A6"/>
    <w:rsid w:val="00F41F4B"/>
    <w:rsid w:val="00F42054"/>
    <w:rsid w:val="00F42818"/>
    <w:rsid w:val="00F42A3F"/>
    <w:rsid w:val="00F42B1E"/>
    <w:rsid w:val="00F42BDA"/>
    <w:rsid w:val="00F42CB1"/>
    <w:rsid w:val="00F43157"/>
    <w:rsid w:val="00F432AC"/>
    <w:rsid w:val="00F43731"/>
    <w:rsid w:val="00F43A24"/>
    <w:rsid w:val="00F43A8F"/>
    <w:rsid w:val="00F43C4B"/>
    <w:rsid w:val="00F43F70"/>
    <w:rsid w:val="00F444E4"/>
    <w:rsid w:val="00F4452D"/>
    <w:rsid w:val="00F44942"/>
    <w:rsid w:val="00F4498C"/>
    <w:rsid w:val="00F44A8A"/>
    <w:rsid w:val="00F44B31"/>
    <w:rsid w:val="00F44E3F"/>
    <w:rsid w:val="00F44F00"/>
    <w:rsid w:val="00F44F1C"/>
    <w:rsid w:val="00F451F2"/>
    <w:rsid w:val="00F45310"/>
    <w:rsid w:val="00F455BF"/>
    <w:rsid w:val="00F4592F"/>
    <w:rsid w:val="00F4594F"/>
    <w:rsid w:val="00F45997"/>
    <w:rsid w:val="00F45A39"/>
    <w:rsid w:val="00F45A4E"/>
    <w:rsid w:val="00F45E14"/>
    <w:rsid w:val="00F462FD"/>
    <w:rsid w:val="00F464B7"/>
    <w:rsid w:val="00F46679"/>
    <w:rsid w:val="00F4689F"/>
    <w:rsid w:val="00F468A6"/>
    <w:rsid w:val="00F46A10"/>
    <w:rsid w:val="00F46C8C"/>
    <w:rsid w:val="00F46D6A"/>
    <w:rsid w:val="00F46DEB"/>
    <w:rsid w:val="00F46F8B"/>
    <w:rsid w:val="00F473AB"/>
    <w:rsid w:val="00F4774F"/>
    <w:rsid w:val="00F47BD5"/>
    <w:rsid w:val="00F47D8F"/>
    <w:rsid w:val="00F5008B"/>
    <w:rsid w:val="00F501BD"/>
    <w:rsid w:val="00F50ABD"/>
    <w:rsid w:val="00F50C22"/>
    <w:rsid w:val="00F50CB9"/>
    <w:rsid w:val="00F50F7E"/>
    <w:rsid w:val="00F51332"/>
    <w:rsid w:val="00F51427"/>
    <w:rsid w:val="00F514B7"/>
    <w:rsid w:val="00F51AB3"/>
    <w:rsid w:val="00F51C56"/>
    <w:rsid w:val="00F51E49"/>
    <w:rsid w:val="00F51F40"/>
    <w:rsid w:val="00F52258"/>
    <w:rsid w:val="00F523EF"/>
    <w:rsid w:val="00F5274C"/>
    <w:rsid w:val="00F528F6"/>
    <w:rsid w:val="00F52922"/>
    <w:rsid w:val="00F52B87"/>
    <w:rsid w:val="00F52E19"/>
    <w:rsid w:val="00F5303F"/>
    <w:rsid w:val="00F5304F"/>
    <w:rsid w:val="00F5319A"/>
    <w:rsid w:val="00F532FF"/>
    <w:rsid w:val="00F533D8"/>
    <w:rsid w:val="00F534AA"/>
    <w:rsid w:val="00F535EC"/>
    <w:rsid w:val="00F5360C"/>
    <w:rsid w:val="00F53A9F"/>
    <w:rsid w:val="00F53CD0"/>
    <w:rsid w:val="00F5404E"/>
    <w:rsid w:val="00F543FF"/>
    <w:rsid w:val="00F5483D"/>
    <w:rsid w:val="00F552D0"/>
    <w:rsid w:val="00F555D2"/>
    <w:rsid w:val="00F556A5"/>
    <w:rsid w:val="00F55823"/>
    <w:rsid w:val="00F55AE1"/>
    <w:rsid w:val="00F55AFE"/>
    <w:rsid w:val="00F55B68"/>
    <w:rsid w:val="00F55CC5"/>
    <w:rsid w:val="00F5601A"/>
    <w:rsid w:val="00F562CB"/>
    <w:rsid w:val="00F5639C"/>
    <w:rsid w:val="00F56402"/>
    <w:rsid w:val="00F56508"/>
    <w:rsid w:val="00F56A0F"/>
    <w:rsid w:val="00F56BB2"/>
    <w:rsid w:val="00F56EE3"/>
    <w:rsid w:val="00F57087"/>
    <w:rsid w:val="00F57150"/>
    <w:rsid w:val="00F574B5"/>
    <w:rsid w:val="00F574F5"/>
    <w:rsid w:val="00F57971"/>
    <w:rsid w:val="00F57AAF"/>
    <w:rsid w:val="00F57F6C"/>
    <w:rsid w:val="00F60035"/>
    <w:rsid w:val="00F6005E"/>
    <w:rsid w:val="00F600DA"/>
    <w:rsid w:val="00F6013A"/>
    <w:rsid w:val="00F60159"/>
    <w:rsid w:val="00F6022B"/>
    <w:rsid w:val="00F6039B"/>
    <w:rsid w:val="00F605A9"/>
    <w:rsid w:val="00F605C2"/>
    <w:rsid w:val="00F60781"/>
    <w:rsid w:val="00F60847"/>
    <w:rsid w:val="00F60B67"/>
    <w:rsid w:val="00F60BA3"/>
    <w:rsid w:val="00F60D5B"/>
    <w:rsid w:val="00F60F74"/>
    <w:rsid w:val="00F6101E"/>
    <w:rsid w:val="00F612AD"/>
    <w:rsid w:val="00F6169A"/>
    <w:rsid w:val="00F61B29"/>
    <w:rsid w:val="00F61CBF"/>
    <w:rsid w:val="00F61DFA"/>
    <w:rsid w:val="00F61E94"/>
    <w:rsid w:val="00F62124"/>
    <w:rsid w:val="00F622B9"/>
    <w:rsid w:val="00F6263A"/>
    <w:rsid w:val="00F6265C"/>
    <w:rsid w:val="00F6283C"/>
    <w:rsid w:val="00F62944"/>
    <w:rsid w:val="00F62AAA"/>
    <w:rsid w:val="00F62C3F"/>
    <w:rsid w:val="00F62DA4"/>
    <w:rsid w:val="00F62E09"/>
    <w:rsid w:val="00F6303D"/>
    <w:rsid w:val="00F6343F"/>
    <w:rsid w:val="00F63C36"/>
    <w:rsid w:val="00F63D09"/>
    <w:rsid w:val="00F63DA5"/>
    <w:rsid w:val="00F63FF7"/>
    <w:rsid w:val="00F64253"/>
    <w:rsid w:val="00F64522"/>
    <w:rsid w:val="00F645B6"/>
    <w:rsid w:val="00F64A51"/>
    <w:rsid w:val="00F64AEC"/>
    <w:rsid w:val="00F64C67"/>
    <w:rsid w:val="00F64F4E"/>
    <w:rsid w:val="00F651C8"/>
    <w:rsid w:val="00F653CD"/>
    <w:rsid w:val="00F654D2"/>
    <w:rsid w:val="00F65631"/>
    <w:rsid w:val="00F657AF"/>
    <w:rsid w:val="00F65A40"/>
    <w:rsid w:val="00F66018"/>
    <w:rsid w:val="00F6645F"/>
    <w:rsid w:val="00F66494"/>
    <w:rsid w:val="00F66620"/>
    <w:rsid w:val="00F668B7"/>
    <w:rsid w:val="00F66F31"/>
    <w:rsid w:val="00F6789A"/>
    <w:rsid w:val="00F67BA6"/>
    <w:rsid w:val="00F67E58"/>
    <w:rsid w:val="00F701F6"/>
    <w:rsid w:val="00F70254"/>
    <w:rsid w:val="00F704FE"/>
    <w:rsid w:val="00F70547"/>
    <w:rsid w:val="00F70711"/>
    <w:rsid w:val="00F70C92"/>
    <w:rsid w:val="00F70D1B"/>
    <w:rsid w:val="00F70DA9"/>
    <w:rsid w:val="00F71350"/>
    <w:rsid w:val="00F7161C"/>
    <w:rsid w:val="00F7168A"/>
    <w:rsid w:val="00F71691"/>
    <w:rsid w:val="00F71758"/>
    <w:rsid w:val="00F717F3"/>
    <w:rsid w:val="00F71995"/>
    <w:rsid w:val="00F72046"/>
    <w:rsid w:val="00F72085"/>
    <w:rsid w:val="00F722EF"/>
    <w:rsid w:val="00F72E46"/>
    <w:rsid w:val="00F72EE0"/>
    <w:rsid w:val="00F73261"/>
    <w:rsid w:val="00F734AC"/>
    <w:rsid w:val="00F736AC"/>
    <w:rsid w:val="00F7377A"/>
    <w:rsid w:val="00F73B1C"/>
    <w:rsid w:val="00F73CF6"/>
    <w:rsid w:val="00F74487"/>
    <w:rsid w:val="00F74496"/>
    <w:rsid w:val="00F745A3"/>
    <w:rsid w:val="00F746C8"/>
    <w:rsid w:val="00F7470F"/>
    <w:rsid w:val="00F74DAA"/>
    <w:rsid w:val="00F74E48"/>
    <w:rsid w:val="00F7510D"/>
    <w:rsid w:val="00F75148"/>
    <w:rsid w:val="00F751E1"/>
    <w:rsid w:val="00F7535F"/>
    <w:rsid w:val="00F7563D"/>
    <w:rsid w:val="00F75B26"/>
    <w:rsid w:val="00F75C0C"/>
    <w:rsid w:val="00F75C13"/>
    <w:rsid w:val="00F75CBE"/>
    <w:rsid w:val="00F75F5C"/>
    <w:rsid w:val="00F76011"/>
    <w:rsid w:val="00F769B5"/>
    <w:rsid w:val="00F76D96"/>
    <w:rsid w:val="00F76EEA"/>
    <w:rsid w:val="00F76FBB"/>
    <w:rsid w:val="00F771DA"/>
    <w:rsid w:val="00F772EE"/>
    <w:rsid w:val="00F77684"/>
    <w:rsid w:val="00F777FE"/>
    <w:rsid w:val="00F778A5"/>
    <w:rsid w:val="00F77AF0"/>
    <w:rsid w:val="00F77B8A"/>
    <w:rsid w:val="00F77C17"/>
    <w:rsid w:val="00F77CA9"/>
    <w:rsid w:val="00F77CB7"/>
    <w:rsid w:val="00F803CA"/>
    <w:rsid w:val="00F80483"/>
    <w:rsid w:val="00F808E2"/>
    <w:rsid w:val="00F80AD3"/>
    <w:rsid w:val="00F80D79"/>
    <w:rsid w:val="00F8102D"/>
    <w:rsid w:val="00F81476"/>
    <w:rsid w:val="00F815B1"/>
    <w:rsid w:val="00F81A93"/>
    <w:rsid w:val="00F81CE5"/>
    <w:rsid w:val="00F81E98"/>
    <w:rsid w:val="00F82051"/>
    <w:rsid w:val="00F822F4"/>
    <w:rsid w:val="00F82399"/>
    <w:rsid w:val="00F827AC"/>
    <w:rsid w:val="00F82BEE"/>
    <w:rsid w:val="00F82CF3"/>
    <w:rsid w:val="00F82E13"/>
    <w:rsid w:val="00F82E8F"/>
    <w:rsid w:val="00F833E6"/>
    <w:rsid w:val="00F83507"/>
    <w:rsid w:val="00F83A25"/>
    <w:rsid w:val="00F83DF6"/>
    <w:rsid w:val="00F83FE3"/>
    <w:rsid w:val="00F840E9"/>
    <w:rsid w:val="00F844BC"/>
    <w:rsid w:val="00F8450E"/>
    <w:rsid w:val="00F84802"/>
    <w:rsid w:val="00F8498B"/>
    <w:rsid w:val="00F84CAF"/>
    <w:rsid w:val="00F85313"/>
    <w:rsid w:val="00F853E7"/>
    <w:rsid w:val="00F85740"/>
    <w:rsid w:val="00F858EF"/>
    <w:rsid w:val="00F859F0"/>
    <w:rsid w:val="00F86080"/>
    <w:rsid w:val="00F864EE"/>
    <w:rsid w:val="00F8662A"/>
    <w:rsid w:val="00F86A34"/>
    <w:rsid w:val="00F86B28"/>
    <w:rsid w:val="00F86D2B"/>
    <w:rsid w:val="00F86D98"/>
    <w:rsid w:val="00F86EBB"/>
    <w:rsid w:val="00F86F70"/>
    <w:rsid w:val="00F86FB6"/>
    <w:rsid w:val="00F871B1"/>
    <w:rsid w:val="00F8727B"/>
    <w:rsid w:val="00F878DE"/>
    <w:rsid w:val="00F87D2E"/>
    <w:rsid w:val="00F87E3D"/>
    <w:rsid w:val="00F87ECF"/>
    <w:rsid w:val="00F87F8B"/>
    <w:rsid w:val="00F87FD7"/>
    <w:rsid w:val="00F9000A"/>
    <w:rsid w:val="00F9021B"/>
    <w:rsid w:val="00F9038F"/>
    <w:rsid w:val="00F90A63"/>
    <w:rsid w:val="00F90C7C"/>
    <w:rsid w:val="00F90D04"/>
    <w:rsid w:val="00F90DD5"/>
    <w:rsid w:val="00F90FD7"/>
    <w:rsid w:val="00F9106F"/>
    <w:rsid w:val="00F9116F"/>
    <w:rsid w:val="00F915D0"/>
    <w:rsid w:val="00F9183D"/>
    <w:rsid w:val="00F91883"/>
    <w:rsid w:val="00F91894"/>
    <w:rsid w:val="00F918ED"/>
    <w:rsid w:val="00F91A54"/>
    <w:rsid w:val="00F91A8F"/>
    <w:rsid w:val="00F91C5F"/>
    <w:rsid w:val="00F91DA7"/>
    <w:rsid w:val="00F91DD3"/>
    <w:rsid w:val="00F928D8"/>
    <w:rsid w:val="00F92C2D"/>
    <w:rsid w:val="00F92FA1"/>
    <w:rsid w:val="00F934C2"/>
    <w:rsid w:val="00F935C2"/>
    <w:rsid w:val="00F937DB"/>
    <w:rsid w:val="00F939D6"/>
    <w:rsid w:val="00F93BD9"/>
    <w:rsid w:val="00F93C5A"/>
    <w:rsid w:val="00F93C88"/>
    <w:rsid w:val="00F93D5F"/>
    <w:rsid w:val="00F93E95"/>
    <w:rsid w:val="00F93F53"/>
    <w:rsid w:val="00F941AE"/>
    <w:rsid w:val="00F941C1"/>
    <w:rsid w:val="00F941D7"/>
    <w:rsid w:val="00F943F0"/>
    <w:rsid w:val="00F94555"/>
    <w:rsid w:val="00F9462D"/>
    <w:rsid w:val="00F946D8"/>
    <w:rsid w:val="00F94722"/>
    <w:rsid w:val="00F94B2D"/>
    <w:rsid w:val="00F94BCA"/>
    <w:rsid w:val="00F94EC5"/>
    <w:rsid w:val="00F94FBA"/>
    <w:rsid w:val="00F9506D"/>
    <w:rsid w:val="00F9506F"/>
    <w:rsid w:val="00F9507D"/>
    <w:rsid w:val="00F9520E"/>
    <w:rsid w:val="00F952D8"/>
    <w:rsid w:val="00F95334"/>
    <w:rsid w:val="00F95363"/>
    <w:rsid w:val="00F9544C"/>
    <w:rsid w:val="00F95495"/>
    <w:rsid w:val="00F95790"/>
    <w:rsid w:val="00F95F67"/>
    <w:rsid w:val="00F96130"/>
    <w:rsid w:val="00F96194"/>
    <w:rsid w:val="00F96730"/>
    <w:rsid w:val="00F96AB5"/>
    <w:rsid w:val="00F96B27"/>
    <w:rsid w:val="00F96C76"/>
    <w:rsid w:val="00F96DF7"/>
    <w:rsid w:val="00F96EA7"/>
    <w:rsid w:val="00F9728E"/>
    <w:rsid w:val="00F9745B"/>
    <w:rsid w:val="00F974BE"/>
    <w:rsid w:val="00F97717"/>
    <w:rsid w:val="00F978FB"/>
    <w:rsid w:val="00F97EA8"/>
    <w:rsid w:val="00FA025B"/>
    <w:rsid w:val="00FA04F0"/>
    <w:rsid w:val="00FA05CC"/>
    <w:rsid w:val="00FA06D4"/>
    <w:rsid w:val="00FA089A"/>
    <w:rsid w:val="00FA0A00"/>
    <w:rsid w:val="00FA0E7B"/>
    <w:rsid w:val="00FA116C"/>
    <w:rsid w:val="00FA1458"/>
    <w:rsid w:val="00FA15EB"/>
    <w:rsid w:val="00FA17C0"/>
    <w:rsid w:val="00FA1916"/>
    <w:rsid w:val="00FA1B34"/>
    <w:rsid w:val="00FA1D7E"/>
    <w:rsid w:val="00FA1DFA"/>
    <w:rsid w:val="00FA237F"/>
    <w:rsid w:val="00FA2697"/>
    <w:rsid w:val="00FA2E1A"/>
    <w:rsid w:val="00FA2E40"/>
    <w:rsid w:val="00FA2EB5"/>
    <w:rsid w:val="00FA2F42"/>
    <w:rsid w:val="00FA3214"/>
    <w:rsid w:val="00FA3342"/>
    <w:rsid w:val="00FA34E6"/>
    <w:rsid w:val="00FA3A7A"/>
    <w:rsid w:val="00FA4043"/>
    <w:rsid w:val="00FA413A"/>
    <w:rsid w:val="00FA4323"/>
    <w:rsid w:val="00FA4339"/>
    <w:rsid w:val="00FA4359"/>
    <w:rsid w:val="00FA499A"/>
    <w:rsid w:val="00FA4A36"/>
    <w:rsid w:val="00FA4DD3"/>
    <w:rsid w:val="00FA4EA5"/>
    <w:rsid w:val="00FA5131"/>
    <w:rsid w:val="00FA53A8"/>
    <w:rsid w:val="00FA564C"/>
    <w:rsid w:val="00FA5B58"/>
    <w:rsid w:val="00FA5BD1"/>
    <w:rsid w:val="00FA603A"/>
    <w:rsid w:val="00FA60BB"/>
    <w:rsid w:val="00FA6272"/>
    <w:rsid w:val="00FA6297"/>
    <w:rsid w:val="00FA63D4"/>
    <w:rsid w:val="00FA642E"/>
    <w:rsid w:val="00FA6506"/>
    <w:rsid w:val="00FA65C9"/>
    <w:rsid w:val="00FA6B25"/>
    <w:rsid w:val="00FA6E62"/>
    <w:rsid w:val="00FA72EC"/>
    <w:rsid w:val="00FA734A"/>
    <w:rsid w:val="00FA75D4"/>
    <w:rsid w:val="00FA7889"/>
    <w:rsid w:val="00FA7C2E"/>
    <w:rsid w:val="00FA7D73"/>
    <w:rsid w:val="00FB00D8"/>
    <w:rsid w:val="00FB03CE"/>
    <w:rsid w:val="00FB0588"/>
    <w:rsid w:val="00FB06BB"/>
    <w:rsid w:val="00FB09FB"/>
    <w:rsid w:val="00FB0C14"/>
    <w:rsid w:val="00FB0C15"/>
    <w:rsid w:val="00FB0EB5"/>
    <w:rsid w:val="00FB1658"/>
    <w:rsid w:val="00FB16DA"/>
    <w:rsid w:val="00FB1BAD"/>
    <w:rsid w:val="00FB1C04"/>
    <w:rsid w:val="00FB2666"/>
    <w:rsid w:val="00FB27D9"/>
    <w:rsid w:val="00FB301A"/>
    <w:rsid w:val="00FB31D7"/>
    <w:rsid w:val="00FB3596"/>
    <w:rsid w:val="00FB373D"/>
    <w:rsid w:val="00FB3A00"/>
    <w:rsid w:val="00FB3A0E"/>
    <w:rsid w:val="00FB3BDF"/>
    <w:rsid w:val="00FB4385"/>
    <w:rsid w:val="00FB4471"/>
    <w:rsid w:val="00FB4562"/>
    <w:rsid w:val="00FB460A"/>
    <w:rsid w:val="00FB4796"/>
    <w:rsid w:val="00FB48D7"/>
    <w:rsid w:val="00FB4908"/>
    <w:rsid w:val="00FB498A"/>
    <w:rsid w:val="00FB4C08"/>
    <w:rsid w:val="00FB4F73"/>
    <w:rsid w:val="00FB51E4"/>
    <w:rsid w:val="00FB5236"/>
    <w:rsid w:val="00FB55F2"/>
    <w:rsid w:val="00FB562B"/>
    <w:rsid w:val="00FB59E1"/>
    <w:rsid w:val="00FB5ECA"/>
    <w:rsid w:val="00FB60BD"/>
    <w:rsid w:val="00FB60E2"/>
    <w:rsid w:val="00FB6302"/>
    <w:rsid w:val="00FB6318"/>
    <w:rsid w:val="00FB6424"/>
    <w:rsid w:val="00FB6B97"/>
    <w:rsid w:val="00FB700F"/>
    <w:rsid w:val="00FB71F7"/>
    <w:rsid w:val="00FB7242"/>
    <w:rsid w:val="00FB7375"/>
    <w:rsid w:val="00FB7BD9"/>
    <w:rsid w:val="00FB7CB6"/>
    <w:rsid w:val="00FB7CE6"/>
    <w:rsid w:val="00FB7DDC"/>
    <w:rsid w:val="00FB7E9D"/>
    <w:rsid w:val="00FC003A"/>
    <w:rsid w:val="00FC00D9"/>
    <w:rsid w:val="00FC026D"/>
    <w:rsid w:val="00FC0382"/>
    <w:rsid w:val="00FC048F"/>
    <w:rsid w:val="00FC065B"/>
    <w:rsid w:val="00FC0C01"/>
    <w:rsid w:val="00FC0D4F"/>
    <w:rsid w:val="00FC0D6F"/>
    <w:rsid w:val="00FC100E"/>
    <w:rsid w:val="00FC1451"/>
    <w:rsid w:val="00FC1591"/>
    <w:rsid w:val="00FC15BE"/>
    <w:rsid w:val="00FC15ED"/>
    <w:rsid w:val="00FC19DA"/>
    <w:rsid w:val="00FC1B77"/>
    <w:rsid w:val="00FC1E9B"/>
    <w:rsid w:val="00FC2044"/>
    <w:rsid w:val="00FC22D7"/>
    <w:rsid w:val="00FC2659"/>
    <w:rsid w:val="00FC2806"/>
    <w:rsid w:val="00FC28F2"/>
    <w:rsid w:val="00FC2D26"/>
    <w:rsid w:val="00FC2D9E"/>
    <w:rsid w:val="00FC2DA3"/>
    <w:rsid w:val="00FC2E6D"/>
    <w:rsid w:val="00FC3042"/>
    <w:rsid w:val="00FC30A4"/>
    <w:rsid w:val="00FC33E0"/>
    <w:rsid w:val="00FC3618"/>
    <w:rsid w:val="00FC396A"/>
    <w:rsid w:val="00FC4100"/>
    <w:rsid w:val="00FC428C"/>
    <w:rsid w:val="00FC42F5"/>
    <w:rsid w:val="00FC457C"/>
    <w:rsid w:val="00FC457D"/>
    <w:rsid w:val="00FC4817"/>
    <w:rsid w:val="00FC4C2C"/>
    <w:rsid w:val="00FC57AF"/>
    <w:rsid w:val="00FC57CF"/>
    <w:rsid w:val="00FC5E21"/>
    <w:rsid w:val="00FC5FD4"/>
    <w:rsid w:val="00FC6172"/>
    <w:rsid w:val="00FC61DD"/>
    <w:rsid w:val="00FC62F5"/>
    <w:rsid w:val="00FC6802"/>
    <w:rsid w:val="00FC6811"/>
    <w:rsid w:val="00FC6975"/>
    <w:rsid w:val="00FC69D4"/>
    <w:rsid w:val="00FC6AD6"/>
    <w:rsid w:val="00FC6BF7"/>
    <w:rsid w:val="00FC6D2C"/>
    <w:rsid w:val="00FC768B"/>
    <w:rsid w:val="00FC7775"/>
    <w:rsid w:val="00FC77E0"/>
    <w:rsid w:val="00FC796B"/>
    <w:rsid w:val="00FC7BB0"/>
    <w:rsid w:val="00FC7C07"/>
    <w:rsid w:val="00FC7C09"/>
    <w:rsid w:val="00FC7D8F"/>
    <w:rsid w:val="00FD00DA"/>
    <w:rsid w:val="00FD02B4"/>
    <w:rsid w:val="00FD05EC"/>
    <w:rsid w:val="00FD0845"/>
    <w:rsid w:val="00FD0B82"/>
    <w:rsid w:val="00FD1103"/>
    <w:rsid w:val="00FD11F4"/>
    <w:rsid w:val="00FD1366"/>
    <w:rsid w:val="00FD1DC9"/>
    <w:rsid w:val="00FD210F"/>
    <w:rsid w:val="00FD22B5"/>
    <w:rsid w:val="00FD23D9"/>
    <w:rsid w:val="00FD2414"/>
    <w:rsid w:val="00FD256B"/>
    <w:rsid w:val="00FD2A55"/>
    <w:rsid w:val="00FD2D1D"/>
    <w:rsid w:val="00FD2DC0"/>
    <w:rsid w:val="00FD2E97"/>
    <w:rsid w:val="00FD3048"/>
    <w:rsid w:val="00FD3304"/>
    <w:rsid w:val="00FD3824"/>
    <w:rsid w:val="00FD3CA4"/>
    <w:rsid w:val="00FD3E99"/>
    <w:rsid w:val="00FD3EE6"/>
    <w:rsid w:val="00FD4461"/>
    <w:rsid w:val="00FD4787"/>
    <w:rsid w:val="00FD4BE8"/>
    <w:rsid w:val="00FD4DFB"/>
    <w:rsid w:val="00FD4E4C"/>
    <w:rsid w:val="00FD4F5D"/>
    <w:rsid w:val="00FD565E"/>
    <w:rsid w:val="00FD581E"/>
    <w:rsid w:val="00FD59E7"/>
    <w:rsid w:val="00FD5C47"/>
    <w:rsid w:val="00FD5CDA"/>
    <w:rsid w:val="00FD610C"/>
    <w:rsid w:val="00FD613D"/>
    <w:rsid w:val="00FD641C"/>
    <w:rsid w:val="00FD64BC"/>
    <w:rsid w:val="00FD64ED"/>
    <w:rsid w:val="00FD6553"/>
    <w:rsid w:val="00FD683C"/>
    <w:rsid w:val="00FD7375"/>
    <w:rsid w:val="00FD7432"/>
    <w:rsid w:val="00FD75BF"/>
    <w:rsid w:val="00FD78D9"/>
    <w:rsid w:val="00FD7A77"/>
    <w:rsid w:val="00FD7B7F"/>
    <w:rsid w:val="00FD7E00"/>
    <w:rsid w:val="00FD7FAD"/>
    <w:rsid w:val="00FE01F9"/>
    <w:rsid w:val="00FE0426"/>
    <w:rsid w:val="00FE0630"/>
    <w:rsid w:val="00FE0AC9"/>
    <w:rsid w:val="00FE0B81"/>
    <w:rsid w:val="00FE0CCA"/>
    <w:rsid w:val="00FE0D5A"/>
    <w:rsid w:val="00FE0E19"/>
    <w:rsid w:val="00FE10D4"/>
    <w:rsid w:val="00FE1610"/>
    <w:rsid w:val="00FE16A0"/>
    <w:rsid w:val="00FE1746"/>
    <w:rsid w:val="00FE188A"/>
    <w:rsid w:val="00FE1945"/>
    <w:rsid w:val="00FE1B3F"/>
    <w:rsid w:val="00FE1C72"/>
    <w:rsid w:val="00FE1C80"/>
    <w:rsid w:val="00FE210C"/>
    <w:rsid w:val="00FE26D2"/>
    <w:rsid w:val="00FE272C"/>
    <w:rsid w:val="00FE2805"/>
    <w:rsid w:val="00FE2B59"/>
    <w:rsid w:val="00FE2F7F"/>
    <w:rsid w:val="00FE3373"/>
    <w:rsid w:val="00FE358B"/>
    <w:rsid w:val="00FE3742"/>
    <w:rsid w:val="00FE37D8"/>
    <w:rsid w:val="00FE3B51"/>
    <w:rsid w:val="00FE3C40"/>
    <w:rsid w:val="00FE3C6D"/>
    <w:rsid w:val="00FE3FDF"/>
    <w:rsid w:val="00FE4358"/>
    <w:rsid w:val="00FE4609"/>
    <w:rsid w:val="00FE470D"/>
    <w:rsid w:val="00FE495A"/>
    <w:rsid w:val="00FE49AB"/>
    <w:rsid w:val="00FE4D25"/>
    <w:rsid w:val="00FE51DD"/>
    <w:rsid w:val="00FE541B"/>
    <w:rsid w:val="00FE544C"/>
    <w:rsid w:val="00FE5490"/>
    <w:rsid w:val="00FE5660"/>
    <w:rsid w:val="00FE5899"/>
    <w:rsid w:val="00FE599C"/>
    <w:rsid w:val="00FE5CA1"/>
    <w:rsid w:val="00FE5CDE"/>
    <w:rsid w:val="00FE5E2A"/>
    <w:rsid w:val="00FE5EBC"/>
    <w:rsid w:val="00FE5F00"/>
    <w:rsid w:val="00FE623E"/>
    <w:rsid w:val="00FE638D"/>
    <w:rsid w:val="00FE646C"/>
    <w:rsid w:val="00FE6631"/>
    <w:rsid w:val="00FE6642"/>
    <w:rsid w:val="00FE66C2"/>
    <w:rsid w:val="00FE6ABA"/>
    <w:rsid w:val="00FE6C67"/>
    <w:rsid w:val="00FE70BD"/>
    <w:rsid w:val="00FE727C"/>
    <w:rsid w:val="00FE79EF"/>
    <w:rsid w:val="00FE7DFF"/>
    <w:rsid w:val="00FE7E35"/>
    <w:rsid w:val="00FF0238"/>
    <w:rsid w:val="00FF04CC"/>
    <w:rsid w:val="00FF05A2"/>
    <w:rsid w:val="00FF066B"/>
    <w:rsid w:val="00FF08DD"/>
    <w:rsid w:val="00FF0ACB"/>
    <w:rsid w:val="00FF0C94"/>
    <w:rsid w:val="00FF0DB5"/>
    <w:rsid w:val="00FF0DC1"/>
    <w:rsid w:val="00FF109C"/>
    <w:rsid w:val="00FF1147"/>
    <w:rsid w:val="00FF11CE"/>
    <w:rsid w:val="00FF1298"/>
    <w:rsid w:val="00FF1329"/>
    <w:rsid w:val="00FF13D1"/>
    <w:rsid w:val="00FF163E"/>
    <w:rsid w:val="00FF1666"/>
    <w:rsid w:val="00FF16C4"/>
    <w:rsid w:val="00FF1C56"/>
    <w:rsid w:val="00FF1E82"/>
    <w:rsid w:val="00FF201E"/>
    <w:rsid w:val="00FF2492"/>
    <w:rsid w:val="00FF2512"/>
    <w:rsid w:val="00FF2975"/>
    <w:rsid w:val="00FF2A38"/>
    <w:rsid w:val="00FF2BC6"/>
    <w:rsid w:val="00FF2CA6"/>
    <w:rsid w:val="00FF2D9C"/>
    <w:rsid w:val="00FF33B3"/>
    <w:rsid w:val="00FF3597"/>
    <w:rsid w:val="00FF3747"/>
    <w:rsid w:val="00FF39A3"/>
    <w:rsid w:val="00FF39E7"/>
    <w:rsid w:val="00FF3FB4"/>
    <w:rsid w:val="00FF41CD"/>
    <w:rsid w:val="00FF4209"/>
    <w:rsid w:val="00FF4426"/>
    <w:rsid w:val="00FF4520"/>
    <w:rsid w:val="00FF456A"/>
    <w:rsid w:val="00FF4764"/>
    <w:rsid w:val="00FF47D4"/>
    <w:rsid w:val="00FF49F7"/>
    <w:rsid w:val="00FF4A79"/>
    <w:rsid w:val="00FF4C17"/>
    <w:rsid w:val="00FF4F42"/>
    <w:rsid w:val="00FF4F58"/>
    <w:rsid w:val="00FF519D"/>
    <w:rsid w:val="00FF5A41"/>
    <w:rsid w:val="00FF5D86"/>
    <w:rsid w:val="00FF5FC7"/>
    <w:rsid w:val="00FF61C4"/>
    <w:rsid w:val="00FF61D0"/>
    <w:rsid w:val="00FF6378"/>
    <w:rsid w:val="00FF66A8"/>
    <w:rsid w:val="00FF68F2"/>
    <w:rsid w:val="00FF6A7C"/>
    <w:rsid w:val="00FF6ACB"/>
    <w:rsid w:val="00FF6BC5"/>
    <w:rsid w:val="00FF7040"/>
    <w:rsid w:val="00FF72A3"/>
    <w:rsid w:val="00FF7562"/>
    <w:rsid w:val="00FF76EB"/>
    <w:rsid w:val="00FF7B1E"/>
    <w:rsid w:val="00FF7B29"/>
    <w:rsid w:val="00FF7C13"/>
    <w:rsid w:val="00FF7CBE"/>
    <w:rsid w:val="00FF7EAD"/>
    <w:rsid w:val="00FF7EFA"/>
    <w:rsid w:val="012BF12F"/>
    <w:rsid w:val="0142959F"/>
    <w:rsid w:val="020DE835"/>
    <w:rsid w:val="02CBFC74"/>
    <w:rsid w:val="02E82B52"/>
    <w:rsid w:val="03241260"/>
    <w:rsid w:val="03DD167B"/>
    <w:rsid w:val="03E892FB"/>
    <w:rsid w:val="03E9529A"/>
    <w:rsid w:val="04BCA604"/>
    <w:rsid w:val="04D7B945"/>
    <w:rsid w:val="04DAB6EF"/>
    <w:rsid w:val="053273C3"/>
    <w:rsid w:val="05720449"/>
    <w:rsid w:val="05A29742"/>
    <w:rsid w:val="05B375B8"/>
    <w:rsid w:val="061005C1"/>
    <w:rsid w:val="065833DA"/>
    <w:rsid w:val="0696E6C6"/>
    <w:rsid w:val="06EBBC9C"/>
    <w:rsid w:val="0755C8A5"/>
    <w:rsid w:val="08A36B56"/>
    <w:rsid w:val="09284719"/>
    <w:rsid w:val="093C597F"/>
    <w:rsid w:val="09893470"/>
    <w:rsid w:val="09C1455A"/>
    <w:rsid w:val="09DDF4F3"/>
    <w:rsid w:val="09DED14F"/>
    <w:rsid w:val="09FD528E"/>
    <w:rsid w:val="0ABFA384"/>
    <w:rsid w:val="0AC2842B"/>
    <w:rsid w:val="0B649B44"/>
    <w:rsid w:val="0B87B1C5"/>
    <w:rsid w:val="0BE6A1AC"/>
    <w:rsid w:val="0BEE08F5"/>
    <w:rsid w:val="0BF71335"/>
    <w:rsid w:val="0C62A6FC"/>
    <w:rsid w:val="0C64BEB7"/>
    <w:rsid w:val="0CB0712C"/>
    <w:rsid w:val="0D1A1320"/>
    <w:rsid w:val="0D34E808"/>
    <w:rsid w:val="0E1DC72C"/>
    <w:rsid w:val="0E393E4A"/>
    <w:rsid w:val="0F0A0FE7"/>
    <w:rsid w:val="0F63260A"/>
    <w:rsid w:val="0F6EEA59"/>
    <w:rsid w:val="0F955C74"/>
    <w:rsid w:val="0FB7F9A7"/>
    <w:rsid w:val="10211529"/>
    <w:rsid w:val="10EEC57C"/>
    <w:rsid w:val="113CB8C7"/>
    <w:rsid w:val="11512024"/>
    <w:rsid w:val="116E3F6F"/>
    <w:rsid w:val="1197FD5D"/>
    <w:rsid w:val="12B5B6E4"/>
    <w:rsid w:val="13D88477"/>
    <w:rsid w:val="1430DC6E"/>
    <w:rsid w:val="14D6642F"/>
    <w:rsid w:val="14FBCF65"/>
    <w:rsid w:val="1549CEA8"/>
    <w:rsid w:val="157496DE"/>
    <w:rsid w:val="15CBEC87"/>
    <w:rsid w:val="1641990A"/>
    <w:rsid w:val="165AA6F5"/>
    <w:rsid w:val="16D95547"/>
    <w:rsid w:val="16FD2AF5"/>
    <w:rsid w:val="174B79B1"/>
    <w:rsid w:val="176AE411"/>
    <w:rsid w:val="179BA321"/>
    <w:rsid w:val="17CB2691"/>
    <w:rsid w:val="17FB709C"/>
    <w:rsid w:val="184B5144"/>
    <w:rsid w:val="18A6D6FE"/>
    <w:rsid w:val="18D22B67"/>
    <w:rsid w:val="1905B12F"/>
    <w:rsid w:val="19302FB3"/>
    <w:rsid w:val="194E503F"/>
    <w:rsid w:val="19AEFE80"/>
    <w:rsid w:val="1A46466C"/>
    <w:rsid w:val="1AAE2E20"/>
    <w:rsid w:val="1AC0E466"/>
    <w:rsid w:val="1B9C7A28"/>
    <w:rsid w:val="1BDEEE48"/>
    <w:rsid w:val="1C91C0C6"/>
    <w:rsid w:val="1CFA0247"/>
    <w:rsid w:val="1D01AD55"/>
    <w:rsid w:val="1D06BB6E"/>
    <w:rsid w:val="1D0F6256"/>
    <w:rsid w:val="1DA80638"/>
    <w:rsid w:val="1DFB9A21"/>
    <w:rsid w:val="1E472D29"/>
    <w:rsid w:val="1E6BA484"/>
    <w:rsid w:val="1E925762"/>
    <w:rsid w:val="1F248CC7"/>
    <w:rsid w:val="1F650914"/>
    <w:rsid w:val="1F913CC9"/>
    <w:rsid w:val="1F9C4E10"/>
    <w:rsid w:val="1FC01208"/>
    <w:rsid w:val="1FD53EFB"/>
    <w:rsid w:val="20501110"/>
    <w:rsid w:val="20DD5181"/>
    <w:rsid w:val="218BE756"/>
    <w:rsid w:val="23A79820"/>
    <w:rsid w:val="23BF2817"/>
    <w:rsid w:val="23D259CC"/>
    <w:rsid w:val="23EE96BC"/>
    <w:rsid w:val="23FE4A1D"/>
    <w:rsid w:val="2421F94C"/>
    <w:rsid w:val="2489C11B"/>
    <w:rsid w:val="254963D5"/>
    <w:rsid w:val="25D7DDC2"/>
    <w:rsid w:val="2619621A"/>
    <w:rsid w:val="262DF063"/>
    <w:rsid w:val="27583F7D"/>
    <w:rsid w:val="2856114A"/>
    <w:rsid w:val="28A261D9"/>
    <w:rsid w:val="2911987A"/>
    <w:rsid w:val="29DE3F37"/>
    <w:rsid w:val="29ECA05F"/>
    <w:rsid w:val="2A1E75CB"/>
    <w:rsid w:val="2A34F50D"/>
    <w:rsid w:val="2A3C2724"/>
    <w:rsid w:val="2A8AD5D0"/>
    <w:rsid w:val="2A9C3518"/>
    <w:rsid w:val="2B82D738"/>
    <w:rsid w:val="2B9EFAFF"/>
    <w:rsid w:val="2C1FE058"/>
    <w:rsid w:val="2CD73A36"/>
    <w:rsid w:val="2D2F5CA3"/>
    <w:rsid w:val="2D796ABF"/>
    <w:rsid w:val="2D891107"/>
    <w:rsid w:val="2DEC4F69"/>
    <w:rsid w:val="2DED60D5"/>
    <w:rsid w:val="2EE2E9A1"/>
    <w:rsid w:val="2F1523BB"/>
    <w:rsid w:val="2F4079BB"/>
    <w:rsid w:val="2F48F318"/>
    <w:rsid w:val="2F8AD6A8"/>
    <w:rsid w:val="2FFCF6D3"/>
    <w:rsid w:val="301BC2E9"/>
    <w:rsid w:val="30535573"/>
    <w:rsid w:val="3098EBA7"/>
    <w:rsid w:val="30D435B9"/>
    <w:rsid w:val="31246BD8"/>
    <w:rsid w:val="31628291"/>
    <w:rsid w:val="3163E446"/>
    <w:rsid w:val="3187054C"/>
    <w:rsid w:val="318E31AF"/>
    <w:rsid w:val="319BA259"/>
    <w:rsid w:val="32648C1B"/>
    <w:rsid w:val="33F67B18"/>
    <w:rsid w:val="343FF67B"/>
    <w:rsid w:val="35DFD9DE"/>
    <w:rsid w:val="35FE0B5A"/>
    <w:rsid w:val="3621B7BC"/>
    <w:rsid w:val="36261E31"/>
    <w:rsid w:val="367ABCE0"/>
    <w:rsid w:val="36CB0244"/>
    <w:rsid w:val="3700CE26"/>
    <w:rsid w:val="370A88FD"/>
    <w:rsid w:val="375704B8"/>
    <w:rsid w:val="37BB82A4"/>
    <w:rsid w:val="37F5E994"/>
    <w:rsid w:val="389FE0C3"/>
    <w:rsid w:val="38CB7A70"/>
    <w:rsid w:val="38D4A901"/>
    <w:rsid w:val="390CBE99"/>
    <w:rsid w:val="391D99C5"/>
    <w:rsid w:val="392885B2"/>
    <w:rsid w:val="39971CE9"/>
    <w:rsid w:val="3A33655A"/>
    <w:rsid w:val="3A45333A"/>
    <w:rsid w:val="3A70578B"/>
    <w:rsid w:val="3A720CA2"/>
    <w:rsid w:val="3AA2F51C"/>
    <w:rsid w:val="3ABD5B02"/>
    <w:rsid w:val="3BA2F91C"/>
    <w:rsid w:val="3C0F0A23"/>
    <w:rsid w:val="3C8CEE85"/>
    <w:rsid w:val="3D0329B6"/>
    <w:rsid w:val="3D69459A"/>
    <w:rsid w:val="3D6B3076"/>
    <w:rsid w:val="3DBE5409"/>
    <w:rsid w:val="3FBEAB2D"/>
    <w:rsid w:val="400FB54B"/>
    <w:rsid w:val="402867DA"/>
    <w:rsid w:val="42191B55"/>
    <w:rsid w:val="422982B3"/>
    <w:rsid w:val="42AD21F2"/>
    <w:rsid w:val="4379E062"/>
    <w:rsid w:val="442535BE"/>
    <w:rsid w:val="44E28EF6"/>
    <w:rsid w:val="45D386B8"/>
    <w:rsid w:val="4646DBEF"/>
    <w:rsid w:val="46960C56"/>
    <w:rsid w:val="46DFB224"/>
    <w:rsid w:val="47536F21"/>
    <w:rsid w:val="48117B2F"/>
    <w:rsid w:val="481A0FEC"/>
    <w:rsid w:val="4873C8DA"/>
    <w:rsid w:val="49224681"/>
    <w:rsid w:val="4937457A"/>
    <w:rsid w:val="49860303"/>
    <w:rsid w:val="49D7517C"/>
    <w:rsid w:val="4A34B9FE"/>
    <w:rsid w:val="4A392448"/>
    <w:rsid w:val="4A4D23D7"/>
    <w:rsid w:val="4B91591F"/>
    <w:rsid w:val="4C644323"/>
    <w:rsid w:val="4C6D7748"/>
    <w:rsid w:val="4C8AD9FD"/>
    <w:rsid w:val="4CAB4B5D"/>
    <w:rsid w:val="4D627ED8"/>
    <w:rsid w:val="4D83C1B2"/>
    <w:rsid w:val="4DD6BDF6"/>
    <w:rsid w:val="4DF1803E"/>
    <w:rsid w:val="4EE72A0C"/>
    <w:rsid w:val="4EE8FD5C"/>
    <w:rsid w:val="4EEBF782"/>
    <w:rsid w:val="4F9D1FFF"/>
    <w:rsid w:val="4FEA9707"/>
    <w:rsid w:val="502A2870"/>
    <w:rsid w:val="51F1C6E0"/>
    <w:rsid w:val="520ADF7D"/>
    <w:rsid w:val="521DBE1B"/>
    <w:rsid w:val="5265D3A6"/>
    <w:rsid w:val="5291CFED"/>
    <w:rsid w:val="535E8D86"/>
    <w:rsid w:val="53DEE4A5"/>
    <w:rsid w:val="53E0427E"/>
    <w:rsid w:val="54723140"/>
    <w:rsid w:val="548AE1ED"/>
    <w:rsid w:val="54B2E244"/>
    <w:rsid w:val="54D29342"/>
    <w:rsid w:val="55576CDB"/>
    <w:rsid w:val="556C94AE"/>
    <w:rsid w:val="55C2A93C"/>
    <w:rsid w:val="5649D064"/>
    <w:rsid w:val="564DDA06"/>
    <w:rsid w:val="56B19FCA"/>
    <w:rsid w:val="578D7C6E"/>
    <w:rsid w:val="588E9411"/>
    <w:rsid w:val="597E1C0F"/>
    <w:rsid w:val="59ABEAD1"/>
    <w:rsid w:val="59FB0660"/>
    <w:rsid w:val="5A225500"/>
    <w:rsid w:val="5A2E01D0"/>
    <w:rsid w:val="5A52ACE5"/>
    <w:rsid w:val="5A8DF871"/>
    <w:rsid w:val="5ABB50A7"/>
    <w:rsid w:val="5B6F2271"/>
    <w:rsid w:val="5BF85936"/>
    <w:rsid w:val="5C2BFBBD"/>
    <w:rsid w:val="5CA8AD43"/>
    <w:rsid w:val="5CC9CECE"/>
    <w:rsid w:val="5CEA2171"/>
    <w:rsid w:val="5D82B216"/>
    <w:rsid w:val="5DB8859B"/>
    <w:rsid w:val="5DCFF2A9"/>
    <w:rsid w:val="5F066A87"/>
    <w:rsid w:val="5FF781FA"/>
    <w:rsid w:val="5FFE8597"/>
    <w:rsid w:val="60418F99"/>
    <w:rsid w:val="60D72DF8"/>
    <w:rsid w:val="6113B952"/>
    <w:rsid w:val="61A68376"/>
    <w:rsid w:val="61AF6887"/>
    <w:rsid w:val="61D18245"/>
    <w:rsid w:val="6224FD91"/>
    <w:rsid w:val="62286C3D"/>
    <w:rsid w:val="624C8D8B"/>
    <w:rsid w:val="62A68714"/>
    <w:rsid w:val="6307B011"/>
    <w:rsid w:val="6381F005"/>
    <w:rsid w:val="63E8ECF2"/>
    <w:rsid w:val="641DA3A9"/>
    <w:rsid w:val="64392380"/>
    <w:rsid w:val="644CE38D"/>
    <w:rsid w:val="64A4A819"/>
    <w:rsid w:val="650577F3"/>
    <w:rsid w:val="657E1EFC"/>
    <w:rsid w:val="65F12A01"/>
    <w:rsid w:val="66619C7D"/>
    <w:rsid w:val="66978C55"/>
    <w:rsid w:val="66A49568"/>
    <w:rsid w:val="66EFE56D"/>
    <w:rsid w:val="66F93402"/>
    <w:rsid w:val="67003421"/>
    <w:rsid w:val="672A7A8E"/>
    <w:rsid w:val="67E16449"/>
    <w:rsid w:val="680AE68C"/>
    <w:rsid w:val="6836470C"/>
    <w:rsid w:val="68418FA8"/>
    <w:rsid w:val="68561F87"/>
    <w:rsid w:val="68C07A9B"/>
    <w:rsid w:val="690228E6"/>
    <w:rsid w:val="69414745"/>
    <w:rsid w:val="698F1870"/>
    <w:rsid w:val="6A945673"/>
    <w:rsid w:val="6B4A7F78"/>
    <w:rsid w:val="6B508502"/>
    <w:rsid w:val="6BA02C32"/>
    <w:rsid w:val="6C50D3B7"/>
    <w:rsid w:val="6CAC1A12"/>
    <w:rsid w:val="6DC67E30"/>
    <w:rsid w:val="6E7D1195"/>
    <w:rsid w:val="6F2795F3"/>
    <w:rsid w:val="6F72D75B"/>
    <w:rsid w:val="6F7D4DD1"/>
    <w:rsid w:val="6F82D1B2"/>
    <w:rsid w:val="6FA192DA"/>
    <w:rsid w:val="6FCDD1B5"/>
    <w:rsid w:val="70091BC7"/>
    <w:rsid w:val="70577156"/>
    <w:rsid w:val="7215FFF4"/>
    <w:rsid w:val="72411EF5"/>
    <w:rsid w:val="724D5A46"/>
    <w:rsid w:val="735EA6A0"/>
    <w:rsid w:val="7400CFBF"/>
    <w:rsid w:val="7472C691"/>
    <w:rsid w:val="74DAB9E3"/>
    <w:rsid w:val="75307E47"/>
    <w:rsid w:val="75964E1A"/>
    <w:rsid w:val="75D7855A"/>
    <w:rsid w:val="75D7D2B7"/>
    <w:rsid w:val="75FBFED9"/>
    <w:rsid w:val="7641110B"/>
    <w:rsid w:val="765B06AE"/>
    <w:rsid w:val="7796270B"/>
    <w:rsid w:val="77B37535"/>
    <w:rsid w:val="77E468AF"/>
    <w:rsid w:val="77F055BC"/>
    <w:rsid w:val="78595DE0"/>
    <w:rsid w:val="7898317E"/>
    <w:rsid w:val="78C71E4D"/>
    <w:rsid w:val="79620E7C"/>
    <w:rsid w:val="7A1D2200"/>
    <w:rsid w:val="7A271BDC"/>
    <w:rsid w:val="7A9BA087"/>
    <w:rsid w:val="7AE4DA4A"/>
    <w:rsid w:val="7CACFBC0"/>
    <w:rsid w:val="7CBAB5DA"/>
    <w:rsid w:val="7D042EEB"/>
    <w:rsid w:val="7D635391"/>
    <w:rsid w:val="7EDDF637"/>
    <w:rsid w:val="7EDFF610"/>
    <w:rsid w:val="7FE904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DE9BBD9"/>
  <w15:docId w15:val="{484399DF-AB71-45A9-A787-8F449363E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AU" w:eastAsia="en-US" w:bidi="ar-SA"/>
      </w:rPr>
    </w:rPrDefault>
    <w:pPrDefault>
      <w:pPr>
        <w:spacing w:before="160" w:after="8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2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2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29"/>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3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856"/>
    <w:pPr>
      <w:keepLines/>
    </w:pPr>
  </w:style>
  <w:style w:type="paragraph" w:styleId="Heading1">
    <w:name w:val="heading 1"/>
    <w:basedOn w:val="Normal"/>
    <w:next w:val="Normal"/>
    <w:link w:val="Heading1Char"/>
    <w:uiPriority w:val="9"/>
    <w:qFormat/>
    <w:rsid w:val="001720B3"/>
    <w:pPr>
      <w:keepNext/>
      <w:pBdr>
        <w:bottom w:val="single" w:sz="12" w:space="1" w:color="auto"/>
      </w:pBdr>
      <w:spacing w:after="320"/>
      <w:outlineLvl w:val="0"/>
    </w:pPr>
    <w:rPr>
      <w:rFonts w:asciiTheme="majorHAnsi" w:eastAsiaTheme="majorEastAsia" w:hAnsiTheme="majorHAnsi" w:cstheme="majorBidi"/>
      <w:b/>
      <w:caps/>
      <w:sz w:val="32"/>
      <w:szCs w:val="32"/>
    </w:rPr>
  </w:style>
  <w:style w:type="paragraph" w:styleId="Heading2">
    <w:name w:val="heading 2"/>
    <w:basedOn w:val="Heading1"/>
    <w:next w:val="Normal"/>
    <w:link w:val="Heading2Char"/>
    <w:uiPriority w:val="9"/>
    <w:unhideWhenUsed/>
    <w:qFormat/>
    <w:rsid w:val="006F78E0"/>
    <w:pPr>
      <w:pBdr>
        <w:bottom w:val="none" w:sz="0" w:space="0" w:color="auto"/>
      </w:pBdr>
      <w:spacing w:before="200" w:after="120"/>
      <w:outlineLvl w:val="1"/>
    </w:pPr>
    <w:rPr>
      <w:caps w:val="0"/>
      <w:sz w:val="26"/>
      <w:szCs w:val="26"/>
    </w:rPr>
  </w:style>
  <w:style w:type="paragraph" w:styleId="Heading3">
    <w:name w:val="heading 3"/>
    <w:basedOn w:val="Heading2"/>
    <w:next w:val="Normal"/>
    <w:link w:val="Heading3Char"/>
    <w:uiPriority w:val="9"/>
    <w:unhideWhenUsed/>
    <w:qFormat/>
    <w:rsid w:val="00B23B0D"/>
    <w:pPr>
      <w:spacing w:before="160"/>
      <w:outlineLvl w:val="2"/>
    </w:pPr>
    <w:rPr>
      <w:sz w:val="22"/>
      <w:szCs w:val="24"/>
    </w:rPr>
  </w:style>
  <w:style w:type="paragraph" w:styleId="Heading4">
    <w:name w:val="heading 4"/>
    <w:basedOn w:val="Heading3"/>
    <w:next w:val="Normal"/>
    <w:link w:val="Heading4Char"/>
    <w:uiPriority w:val="9"/>
    <w:unhideWhenUsed/>
    <w:qFormat/>
    <w:rsid w:val="00832C7E"/>
    <w:pPr>
      <w:outlineLvl w:val="3"/>
    </w:pPr>
    <w:rPr>
      <w:iCs/>
      <w:sz w:val="18"/>
    </w:rPr>
  </w:style>
  <w:style w:type="paragraph" w:styleId="Heading5">
    <w:name w:val="heading 5"/>
    <w:basedOn w:val="Normal"/>
    <w:next w:val="Normal"/>
    <w:link w:val="Heading5Char"/>
    <w:uiPriority w:val="9"/>
    <w:unhideWhenUsed/>
    <w:qFormat/>
    <w:rsid w:val="00602698"/>
    <w:pPr>
      <w:keepNext/>
      <w:spacing w:before="40" w:after="0"/>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rsid w:val="00ED22CA"/>
    <w:pPr>
      <w:keepNext/>
      <w:numPr>
        <w:ilvl w:val="5"/>
        <w:numId w:val="3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22CA"/>
    <w:pPr>
      <w:keepNext/>
      <w:numPr>
        <w:ilvl w:val="6"/>
        <w:numId w:val="3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22CA"/>
    <w:pPr>
      <w:keepNext/>
      <w:numPr>
        <w:ilvl w:val="7"/>
        <w:numId w:val="3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22CA"/>
    <w:pPr>
      <w:keepNext/>
      <w:numPr>
        <w:ilvl w:val="8"/>
        <w:numId w:val="3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0B3"/>
    <w:rPr>
      <w:rFonts w:asciiTheme="majorHAnsi" w:eastAsiaTheme="majorEastAsia" w:hAnsiTheme="majorHAnsi" w:cstheme="majorBidi"/>
      <w:b/>
      <w:caps/>
      <w:sz w:val="32"/>
      <w:szCs w:val="32"/>
    </w:rPr>
  </w:style>
  <w:style w:type="character" w:customStyle="1" w:styleId="Heading2Char">
    <w:name w:val="Heading 2 Char"/>
    <w:basedOn w:val="DefaultParagraphFont"/>
    <w:link w:val="Heading2"/>
    <w:uiPriority w:val="9"/>
    <w:rsid w:val="006F78E0"/>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B23B0D"/>
    <w:rPr>
      <w:rFonts w:asciiTheme="majorHAnsi" w:eastAsiaTheme="majorEastAsia" w:hAnsiTheme="majorHAnsi" w:cstheme="majorBidi"/>
      <w:b/>
      <w:szCs w:val="24"/>
    </w:rPr>
  </w:style>
  <w:style w:type="character" w:customStyle="1" w:styleId="Heading4Char">
    <w:name w:val="Heading 4 Char"/>
    <w:basedOn w:val="DefaultParagraphFont"/>
    <w:link w:val="Heading4"/>
    <w:uiPriority w:val="9"/>
    <w:rsid w:val="00BF1B28"/>
    <w:rPr>
      <w:rFonts w:asciiTheme="majorHAnsi" w:eastAsiaTheme="majorEastAsia" w:hAnsiTheme="majorHAnsi" w:cstheme="majorBidi"/>
      <w:b/>
      <w:iCs/>
      <w:szCs w:val="24"/>
    </w:rPr>
  </w:style>
  <w:style w:type="character" w:customStyle="1" w:styleId="Heading5Char">
    <w:name w:val="Heading 5 Char"/>
    <w:basedOn w:val="DefaultParagraphFont"/>
    <w:link w:val="Heading5"/>
    <w:uiPriority w:val="9"/>
    <w:rsid w:val="00602698"/>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sid w:val="00ED22C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D22C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22C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22CA"/>
    <w:rPr>
      <w:rFonts w:asciiTheme="majorHAnsi" w:eastAsiaTheme="majorEastAsia" w:hAnsiTheme="majorHAnsi" w:cstheme="majorBidi"/>
      <w:i/>
      <w:iCs/>
      <w:color w:val="272727" w:themeColor="text1" w:themeTint="D8"/>
      <w:sz w:val="21"/>
      <w:szCs w:val="21"/>
    </w:rPr>
  </w:style>
  <w:style w:type="paragraph" w:styleId="ListBullet">
    <w:name w:val="List Bullet"/>
    <w:basedOn w:val="ListContinue"/>
    <w:link w:val="ListBulletChar"/>
    <w:uiPriority w:val="24"/>
    <w:rsid w:val="004519ED"/>
    <w:pPr>
      <w:numPr>
        <w:numId w:val="40"/>
      </w:numPr>
    </w:pPr>
  </w:style>
  <w:style w:type="numbering" w:customStyle="1" w:styleId="BulletListStyle">
    <w:name w:val="Bullet List Style"/>
    <w:uiPriority w:val="99"/>
    <w:rsid w:val="00FD7375"/>
    <w:pPr>
      <w:numPr>
        <w:numId w:val="1"/>
      </w:numPr>
    </w:pPr>
  </w:style>
  <w:style w:type="paragraph" w:styleId="ListBullet2">
    <w:name w:val="List Bullet 2"/>
    <w:basedOn w:val="ListContinue2"/>
    <w:link w:val="ListBullet2Char"/>
    <w:uiPriority w:val="24"/>
    <w:unhideWhenUsed/>
    <w:rsid w:val="000966E8"/>
    <w:pPr>
      <w:numPr>
        <w:numId w:val="40"/>
      </w:numPr>
      <w:spacing w:after="40"/>
      <w:contextualSpacing w:val="0"/>
    </w:pPr>
  </w:style>
  <w:style w:type="paragraph" w:styleId="ListContinue">
    <w:name w:val="List Continue"/>
    <w:basedOn w:val="Normal"/>
    <w:link w:val="ListContinueChar"/>
    <w:uiPriority w:val="26"/>
    <w:rsid w:val="00E42209"/>
    <w:pPr>
      <w:numPr>
        <w:numId w:val="7"/>
      </w:numPr>
      <w:spacing w:before="40"/>
    </w:pPr>
  </w:style>
  <w:style w:type="paragraph" w:styleId="ListContinue2">
    <w:name w:val="List Continue 2"/>
    <w:basedOn w:val="ListContinue"/>
    <w:link w:val="ListContinue2Char"/>
    <w:uiPriority w:val="26"/>
    <w:semiHidden/>
    <w:unhideWhenUsed/>
    <w:rsid w:val="003A172E"/>
    <w:pPr>
      <w:numPr>
        <w:ilvl w:val="1"/>
      </w:numPr>
      <w:spacing w:after="120"/>
      <w:contextualSpacing/>
    </w:pPr>
  </w:style>
  <w:style w:type="paragraph" w:styleId="ListContinue3">
    <w:name w:val="List Continue 3"/>
    <w:basedOn w:val="ListContinue2"/>
    <w:uiPriority w:val="26"/>
    <w:semiHidden/>
    <w:unhideWhenUsed/>
    <w:rsid w:val="003A172E"/>
    <w:pPr>
      <w:numPr>
        <w:ilvl w:val="2"/>
      </w:numPr>
    </w:pPr>
  </w:style>
  <w:style w:type="paragraph" w:styleId="ListBullet3">
    <w:name w:val="List Bullet 3"/>
    <w:basedOn w:val="ListContinue3"/>
    <w:uiPriority w:val="24"/>
    <w:unhideWhenUsed/>
    <w:rsid w:val="004519ED"/>
    <w:pPr>
      <w:numPr>
        <w:numId w:val="40"/>
      </w:numPr>
    </w:pPr>
  </w:style>
  <w:style w:type="paragraph" w:styleId="ListBullet4">
    <w:name w:val="List Bullet 4"/>
    <w:basedOn w:val="ListContinue4"/>
    <w:uiPriority w:val="24"/>
    <w:semiHidden/>
    <w:unhideWhenUsed/>
    <w:rsid w:val="004519ED"/>
    <w:pPr>
      <w:ind w:left="1588" w:hanging="397"/>
    </w:pPr>
  </w:style>
  <w:style w:type="paragraph" w:styleId="ListContinue4">
    <w:name w:val="List Continue 4"/>
    <w:basedOn w:val="ListContinue3"/>
    <w:uiPriority w:val="26"/>
    <w:semiHidden/>
    <w:unhideWhenUsed/>
    <w:rsid w:val="003A172E"/>
    <w:pPr>
      <w:ind w:left="1132"/>
    </w:pPr>
  </w:style>
  <w:style w:type="paragraph" w:styleId="ListBullet5">
    <w:name w:val="List Bullet 5"/>
    <w:basedOn w:val="ListContinue5"/>
    <w:uiPriority w:val="24"/>
    <w:semiHidden/>
    <w:unhideWhenUsed/>
    <w:rsid w:val="004519ED"/>
    <w:pPr>
      <w:ind w:left="1985" w:hanging="397"/>
    </w:pPr>
  </w:style>
  <w:style w:type="paragraph" w:styleId="ListContinue5">
    <w:name w:val="List Continue 5"/>
    <w:basedOn w:val="ListContinue4"/>
    <w:uiPriority w:val="26"/>
    <w:semiHidden/>
    <w:unhideWhenUsed/>
    <w:rsid w:val="003A172E"/>
    <w:pPr>
      <w:ind w:left="1415"/>
    </w:pPr>
  </w:style>
  <w:style w:type="paragraph" w:styleId="ListNumber2">
    <w:name w:val="List Number 2"/>
    <w:basedOn w:val="ListContinue2"/>
    <w:uiPriority w:val="25"/>
    <w:semiHidden/>
    <w:unhideWhenUsed/>
    <w:rsid w:val="003A172E"/>
    <w:pPr>
      <w:numPr>
        <w:numId w:val="35"/>
      </w:numPr>
    </w:pPr>
  </w:style>
  <w:style w:type="paragraph" w:styleId="ListNumber3">
    <w:name w:val="List Number 3"/>
    <w:basedOn w:val="ListContinue3"/>
    <w:uiPriority w:val="25"/>
    <w:semiHidden/>
    <w:unhideWhenUsed/>
    <w:rsid w:val="003A172E"/>
    <w:pPr>
      <w:numPr>
        <w:numId w:val="35"/>
      </w:numPr>
    </w:pPr>
  </w:style>
  <w:style w:type="paragraph" w:styleId="ListNumber4">
    <w:name w:val="List Number 4"/>
    <w:basedOn w:val="ListContinue4"/>
    <w:uiPriority w:val="25"/>
    <w:semiHidden/>
    <w:unhideWhenUsed/>
    <w:rsid w:val="003A172E"/>
    <w:pPr>
      <w:numPr>
        <w:ilvl w:val="3"/>
        <w:numId w:val="35"/>
      </w:numPr>
    </w:pPr>
  </w:style>
  <w:style w:type="paragraph" w:styleId="ListNumber5">
    <w:name w:val="List Number 5"/>
    <w:basedOn w:val="ListContinue5"/>
    <w:uiPriority w:val="25"/>
    <w:semiHidden/>
    <w:unhideWhenUsed/>
    <w:rsid w:val="003A172E"/>
    <w:pPr>
      <w:numPr>
        <w:ilvl w:val="4"/>
        <w:numId w:val="35"/>
      </w:numPr>
    </w:pPr>
  </w:style>
  <w:style w:type="paragraph" w:styleId="ListNumber">
    <w:name w:val="List Number"/>
    <w:basedOn w:val="ListContinue"/>
    <w:uiPriority w:val="25"/>
    <w:rsid w:val="006D0A09"/>
    <w:pPr>
      <w:numPr>
        <w:numId w:val="35"/>
      </w:numPr>
    </w:pPr>
  </w:style>
  <w:style w:type="paragraph" w:styleId="FootnoteText">
    <w:name w:val="footnote text"/>
    <w:basedOn w:val="Normal"/>
    <w:link w:val="FootnoteTextChar"/>
    <w:uiPriority w:val="99"/>
    <w:unhideWhenUsed/>
    <w:qFormat/>
    <w:rsid w:val="00F51427"/>
    <w:pPr>
      <w:tabs>
        <w:tab w:val="left" w:pos="170"/>
      </w:tabs>
      <w:spacing w:before="0" w:after="0" w:line="240" w:lineRule="auto"/>
      <w:ind w:left="170" w:hanging="170"/>
    </w:pPr>
    <w:rPr>
      <w:sz w:val="16"/>
      <w:szCs w:val="20"/>
    </w:rPr>
  </w:style>
  <w:style w:type="character" w:customStyle="1" w:styleId="FootnoteTextChar">
    <w:name w:val="Footnote Text Char"/>
    <w:basedOn w:val="DefaultParagraphFont"/>
    <w:link w:val="FootnoteText"/>
    <w:uiPriority w:val="99"/>
    <w:rsid w:val="00F51427"/>
    <w:rPr>
      <w:sz w:val="16"/>
      <w:szCs w:val="20"/>
    </w:rPr>
  </w:style>
  <w:style w:type="character" w:styleId="FootnoteReference">
    <w:name w:val="footnote reference"/>
    <w:basedOn w:val="DefaultParagraphFont"/>
    <w:uiPriority w:val="99"/>
    <w:unhideWhenUsed/>
    <w:rsid w:val="00F51427"/>
    <w:rPr>
      <w:vertAlign w:val="superscript"/>
    </w:rPr>
  </w:style>
  <w:style w:type="paragraph" w:styleId="Caption">
    <w:name w:val="caption"/>
    <w:basedOn w:val="Normal"/>
    <w:next w:val="Normal"/>
    <w:uiPriority w:val="34"/>
    <w:qFormat/>
    <w:rsid w:val="00FA4323"/>
    <w:pPr>
      <w:keepNext/>
      <w:tabs>
        <w:tab w:val="left" w:pos="964"/>
        <w:tab w:val="right" w:pos="9639"/>
        <w:tab w:val="right" w:pos="14742"/>
      </w:tabs>
      <w:spacing w:line="240" w:lineRule="auto"/>
    </w:pPr>
    <w:rPr>
      <w:b/>
      <w:iCs/>
      <w:color w:val="404040" w:themeColor="text1" w:themeTint="BF"/>
    </w:rPr>
  </w:style>
  <w:style w:type="paragraph" w:customStyle="1" w:styleId="Source">
    <w:name w:val="Source"/>
    <w:basedOn w:val="Normal"/>
    <w:next w:val="Normal"/>
    <w:uiPriority w:val="35"/>
    <w:qFormat/>
    <w:rsid w:val="006C62FF"/>
    <w:pPr>
      <w:spacing w:before="40" w:after="60" w:line="240" w:lineRule="auto"/>
    </w:pPr>
    <w:rPr>
      <w:i/>
      <w:sz w:val="14"/>
    </w:rPr>
  </w:style>
  <w:style w:type="character" w:styleId="Hyperlink">
    <w:name w:val="Hyperlink"/>
    <w:basedOn w:val="DefaultParagraphFont"/>
    <w:uiPriority w:val="99"/>
    <w:unhideWhenUsed/>
    <w:rsid w:val="008C0BCD"/>
    <w:rPr>
      <w:color w:val="0000C8"/>
      <w:u w:val="single"/>
    </w:rPr>
  </w:style>
  <w:style w:type="character" w:styleId="UnresolvedMention">
    <w:name w:val="Unresolved Mention"/>
    <w:basedOn w:val="DefaultParagraphFont"/>
    <w:uiPriority w:val="99"/>
    <w:unhideWhenUsed/>
    <w:rsid w:val="001C5DED"/>
    <w:rPr>
      <w:color w:val="605E5C"/>
      <w:shd w:val="clear" w:color="auto" w:fill="E1DFDD"/>
    </w:rPr>
  </w:style>
  <w:style w:type="table" w:styleId="GridTable4">
    <w:name w:val="Grid Table 4"/>
    <w:basedOn w:val="TableNormal"/>
    <w:uiPriority w:val="49"/>
    <w:rsid w:val="00B514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B51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extTable">
    <w:name w:val="DTF Text Table"/>
    <w:basedOn w:val="PlainTable4"/>
    <w:uiPriority w:val="99"/>
    <w:rsid w:val="00604332"/>
    <w:pPr>
      <w:spacing w:before="60" w:after="60"/>
    </w:pPr>
    <w:tblPr>
      <w:tblBorders>
        <w:bottom w:val="single" w:sz="12" w:space="0" w:color="auto"/>
      </w:tblBorders>
    </w:tblPr>
    <w:tblStylePr w:type="firstRow">
      <w:pPr>
        <w:jc w:val="left"/>
      </w:pPr>
      <w:rPr>
        <w:b w:val="0"/>
        <w:bCs/>
        <w:i/>
      </w:rPr>
      <w:tblPr/>
      <w:tcPr>
        <w:shd w:val="clear" w:color="auto" w:fill="000000"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customStyle="1" w:styleId="GuidanceBox">
    <w:name w:val="Guidance Box"/>
    <w:basedOn w:val="Normal"/>
    <w:uiPriority w:val="31"/>
    <w:qFormat/>
    <w:rsid w:val="00C22F9A"/>
    <w:pPr>
      <w:pBdr>
        <w:top w:val="single" w:sz="6" w:space="1" w:color="4472C4" w:themeColor="accent1"/>
        <w:left w:val="single" w:sz="6" w:space="4" w:color="4472C4" w:themeColor="accent1"/>
        <w:bottom w:val="single" w:sz="6" w:space="1" w:color="4472C4" w:themeColor="accent1"/>
        <w:right w:val="single" w:sz="6" w:space="4" w:color="4472C4" w:themeColor="accent1"/>
      </w:pBdr>
    </w:pPr>
    <w:rPr>
      <w:color w:val="4472C4" w:themeColor="accent1"/>
    </w:rPr>
  </w:style>
  <w:style w:type="table" w:styleId="PlainTable4">
    <w:name w:val="Plain Table 4"/>
    <w:basedOn w:val="TableNormal"/>
    <w:uiPriority w:val="44"/>
    <w:rsid w:val="00B514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erence">
    <w:name w:val="Reference"/>
    <w:uiPriority w:val="29"/>
    <w:qFormat/>
    <w:rsid w:val="002445D5"/>
    <w:rPr>
      <w:b w:val="0"/>
      <w:i w:val="0"/>
      <w:color w:val="C00000"/>
      <w:sz w:val="16"/>
    </w:rPr>
  </w:style>
  <w:style w:type="paragraph" w:customStyle="1" w:styleId="GuidanceBlockHeading">
    <w:name w:val="Guidance Block Heading"/>
    <w:basedOn w:val="Heading4"/>
    <w:next w:val="Normal"/>
    <w:uiPriority w:val="30"/>
    <w:qFormat/>
    <w:rsid w:val="001F3237"/>
    <w:pPr>
      <w:pBdr>
        <w:top w:val="single" w:sz="6" w:space="3" w:color="4472C4" w:themeColor="accent1"/>
        <w:left w:val="single" w:sz="6" w:space="4" w:color="4472C4" w:themeColor="accent1"/>
        <w:bottom w:val="single" w:sz="6" w:space="3" w:color="4472C4" w:themeColor="accent1"/>
        <w:right w:val="single" w:sz="6" w:space="4" w:color="4472C4" w:themeColor="accent1"/>
      </w:pBdr>
      <w:shd w:val="clear" w:color="auto" w:fill="4472C4" w:themeFill="accent1"/>
    </w:pPr>
    <w:rPr>
      <w:bCs/>
      <w:color w:val="FFFFFF" w:themeColor="background1"/>
      <w:sz w:val="20"/>
    </w:rPr>
  </w:style>
  <w:style w:type="table" w:customStyle="1" w:styleId="DTFFinancialTable">
    <w:name w:val="DTF Financial Table"/>
    <w:basedOn w:val="DTFTextTable"/>
    <w:uiPriority w:val="99"/>
    <w:rsid w:val="00D8764A"/>
    <w:pPr>
      <w:spacing w:before="20" w:after="20"/>
      <w:jc w:val="right"/>
    </w:pPr>
    <w:rPr>
      <w:sz w:val="17"/>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Note">
    <w:name w:val="Note"/>
    <w:basedOn w:val="Source"/>
    <w:link w:val="NoteChar"/>
    <w:uiPriority w:val="31"/>
    <w:qFormat/>
    <w:rsid w:val="0009716C"/>
    <w:pPr>
      <w:tabs>
        <w:tab w:val="left" w:pos="397"/>
      </w:tabs>
      <w:spacing w:before="60" w:after="160"/>
      <w:ind w:left="397" w:hanging="397"/>
      <w:contextualSpacing/>
    </w:pPr>
  </w:style>
  <w:style w:type="paragraph" w:styleId="NoSpacing">
    <w:name w:val="No Spacing"/>
    <w:uiPriority w:val="1"/>
    <w:qFormat/>
    <w:rsid w:val="00562221"/>
    <w:pPr>
      <w:spacing w:before="0" w:after="0" w:line="240" w:lineRule="auto"/>
    </w:pPr>
  </w:style>
  <w:style w:type="paragraph" w:styleId="Header">
    <w:name w:val="header"/>
    <w:basedOn w:val="Normal"/>
    <w:link w:val="HeaderChar"/>
    <w:uiPriority w:val="99"/>
    <w:unhideWhenUsed/>
    <w:rsid w:val="00883A90"/>
    <w:pPr>
      <w:tabs>
        <w:tab w:val="center" w:pos="4513"/>
        <w:tab w:val="right" w:pos="9026"/>
      </w:tabs>
      <w:spacing w:before="0" w:after="0" w:line="240" w:lineRule="auto"/>
    </w:pPr>
    <w:rPr>
      <w:b/>
      <w:caps/>
      <w:color w:val="767171" w:themeColor="background2" w:themeShade="80"/>
    </w:rPr>
  </w:style>
  <w:style w:type="character" w:customStyle="1" w:styleId="HeaderChar">
    <w:name w:val="Header Char"/>
    <w:basedOn w:val="DefaultParagraphFont"/>
    <w:link w:val="Header"/>
    <w:uiPriority w:val="99"/>
    <w:rsid w:val="00883A90"/>
    <w:rPr>
      <w:b/>
      <w:caps/>
      <w:color w:val="767171" w:themeColor="background2" w:themeShade="80"/>
    </w:rPr>
  </w:style>
  <w:style w:type="paragraph" w:styleId="Footer">
    <w:name w:val="footer"/>
    <w:basedOn w:val="Normal"/>
    <w:link w:val="FooterChar"/>
    <w:uiPriority w:val="99"/>
    <w:unhideWhenUsed/>
    <w:rsid w:val="00F92C2D"/>
    <w:pPr>
      <w:pBdr>
        <w:top w:val="single" w:sz="4" w:space="1" w:color="auto"/>
      </w:pBdr>
      <w:tabs>
        <w:tab w:val="right" w:pos="9639"/>
      </w:tabs>
      <w:spacing w:before="0" w:after="0" w:line="240" w:lineRule="auto"/>
    </w:pPr>
  </w:style>
  <w:style w:type="character" w:customStyle="1" w:styleId="FooterChar">
    <w:name w:val="Footer Char"/>
    <w:basedOn w:val="DefaultParagraphFont"/>
    <w:link w:val="Footer"/>
    <w:uiPriority w:val="99"/>
    <w:rsid w:val="00F92C2D"/>
  </w:style>
  <w:style w:type="paragraph" w:styleId="Title">
    <w:name w:val="Title"/>
    <w:basedOn w:val="Normal"/>
    <w:next w:val="Normal"/>
    <w:link w:val="TitleChar"/>
    <w:uiPriority w:val="44"/>
    <w:qFormat/>
    <w:rsid w:val="007D536F"/>
    <w:pPr>
      <w:spacing w:before="2600" w:after="300" w:line="240" w:lineRule="auto"/>
      <w:ind w:right="2892"/>
      <w:contextualSpacing/>
      <w:jc w:val="right"/>
    </w:pPr>
    <w:rPr>
      <w:rFonts w:asciiTheme="majorHAnsi" w:eastAsiaTheme="majorEastAsia" w:hAnsiTheme="majorHAnsi" w:cstheme="majorBidi"/>
      <w:b/>
      <w:color w:val="3A3467"/>
      <w:spacing w:val="-10"/>
      <w:kern w:val="28"/>
      <w:sz w:val="56"/>
      <w:szCs w:val="56"/>
    </w:rPr>
  </w:style>
  <w:style w:type="character" w:customStyle="1" w:styleId="TitleChar">
    <w:name w:val="Title Char"/>
    <w:basedOn w:val="DefaultParagraphFont"/>
    <w:link w:val="Title"/>
    <w:uiPriority w:val="44"/>
    <w:rsid w:val="007D536F"/>
    <w:rPr>
      <w:rFonts w:asciiTheme="majorHAnsi" w:eastAsiaTheme="majorEastAsia" w:hAnsiTheme="majorHAnsi" w:cstheme="majorBidi"/>
      <w:b/>
      <w:color w:val="3A3467"/>
      <w:spacing w:val="-10"/>
      <w:kern w:val="28"/>
      <w:sz w:val="56"/>
      <w:szCs w:val="56"/>
    </w:rPr>
  </w:style>
  <w:style w:type="character" w:customStyle="1" w:styleId="Reference-Revised">
    <w:name w:val="Reference - Revised"/>
    <w:basedOn w:val="Reference"/>
    <w:uiPriority w:val="29"/>
    <w:qFormat/>
    <w:rsid w:val="002445D5"/>
    <w:rPr>
      <w:b w:val="0"/>
      <w:i w:val="0"/>
      <w:color w:val="7030A0"/>
      <w:sz w:val="16"/>
    </w:rPr>
  </w:style>
  <w:style w:type="character" w:customStyle="1" w:styleId="Guidance">
    <w:name w:val="Guidance"/>
    <w:uiPriority w:val="31"/>
    <w:qFormat/>
    <w:rsid w:val="00D23DE5"/>
    <w:rPr>
      <w:color w:val="4472C4" w:themeColor="accent1"/>
    </w:rPr>
  </w:style>
  <w:style w:type="paragraph" w:customStyle="1" w:styleId="GuidanceHeading">
    <w:name w:val="Guidance Heading"/>
    <w:basedOn w:val="Normal"/>
    <w:next w:val="Normal"/>
    <w:uiPriority w:val="30"/>
    <w:qFormat/>
    <w:rsid w:val="000966E8"/>
    <w:pPr>
      <w:keepNext/>
    </w:pPr>
    <w:rPr>
      <w:b/>
      <w:color w:val="4472C4" w:themeColor="accent1"/>
      <w:sz w:val="20"/>
    </w:rPr>
  </w:style>
  <w:style w:type="character" w:customStyle="1" w:styleId="Reference-New">
    <w:name w:val="Reference - New"/>
    <w:basedOn w:val="Reference"/>
    <w:uiPriority w:val="29"/>
    <w:qFormat/>
    <w:rsid w:val="002445D5"/>
    <w:rPr>
      <w:b w:val="0"/>
      <w:i w:val="0"/>
      <w:color w:val="70AD47" w:themeColor="accent6"/>
      <w:sz w:val="16"/>
    </w:rPr>
  </w:style>
  <w:style w:type="paragraph" w:customStyle="1" w:styleId="GuidanceEnd">
    <w:name w:val="Guidance End"/>
    <w:basedOn w:val="Normal"/>
    <w:next w:val="Normal"/>
    <w:uiPriority w:val="30"/>
    <w:qFormat/>
    <w:rsid w:val="0033519E"/>
    <w:pPr>
      <w:pBdr>
        <w:top w:val="single" w:sz="36" w:space="1" w:color="4472C4" w:themeColor="accent1"/>
      </w:pBdr>
      <w:spacing w:before="0" w:after="0" w:line="240" w:lineRule="auto"/>
    </w:pPr>
  </w:style>
  <w:style w:type="paragraph" w:styleId="Quote">
    <w:name w:val="Quote"/>
    <w:basedOn w:val="Normal"/>
    <w:next w:val="Normal"/>
    <w:link w:val="QuoteChar"/>
    <w:uiPriority w:val="39"/>
    <w:qFormat/>
    <w:rsid w:val="006B5E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9"/>
    <w:rsid w:val="006B5EA1"/>
    <w:rPr>
      <w:i/>
      <w:iCs/>
      <w:color w:val="404040" w:themeColor="text1" w:themeTint="BF"/>
    </w:rPr>
  </w:style>
  <w:style w:type="paragraph" w:styleId="BalloonText">
    <w:name w:val="Balloon Text"/>
    <w:basedOn w:val="Normal"/>
    <w:link w:val="BalloonTextChar"/>
    <w:uiPriority w:val="99"/>
    <w:semiHidden/>
    <w:unhideWhenUsed/>
    <w:rsid w:val="00DC60A6"/>
    <w:pPr>
      <w:spacing w:before="0"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DC60A6"/>
    <w:rPr>
      <w:rFonts w:ascii="Segoe UI" w:hAnsi="Segoe UI" w:cs="Segoe UI"/>
    </w:rPr>
  </w:style>
  <w:style w:type="character" w:styleId="CommentReference">
    <w:name w:val="annotation reference"/>
    <w:basedOn w:val="DefaultParagraphFont"/>
    <w:uiPriority w:val="99"/>
    <w:semiHidden/>
    <w:unhideWhenUsed/>
    <w:rsid w:val="00DF439D"/>
    <w:rPr>
      <w:sz w:val="16"/>
      <w:szCs w:val="16"/>
    </w:rPr>
  </w:style>
  <w:style w:type="paragraph" w:styleId="CommentText">
    <w:name w:val="annotation text"/>
    <w:basedOn w:val="Normal"/>
    <w:link w:val="CommentTextChar"/>
    <w:uiPriority w:val="99"/>
    <w:unhideWhenUsed/>
    <w:rsid w:val="00DF439D"/>
    <w:pPr>
      <w:spacing w:line="240" w:lineRule="auto"/>
    </w:pPr>
    <w:rPr>
      <w:sz w:val="20"/>
      <w:szCs w:val="20"/>
    </w:rPr>
  </w:style>
  <w:style w:type="character" w:customStyle="1" w:styleId="CommentTextChar">
    <w:name w:val="Comment Text Char"/>
    <w:basedOn w:val="DefaultParagraphFont"/>
    <w:link w:val="CommentText"/>
    <w:uiPriority w:val="99"/>
    <w:rsid w:val="00DF439D"/>
    <w:rPr>
      <w:sz w:val="20"/>
      <w:szCs w:val="20"/>
    </w:rPr>
  </w:style>
  <w:style w:type="paragraph" w:styleId="CommentSubject">
    <w:name w:val="annotation subject"/>
    <w:basedOn w:val="CommentText"/>
    <w:next w:val="CommentText"/>
    <w:link w:val="CommentSubjectChar"/>
    <w:uiPriority w:val="99"/>
    <w:semiHidden/>
    <w:unhideWhenUsed/>
    <w:rsid w:val="00DF439D"/>
    <w:rPr>
      <w:b/>
      <w:bCs/>
    </w:rPr>
  </w:style>
  <w:style w:type="character" w:customStyle="1" w:styleId="CommentSubjectChar">
    <w:name w:val="Comment Subject Char"/>
    <w:basedOn w:val="CommentTextChar"/>
    <w:link w:val="CommentSubject"/>
    <w:uiPriority w:val="99"/>
    <w:semiHidden/>
    <w:rsid w:val="00DF439D"/>
    <w:rPr>
      <w:b/>
      <w:bCs/>
      <w:sz w:val="20"/>
      <w:szCs w:val="20"/>
    </w:rPr>
  </w:style>
  <w:style w:type="numbering" w:customStyle="1" w:styleId="ListBulletStyle">
    <w:name w:val="List Bullet Style"/>
    <w:uiPriority w:val="99"/>
    <w:rsid w:val="002B0DF8"/>
    <w:pPr>
      <w:numPr>
        <w:numId w:val="2"/>
      </w:numPr>
    </w:pPr>
  </w:style>
  <w:style w:type="paragraph" w:styleId="ListParagraph">
    <w:name w:val="List Paragraph"/>
    <w:basedOn w:val="Normal"/>
    <w:link w:val="ListParagraphChar"/>
    <w:uiPriority w:val="34"/>
    <w:qFormat/>
    <w:rsid w:val="003F775E"/>
    <w:pPr>
      <w:spacing w:before="80" w:after="0" w:line="240" w:lineRule="auto"/>
    </w:pPr>
  </w:style>
  <w:style w:type="numbering" w:customStyle="1" w:styleId="ListBulletAlphaStyle">
    <w:name w:val="List Bullet/Alpha Style"/>
    <w:uiPriority w:val="99"/>
    <w:rsid w:val="002B0DF8"/>
    <w:pPr>
      <w:numPr>
        <w:numId w:val="3"/>
      </w:numPr>
    </w:pPr>
  </w:style>
  <w:style w:type="numbering" w:customStyle="1" w:styleId="ListContinueStyle">
    <w:name w:val="List Continue Style"/>
    <w:uiPriority w:val="99"/>
    <w:rsid w:val="002B0DF8"/>
    <w:pPr>
      <w:numPr>
        <w:numId w:val="7"/>
      </w:numPr>
    </w:pPr>
  </w:style>
  <w:style w:type="character" w:customStyle="1" w:styleId="NoteChar">
    <w:name w:val="Note Char"/>
    <w:basedOn w:val="DefaultParagraphFont"/>
    <w:link w:val="Note"/>
    <w:uiPriority w:val="31"/>
    <w:rsid w:val="00896AD0"/>
    <w:rPr>
      <w:i/>
      <w:sz w:val="14"/>
    </w:rPr>
  </w:style>
  <w:style w:type="table" w:customStyle="1" w:styleId="DTFTable">
    <w:name w:val="DTF Table"/>
    <w:basedOn w:val="DTFTextTable"/>
    <w:uiPriority w:val="99"/>
    <w:rsid w:val="00C55DBE"/>
    <w:pPr>
      <w:spacing w:before="20" w:after="20"/>
      <w:jc w:val="right"/>
    </w:pPr>
    <w:rPr>
      <w:sz w:val="16"/>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TableUnits">
    <w:name w:val="Table Units"/>
    <w:basedOn w:val="Caption"/>
    <w:uiPriority w:val="34"/>
    <w:qFormat/>
    <w:rsid w:val="003719CD"/>
    <w:pPr>
      <w:tabs>
        <w:tab w:val="right" w:pos="14572"/>
      </w:tabs>
      <w:jc w:val="right"/>
    </w:pPr>
  </w:style>
  <w:style w:type="paragraph" w:customStyle="1" w:styleId="ListAlpha">
    <w:name w:val="List Alpha"/>
    <w:basedOn w:val="Normal"/>
    <w:uiPriority w:val="26"/>
    <w:rsid w:val="003719CD"/>
    <w:pPr>
      <w:numPr>
        <w:numId w:val="4"/>
      </w:numPr>
      <w:spacing w:before="40"/>
    </w:pPr>
  </w:style>
  <w:style w:type="paragraph" w:customStyle="1" w:styleId="ListAlpha2">
    <w:name w:val="List Alpha 2"/>
    <w:basedOn w:val="Normal"/>
    <w:uiPriority w:val="26"/>
    <w:rsid w:val="003719CD"/>
    <w:pPr>
      <w:numPr>
        <w:ilvl w:val="1"/>
        <w:numId w:val="4"/>
      </w:numPr>
      <w:spacing w:before="40" w:after="40"/>
    </w:pPr>
  </w:style>
  <w:style w:type="paragraph" w:styleId="NormalWeb">
    <w:name w:val="Normal (Web)"/>
    <w:basedOn w:val="Normal"/>
    <w:uiPriority w:val="99"/>
    <w:unhideWhenUsed/>
    <w:rsid w:val="003719CD"/>
    <w:pPr>
      <w:spacing w:before="120" w:after="0" w:line="240" w:lineRule="auto"/>
    </w:pPr>
    <w:rPr>
      <w:rFonts w:ascii="Times New Roman" w:hAnsi="Times New Roman" w:cs="Times New Roman"/>
      <w:spacing w:val="2"/>
      <w:sz w:val="24"/>
      <w:szCs w:val="24"/>
    </w:rPr>
  </w:style>
  <w:style w:type="paragraph" w:styleId="TOC9">
    <w:name w:val="toc 9"/>
    <w:basedOn w:val="Normal"/>
    <w:next w:val="Normal"/>
    <w:autoRedefine/>
    <w:uiPriority w:val="39"/>
    <w:unhideWhenUsed/>
    <w:rsid w:val="00C70938"/>
    <w:pPr>
      <w:keepLines w:val="0"/>
      <w:tabs>
        <w:tab w:val="left" w:pos="567"/>
        <w:tab w:val="right" w:leader="dot" w:pos="4536"/>
      </w:tabs>
      <w:spacing w:before="120" w:after="0" w:line="259" w:lineRule="auto"/>
      <w:ind w:left="567" w:right="340" w:hanging="567"/>
    </w:pPr>
    <w:rPr>
      <w:rFonts w:eastAsiaTheme="minorEastAsia"/>
      <w:szCs w:val="22"/>
      <w:lang w:eastAsia="en-AU"/>
    </w:rPr>
  </w:style>
  <w:style w:type="character" w:styleId="PlaceholderText">
    <w:name w:val="Placeholder Text"/>
    <w:basedOn w:val="DefaultParagraphFont"/>
    <w:uiPriority w:val="99"/>
    <w:semiHidden/>
    <w:rsid w:val="003719CD"/>
    <w:rPr>
      <w:color w:val="808080"/>
    </w:rPr>
  </w:style>
  <w:style w:type="table" w:customStyle="1" w:styleId="DTFTable1">
    <w:name w:val="DTF Table1"/>
    <w:basedOn w:val="TableNormal"/>
    <w:uiPriority w:val="99"/>
    <w:rsid w:val="003719CD"/>
    <w:pPr>
      <w:spacing w:before="20" w:after="20" w:line="240" w:lineRule="auto"/>
      <w:jc w:val="right"/>
    </w:pPr>
    <w:rPr>
      <w:rFonts w:asciiTheme="majorHAnsi" w:hAnsiTheme="majorHAnsi"/>
      <w:sz w:val="17"/>
      <w:szCs w:val="22"/>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styleId="TOC8">
    <w:name w:val="toc 8"/>
    <w:basedOn w:val="Normal"/>
    <w:next w:val="Normal"/>
    <w:autoRedefine/>
    <w:uiPriority w:val="39"/>
    <w:unhideWhenUsed/>
    <w:rsid w:val="008F49C2"/>
    <w:pPr>
      <w:tabs>
        <w:tab w:val="left" w:pos="567"/>
        <w:tab w:val="right" w:pos="8108"/>
      </w:tabs>
      <w:spacing w:before="60" w:after="40" w:line="240" w:lineRule="auto"/>
    </w:pPr>
  </w:style>
  <w:style w:type="paragraph" w:styleId="Revision">
    <w:name w:val="Revision"/>
    <w:hidden/>
    <w:uiPriority w:val="99"/>
    <w:semiHidden/>
    <w:rsid w:val="003719CD"/>
    <w:pPr>
      <w:spacing w:before="0" w:after="0" w:line="240" w:lineRule="auto"/>
    </w:pPr>
  </w:style>
  <w:style w:type="paragraph" w:customStyle="1" w:styleId="Spacer">
    <w:name w:val="Spacer"/>
    <w:basedOn w:val="Normal"/>
    <w:uiPriority w:val="13"/>
    <w:semiHidden/>
    <w:qFormat/>
    <w:rsid w:val="003719CD"/>
    <w:pPr>
      <w:spacing w:before="0" w:after="0" w:line="120" w:lineRule="atLeast"/>
    </w:pPr>
    <w:rPr>
      <w:rFonts w:eastAsia="Times New Roman" w:cs="Calibri"/>
      <w:color w:val="000000" w:themeColor="text1"/>
      <w:sz w:val="10"/>
      <w:szCs w:val="22"/>
      <w:lang w:eastAsia="en-AU"/>
    </w:rPr>
  </w:style>
  <w:style w:type="paragraph" w:styleId="Subtitle">
    <w:name w:val="Subtitle"/>
    <w:next w:val="Normal"/>
    <w:link w:val="SubtitleChar"/>
    <w:uiPriority w:val="45"/>
    <w:rsid w:val="007D536F"/>
    <w:pPr>
      <w:spacing w:before="1400" w:after="120" w:line="440" w:lineRule="exact"/>
      <w:ind w:right="2892"/>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7D536F"/>
    <w:rPr>
      <w:rFonts w:asciiTheme="majorHAnsi" w:eastAsia="Times New Roman" w:hAnsiTheme="majorHAnsi" w:cstheme="majorHAnsi"/>
      <w:sz w:val="32"/>
      <w:szCs w:val="32"/>
      <w:lang w:eastAsia="en-AU"/>
    </w:rPr>
  </w:style>
  <w:style w:type="paragraph" w:customStyle="1" w:styleId="NormalTight">
    <w:name w:val="Normal Tight"/>
    <w:uiPriority w:val="99"/>
    <w:semiHidden/>
    <w:rsid w:val="003719CD"/>
    <w:pPr>
      <w:spacing w:before="0" w:after="0" w:line="240" w:lineRule="auto"/>
      <w:ind w:right="2366"/>
    </w:pPr>
    <w:rPr>
      <w:rFonts w:eastAsia="Times New Roman" w:cs="Calibri"/>
      <w:szCs w:val="19"/>
    </w:rPr>
  </w:style>
  <w:style w:type="paragraph" w:customStyle="1" w:styleId="Insidecoverspacer">
    <w:name w:val="Inside cover spacer"/>
    <w:basedOn w:val="NormalTight"/>
    <w:uiPriority w:val="99"/>
    <w:semiHidden/>
    <w:qFormat/>
    <w:rsid w:val="003719CD"/>
    <w:pPr>
      <w:spacing w:before="3800"/>
      <w:ind w:right="1382"/>
    </w:pPr>
  </w:style>
  <w:style w:type="paragraph" w:customStyle="1" w:styleId="ReportDate">
    <w:name w:val="ReportDate"/>
    <w:uiPriority w:val="79"/>
    <w:semiHidden/>
    <w:rsid w:val="003719CD"/>
    <w:pPr>
      <w:spacing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3719CD"/>
    <w:pPr>
      <w:spacing w:before="0"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3719CD"/>
    <w:pPr>
      <w:spacing w:before="4600" w:after="0"/>
    </w:pPr>
    <w:rPr>
      <w:rFonts w:eastAsiaTheme="minorEastAsia"/>
      <w:color w:val="000000" w:themeColor="text1"/>
      <w:sz w:val="20"/>
      <w:szCs w:val="20"/>
      <w:lang w:eastAsia="en-AU"/>
    </w:rPr>
  </w:style>
  <w:style w:type="paragraph" w:styleId="TOC2">
    <w:name w:val="toc 2"/>
    <w:basedOn w:val="Normal"/>
    <w:next w:val="Normal"/>
    <w:autoRedefine/>
    <w:uiPriority w:val="39"/>
    <w:unhideWhenUsed/>
    <w:rsid w:val="006D3822"/>
    <w:pPr>
      <w:tabs>
        <w:tab w:val="right" w:leader="dot" w:pos="9628"/>
      </w:tabs>
      <w:spacing w:after="100"/>
      <w:ind w:left="180"/>
    </w:pPr>
  </w:style>
  <w:style w:type="paragraph" w:styleId="TOC1">
    <w:name w:val="toc 1"/>
    <w:basedOn w:val="Normal"/>
    <w:next w:val="Normal"/>
    <w:autoRedefine/>
    <w:uiPriority w:val="39"/>
    <w:unhideWhenUsed/>
    <w:rsid w:val="00D45197"/>
    <w:pPr>
      <w:tabs>
        <w:tab w:val="right" w:leader="dot" w:pos="9639"/>
      </w:tabs>
      <w:spacing w:after="100"/>
    </w:pPr>
    <w:rPr>
      <w:b/>
    </w:rPr>
  </w:style>
  <w:style w:type="paragraph" w:styleId="TOC3">
    <w:name w:val="toc 3"/>
    <w:basedOn w:val="Normal"/>
    <w:next w:val="Normal"/>
    <w:autoRedefine/>
    <w:uiPriority w:val="39"/>
    <w:unhideWhenUsed/>
    <w:rsid w:val="007D536F"/>
    <w:pPr>
      <w:keepLines w:val="0"/>
      <w:spacing w:before="0" w:after="100" w:line="259" w:lineRule="auto"/>
      <w:ind w:left="440"/>
    </w:pPr>
    <w:rPr>
      <w:rFonts w:eastAsiaTheme="minorEastAsia"/>
      <w:sz w:val="22"/>
      <w:szCs w:val="22"/>
      <w:lang w:eastAsia="en-AU"/>
    </w:rPr>
  </w:style>
  <w:style w:type="paragraph" w:styleId="TOC4">
    <w:name w:val="toc 4"/>
    <w:basedOn w:val="Normal"/>
    <w:next w:val="Normal"/>
    <w:autoRedefine/>
    <w:uiPriority w:val="39"/>
    <w:unhideWhenUsed/>
    <w:rsid w:val="007D536F"/>
    <w:pPr>
      <w:keepLines w:val="0"/>
      <w:spacing w:before="0" w:after="100" w:line="259" w:lineRule="auto"/>
      <w:ind w:left="660"/>
    </w:pPr>
    <w:rPr>
      <w:rFonts w:eastAsiaTheme="minorEastAsia"/>
      <w:sz w:val="22"/>
      <w:szCs w:val="22"/>
      <w:lang w:eastAsia="en-AU"/>
    </w:rPr>
  </w:style>
  <w:style w:type="paragraph" w:styleId="TOC5">
    <w:name w:val="toc 5"/>
    <w:basedOn w:val="Normal"/>
    <w:next w:val="Normal"/>
    <w:autoRedefine/>
    <w:uiPriority w:val="39"/>
    <w:unhideWhenUsed/>
    <w:rsid w:val="007D536F"/>
    <w:pPr>
      <w:keepLines w:val="0"/>
      <w:spacing w:before="0"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7D536F"/>
    <w:pPr>
      <w:keepLines w:val="0"/>
      <w:spacing w:before="0"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7D536F"/>
    <w:pPr>
      <w:keepLines w:val="0"/>
      <w:spacing w:before="0" w:after="100" w:line="259" w:lineRule="auto"/>
      <w:ind w:left="1320"/>
    </w:pPr>
    <w:rPr>
      <w:rFonts w:eastAsiaTheme="minorEastAsia"/>
      <w:sz w:val="22"/>
      <w:szCs w:val="22"/>
      <w:lang w:eastAsia="en-AU"/>
    </w:rPr>
  </w:style>
  <w:style w:type="character" w:styleId="FollowedHyperlink">
    <w:name w:val="FollowedHyperlink"/>
    <w:basedOn w:val="DefaultParagraphFont"/>
    <w:uiPriority w:val="99"/>
    <w:semiHidden/>
    <w:unhideWhenUsed/>
    <w:rsid w:val="00F6022B"/>
    <w:rPr>
      <w:color w:val="954F72" w:themeColor="followedHyperlink"/>
      <w:u w:val="single"/>
    </w:rPr>
  </w:style>
  <w:style w:type="paragraph" w:customStyle="1" w:styleId="SectionTitle">
    <w:name w:val="Section Title"/>
    <w:basedOn w:val="Heading1"/>
    <w:uiPriority w:val="45"/>
    <w:qFormat/>
    <w:rsid w:val="00F6022B"/>
  </w:style>
  <w:style w:type="character" w:styleId="PageNumber">
    <w:name w:val="page number"/>
    <w:rsid w:val="00DC763C"/>
    <w:rPr>
      <w:rFonts w:asciiTheme="minorHAnsi" w:hAnsiTheme="minorHAnsi"/>
      <w:sz w:val="18"/>
    </w:rPr>
  </w:style>
  <w:style w:type="paragraph" w:customStyle="1" w:styleId="Footereven">
    <w:name w:val="Footer (even)"/>
    <w:basedOn w:val="Normal"/>
    <w:link w:val="FooterevenChar"/>
    <w:uiPriority w:val="84"/>
    <w:rsid w:val="00DC763C"/>
    <w:pPr>
      <w:pBdr>
        <w:top w:val="single" w:sz="6" w:space="1" w:color="auto"/>
      </w:pBdr>
      <w:tabs>
        <w:tab w:val="right" w:pos="9639"/>
        <w:tab w:val="right" w:pos="14742"/>
      </w:tabs>
      <w:spacing w:before="0" w:after="0" w:line="240" w:lineRule="auto"/>
    </w:pPr>
    <w:rPr>
      <w:rFonts w:asciiTheme="majorHAnsi" w:hAnsiTheme="majorHAnsi"/>
      <w:spacing w:val="2"/>
    </w:rPr>
  </w:style>
  <w:style w:type="character" w:customStyle="1" w:styleId="FooterevenChar">
    <w:name w:val="Footer (even) Char"/>
    <w:basedOn w:val="DefaultParagraphFont"/>
    <w:link w:val="Footereven"/>
    <w:uiPriority w:val="84"/>
    <w:rsid w:val="00DC763C"/>
    <w:rPr>
      <w:rFonts w:asciiTheme="majorHAnsi" w:hAnsiTheme="majorHAnsi"/>
      <w:spacing w:val="2"/>
    </w:rPr>
  </w:style>
  <w:style w:type="numbering" w:customStyle="1" w:styleId="NumberedHeadings">
    <w:name w:val="Numbered Headings"/>
    <w:uiPriority w:val="99"/>
    <w:rsid w:val="004B40B4"/>
    <w:pPr>
      <w:numPr>
        <w:numId w:val="13"/>
      </w:numPr>
    </w:pPr>
  </w:style>
  <w:style w:type="character" w:styleId="Mention">
    <w:name w:val="Mention"/>
    <w:basedOn w:val="DefaultParagraphFont"/>
    <w:uiPriority w:val="99"/>
    <w:unhideWhenUsed/>
    <w:rsid w:val="00BA73FF"/>
    <w:rPr>
      <w:color w:val="2B579A"/>
      <w:shd w:val="clear" w:color="auto" w:fill="E1DFDD"/>
    </w:rPr>
  </w:style>
  <w:style w:type="character" w:customStyle="1" w:styleId="ListContinueChar">
    <w:name w:val="List Continue Char"/>
    <w:basedOn w:val="DefaultParagraphFont"/>
    <w:link w:val="ListContinue"/>
    <w:uiPriority w:val="26"/>
    <w:rsid w:val="00BA0D8E"/>
  </w:style>
  <w:style w:type="character" w:customStyle="1" w:styleId="ListContinue2Char">
    <w:name w:val="List Continue 2 Char"/>
    <w:basedOn w:val="ListContinueChar"/>
    <w:link w:val="ListContinue2"/>
    <w:uiPriority w:val="26"/>
    <w:semiHidden/>
    <w:rsid w:val="00BA0D8E"/>
  </w:style>
  <w:style w:type="character" w:customStyle="1" w:styleId="ListBullet2Char">
    <w:name w:val="List Bullet 2 Char"/>
    <w:basedOn w:val="ListContinue2Char"/>
    <w:link w:val="ListBullet2"/>
    <w:uiPriority w:val="24"/>
    <w:rsid w:val="00BA0D8E"/>
  </w:style>
  <w:style w:type="character" w:customStyle="1" w:styleId="ListBulletChar">
    <w:name w:val="List Bullet Char"/>
    <w:basedOn w:val="ListContinueChar"/>
    <w:link w:val="ListBullet"/>
    <w:uiPriority w:val="24"/>
    <w:rsid w:val="00BA0D8E"/>
  </w:style>
  <w:style w:type="character" w:customStyle="1" w:styleId="ListParagraphChar">
    <w:name w:val="List Paragraph Char"/>
    <w:basedOn w:val="DefaultParagraphFont"/>
    <w:link w:val="ListParagraph"/>
    <w:uiPriority w:val="25"/>
    <w:rsid w:val="00BA0D8E"/>
  </w:style>
  <w:style w:type="table" w:styleId="TableGridLight">
    <w:name w:val="Grid Table Light"/>
    <w:basedOn w:val="TableNormal"/>
    <w:uiPriority w:val="40"/>
    <w:rsid w:val="004330DD"/>
    <w:pPr>
      <w:spacing w:before="0" w:after="0" w:line="240" w:lineRule="auto"/>
    </w:pPr>
    <w:rPr>
      <w:rFonts w:eastAsiaTheme="minorEastAsia"/>
      <w:sz w:val="22"/>
      <w:szCs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1numbered">
    <w:name w:val="Heading 1 numbered"/>
    <w:basedOn w:val="Heading1"/>
    <w:next w:val="Normal"/>
    <w:uiPriority w:val="14"/>
    <w:rsid w:val="006F39D9"/>
    <w:pPr>
      <w:numPr>
        <w:numId w:val="39"/>
      </w:numPr>
    </w:pPr>
  </w:style>
  <w:style w:type="paragraph" w:customStyle="1" w:styleId="Heading2numbered">
    <w:name w:val="Heading 2 numbered"/>
    <w:basedOn w:val="Heading2"/>
    <w:next w:val="Normal"/>
    <w:uiPriority w:val="14"/>
    <w:rsid w:val="006F39D9"/>
    <w:pPr>
      <w:numPr>
        <w:ilvl w:val="1"/>
        <w:numId w:val="39"/>
      </w:numPr>
    </w:pPr>
  </w:style>
  <w:style w:type="paragraph" w:customStyle="1" w:styleId="Heading3numbered">
    <w:name w:val="Heading 3 numbered"/>
    <w:basedOn w:val="Heading3"/>
    <w:next w:val="Normal"/>
    <w:uiPriority w:val="14"/>
    <w:rsid w:val="006F39D9"/>
    <w:pPr>
      <w:numPr>
        <w:ilvl w:val="2"/>
        <w:numId w:val="39"/>
      </w:numPr>
    </w:pPr>
  </w:style>
  <w:style w:type="paragraph" w:customStyle="1" w:styleId="ListAlpha3">
    <w:name w:val="List Alpha 3"/>
    <w:basedOn w:val="Normal"/>
    <w:uiPriority w:val="26"/>
    <w:rsid w:val="002B0DF8"/>
    <w:pPr>
      <w:numPr>
        <w:ilvl w:val="2"/>
        <w:numId w:val="4"/>
      </w:numPr>
    </w:pPr>
  </w:style>
  <w:style w:type="paragraph" w:customStyle="1" w:styleId="Default">
    <w:name w:val="Default"/>
    <w:rsid w:val="005A2C3F"/>
    <w:pPr>
      <w:autoSpaceDE w:val="0"/>
      <w:autoSpaceDN w:val="0"/>
      <w:adjustRightInd w:val="0"/>
      <w:spacing w:before="0" w:after="0" w:line="240" w:lineRule="auto"/>
    </w:pPr>
    <w:rPr>
      <w:rFonts w:ascii="Arial" w:hAnsi="Arial" w:cs="Arial"/>
      <w:color w:val="000000"/>
      <w:sz w:val="24"/>
      <w:szCs w:val="24"/>
    </w:rPr>
  </w:style>
  <w:style w:type="paragraph" w:styleId="NormalIndent">
    <w:name w:val="Normal Indent"/>
    <w:basedOn w:val="Normal"/>
    <w:uiPriority w:val="8"/>
    <w:qFormat/>
    <w:rsid w:val="001C25F8"/>
    <w:pPr>
      <w:spacing w:after="100" w:line="252" w:lineRule="auto"/>
      <w:ind w:left="794"/>
    </w:pPr>
    <w:rPr>
      <w:rFonts w:eastAsiaTheme="minorEastAsia"/>
      <w:spacing w:val="2"/>
      <w:sz w:val="20"/>
      <w:szCs w:val="20"/>
      <w:lang w:eastAsia="en-AU"/>
    </w:rPr>
  </w:style>
  <w:style w:type="paragraph" w:customStyle="1" w:styleId="Normalbold">
    <w:name w:val="Normal bold"/>
    <w:basedOn w:val="Normal"/>
    <w:qFormat/>
    <w:rsid w:val="00DE5887"/>
    <w:pPr>
      <w:keepLines w:val="0"/>
      <w:spacing w:after="100"/>
    </w:pPr>
    <w:rPr>
      <w:b/>
      <w:spacing w:val="2"/>
    </w:rPr>
  </w:style>
  <w:style w:type="paragraph" w:customStyle="1" w:styleId="Tabletext">
    <w:name w:val="Table text"/>
    <w:basedOn w:val="Normal"/>
    <w:qFormat/>
    <w:rsid w:val="00C7243D"/>
    <w:pPr>
      <w:keepLines w:val="0"/>
      <w:autoSpaceDE w:val="0"/>
      <w:autoSpaceDN w:val="0"/>
      <w:adjustRightInd w:val="0"/>
      <w:spacing w:before="60" w:after="60" w:line="240" w:lineRule="auto"/>
      <w:textAlignment w:val="center"/>
    </w:pPr>
    <w:rPr>
      <w:rFonts w:ascii="Arial" w:hAnsi="Arial" w:cs="Arial"/>
      <w:color w:val="000000"/>
    </w:rPr>
  </w:style>
  <w:style w:type="paragraph" w:customStyle="1" w:styleId="Tableheading">
    <w:name w:val="Table heading"/>
    <w:basedOn w:val="Normal"/>
    <w:qFormat/>
    <w:rsid w:val="00C7243D"/>
    <w:pPr>
      <w:keepLines w:val="0"/>
      <w:spacing w:before="0" w:after="120" w:line="240" w:lineRule="auto"/>
    </w:pPr>
    <w:rPr>
      <w:rFonts w:ascii="Arial" w:eastAsia="Times New Roman" w:hAnsi="Arial" w:cs="Arial"/>
      <w:b/>
      <w:bCs/>
      <w:color w:val="FFFFFF" w:themeColor="background1"/>
      <w:sz w:val="20"/>
      <w:szCs w:val="20"/>
      <w:lang w:eastAsia="en-AU"/>
    </w:rPr>
  </w:style>
  <w:style w:type="paragraph" w:customStyle="1" w:styleId="Tertiarytitle">
    <w:name w:val="Tertiary title"/>
    <w:basedOn w:val="Title"/>
    <w:qFormat/>
    <w:rsid w:val="00A84AAB"/>
    <w:pPr>
      <w:spacing w:before="1600"/>
    </w:pPr>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68512">
      <w:bodyDiv w:val="1"/>
      <w:marLeft w:val="0"/>
      <w:marRight w:val="0"/>
      <w:marTop w:val="0"/>
      <w:marBottom w:val="0"/>
      <w:divBdr>
        <w:top w:val="none" w:sz="0" w:space="0" w:color="auto"/>
        <w:left w:val="none" w:sz="0" w:space="0" w:color="auto"/>
        <w:bottom w:val="none" w:sz="0" w:space="0" w:color="auto"/>
        <w:right w:val="none" w:sz="0" w:space="0" w:color="auto"/>
      </w:divBdr>
    </w:div>
    <w:div w:id="515341418">
      <w:bodyDiv w:val="1"/>
      <w:marLeft w:val="0"/>
      <w:marRight w:val="0"/>
      <w:marTop w:val="0"/>
      <w:marBottom w:val="0"/>
      <w:divBdr>
        <w:top w:val="none" w:sz="0" w:space="0" w:color="auto"/>
        <w:left w:val="none" w:sz="0" w:space="0" w:color="auto"/>
        <w:bottom w:val="none" w:sz="0" w:space="0" w:color="auto"/>
        <w:right w:val="none" w:sz="0" w:space="0" w:color="auto"/>
      </w:divBdr>
    </w:div>
    <w:div w:id="646323957">
      <w:bodyDiv w:val="1"/>
      <w:marLeft w:val="0"/>
      <w:marRight w:val="0"/>
      <w:marTop w:val="0"/>
      <w:marBottom w:val="0"/>
      <w:divBdr>
        <w:top w:val="none" w:sz="0" w:space="0" w:color="auto"/>
        <w:left w:val="none" w:sz="0" w:space="0" w:color="auto"/>
        <w:bottom w:val="none" w:sz="0" w:space="0" w:color="auto"/>
        <w:right w:val="none" w:sz="0" w:space="0" w:color="auto"/>
      </w:divBdr>
    </w:div>
    <w:div w:id="858936625">
      <w:bodyDiv w:val="1"/>
      <w:marLeft w:val="0"/>
      <w:marRight w:val="0"/>
      <w:marTop w:val="0"/>
      <w:marBottom w:val="0"/>
      <w:divBdr>
        <w:top w:val="none" w:sz="0" w:space="0" w:color="auto"/>
        <w:left w:val="none" w:sz="0" w:space="0" w:color="auto"/>
        <w:bottom w:val="none" w:sz="0" w:space="0" w:color="auto"/>
        <w:right w:val="none" w:sz="0" w:space="0" w:color="auto"/>
      </w:divBdr>
    </w:div>
    <w:div w:id="1013917626">
      <w:bodyDiv w:val="1"/>
      <w:marLeft w:val="0"/>
      <w:marRight w:val="0"/>
      <w:marTop w:val="0"/>
      <w:marBottom w:val="0"/>
      <w:divBdr>
        <w:top w:val="none" w:sz="0" w:space="0" w:color="auto"/>
        <w:left w:val="none" w:sz="0" w:space="0" w:color="auto"/>
        <w:bottom w:val="none" w:sz="0" w:space="0" w:color="auto"/>
        <w:right w:val="none" w:sz="0" w:space="0" w:color="auto"/>
      </w:divBdr>
    </w:div>
    <w:div w:id="1049694260">
      <w:bodyDiv w:val="1"/>
      <w:marLeft w:val="0"/>
      <w:marRight w:val="0"/>
      <w:marTop w:val="0"/>
      <w:marBottom w:val="0"/>
      <w:divBdr>
        <w:top w:val="none" w:sz="0" w:space="0" w:color="auto"/>
        <w:left w:val="none" w:sz="0" w:space="0" w:color="auto"/>
        <w:bottom w:val="none" w:sz="0" w:space="0" w:color="auto"/>
        <w:right w:val="none" w:sz="0" w:space="0" w:color="auto"/>
      </w:divBdr>
    </w:div>
    <w:div w:id="1103653082">
      <w:bodyDiv w:val="1"/>
      <w:marLeft w:val="0"/>
      <w:marRight w:val="0"/>
      <w:marTop w:val="0"/>
      <w:marBottom w:val="0"/>
      <w:divBdr>
        <w:top w:val="none" w:sz="0" w:space="0" w:color="auto"/>
        <w:left w:val="none" w:sz="0" w:space="0" w:color="auto"/>
        <w:bottom w:val="none" w:sz="0" w:space="0" w:color="auto"/>
        <w:right w:val="none" w:sz="0" w:space="0" w:color="auto"/>
      </w:divBdr>
    </w:div>
    <w:div w:id="1548570011">
      <w:bodyDiv w:val="1"/>
      <w:marLeft w:val="0"/>
      <w:marRight w:val="0"/>
      <w:marTop w:val="0"/>
      <w:marBottom w:val="0"/>
      <w:divBdr>
        <w:top w:val="none" w:sz="0" w:space="0" w:color="auto"/>
        <w:left w:val="none" w:sz="0" w:space="0" w:color="auto"/>
        <w:bottom w:val="none" w:sz="0" w:space="0" w:color="auto"/>
        <w:right w:val="none" w:sz="0" w:space="0" w:color="auto"/>
      </w:divBdr>
    </w:div>
    <w:div w:id="1616013383">
      <w:bodyDiv w:val="1"/>
      <w:marLeft w:val="0"/>
      <w:marRight w:val="0"/>
      <w:marTop w:val="0"/>
      <w:marBottom w:val="0"/>
      <w:divBdr>
        <w:top w:val="none" w:sz="0" w:space="0" w:color="auto"/>
        <w:left w:val="none" w:sz="0" w:space="0" w:color="auto"/>
        <w:bottom w:val="none" w:sz="0" w:space="0" w:color="auto"/>
        <w:right w:val="none" w:sz="0" w:space="0" w:color="auto"/>
      </w:divBdr>
    </w:div>
    <w:div w:id="1644694537">
      <w:bodyDiv w:val="1"/>
      <w:marLeft w:val="0"/>
      <w:marRight w:val="0"/>
      <w:marTop w:val="0"/>
      <w:marBottom w:val="0"/>
      <w:divBdr>
        <w:top w:val="none" w:sz="0" w:space="0" w:color="auto"/>
        <w:left w:val="none" w:sz="0" w:space="0" w:color="auto"/>
        <w:bottom w:val="none" w:sz="0" w:space="0" w:color="auto"/>
        <w:right w:val="none" w:sz="0" w:space="0" w:color="auto"/>
      </w:divBdr>
    </w:div>
    <w:div w:id="1779258106">
      <w:bodyDiv w:val="1"/>
      <w:marLeft w:val="0"/>
      <w:marRight w:val="0"/>
      <w:marTop w:val="0"/>
      <w:marBottom w:val="0"/>
      <w:divBdr>
        <w:top w:val="none" w:sz="0" w:space="0" w:color="auto"/>
        <w:left w:val="none" w:sz="0" w:space="0" w:color="auto"/>
        <w:bottom w:val="none" w:sz="0" w:space="0" w:color="auto"/>
        <w:right w:val="none" w:sz="0" w:space="0" w:color="auto"/>
      </w:divBdr>
    </w:div>
    <w:div w:id="2088526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www.dtf.vic.gov.au/financial-reporting-policy/aasb-124-related-party-disclosures" TargetMode="Externa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footer" Target="footer18.xml"/><Relationship Id="rId63" Type="http://schemas.openxmlformats.org/officeDocument/2006/relationships/footer" Target="footer25.xml"/><Relationship Id="rId68" Type="http://schemas.openxmlformats.org/officeDocument/2006/relationships/footer" Target="footer27.xml"/><Relationship Id="rId84" Type="http://schemas.openxmlformats.org/officeDocument/2006/relationships/header" Target="header32.xml"/><Relationship Id="rId89" Type="http://schemas.openxmlformats.org/officeDocument/2006/relationships/footer" Target="footer36.xml"/><Relationship Id="rId112" Type="http://schemas.openxmlformats.org/officeDocument/2006/relationships/header" Target="header39.xml"/><Relationship Id="rId16" Type="http://schemas.openxmlformats.org/officeDocument/2006/relationships/footer" Target="footer3.xml"/><Relationship Id="rId107" Type="http://schemas.openxmlformats.org/officeDocument/2006/relationships/diagramColors" Target="diagrams/colors1.xml"/><Relationship Id="rId11" Type="http://schemas.openxmlformats.org/officeDocument/2006/relationships/footnotes" Target="footnotes.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header" Target="header18.xml"/><Relationship Id="rId58" Type="http://schemas.openxmlformats.org/officeDocument/2006/relationships/header" Target="header21.xml"/><Relationship Id="rId74" Type="http://schemas.openxmlformats.org/officeDocument/2006/relationships/hyperlink" Target="mailto:gazette@bluestargroup.com.au" TargetMode="External"/><Relationship Id="rId79" Type="http://schemas.openxmlformats.org/officeDocument/2006/relationships/footer" Target="footer31.xml"/><Relationship Id="rId102" Type="http://schemas.openxmlformats.org/officeDocument/2006/relationships/footer" Target="footer41.xml"/><Relationship Id="rId5" Type="http://schemas.openxmlformats.org/officeDocument/2006/relationships/customXml" Target="../customXml/item5.xml"/><Relationship Id="rId61" Type="http://schemas.openxmlformats.org/officeDocument/2006/relationships/header" Target="header23.xml"/><Relationship Id="rId82" Type="http://schemas.openxmlformats.org/officeDocument/2006/relationships/header" Target="header31.xml"/><Relationship Id="rId90" Type="http://schemas.openxmlformats.org/officeDocument/2006/relationships/hyperlink" Target="http://www.dtf.vic.gov.au/financial-reporting-policy/financial-reporting-directions-and-guidance" TargetMode="External"/><Relationship Id="rId95" Type="http://schemas.openxmlformats.org/officeDocument/2006/relationships/footer" Target="footer37.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yperlink" Target="http://www.dtf.vic.gov.au/financial-reporting-policy/accounting-standards-checklists" TargetMode="External"/><Relationship Id="rId48" Type="http://schemas.openxmlformats.org/officeDocument/2006/relationships/header" Target="header16.xml"/><Relationship Id="rId56" Type="http://schemas.openxmlformats.org/officeDocument/2006/relationships/footer" Target="footer21.xml"/><Relationship Id="rId64" Type="http://schemas.openxmlformats.org/officeDocument/2006/relationships/header" Target="header24.xml"/><Relationship Id="rId69" Type="http://schemas.openxmlformats.org/officeDocument/2006/relationships/footer" Target="footer28.xml"/><Relationship Id="rId77" Type="http://schemas.openxmlformats.org/officeDocument/2006/relationships/header" Target="header29.xml"/><Relationship Id="rId100" Type="http://schemas.openxmlformats.org/officeDocument/2006/relationships/header" Target="header37.xml"/><Relationship Id="rId105" Type="http://schemas.openxmlformats.org/officeDocument/2006/relationships/diagramLayout" Target="diagrams/layout1.xml"/><Relationship Id="rId113" Type="http://schemas.openxmlformats.org/officeDocument/2006/relationships/header" Target="header40.xml"/><Relationship Id="rId118" Type="http://schemas.openxmlformats.org/officeDocument/2006/relationships/hyperlink" Target="https://www.dtf.vic.gov.au/financial-reporting-policy/aasb-124-related-party-disclosures" TargetMode="External"/><Relationship Id="rId8" Type="http://schemas.openxmlformats.org/officeDocument/2006/relationships/styles" Target="styles.xml"/><Relationship Id="rId51" Type="http://schemas.openxmlformats.org/officeDocument/2006/relationships/footer" Target="footer20.xml"/><Relationship Id="rId72" Type="http://schemas.openxmlformats.org/officeDocument/2006/relationships/hyperlink" Target="https://www.dtf.vic.gov.au/planning-budgeting-and-financial-reporting-frameworks/resource-management-framework" TargetMode="External"/><Relationship Id="rId80" Type="http://schemas.openxmlformats.org/officeDocument/2006/relationships/header" Target="header30.xml"/><Relationship Id="rId85" Type="http://schemas.openxmlformats.org/officeDocument/2006/relationships/footer" Target="footer34.xml"/><Relationship Id="rId93" Type="http://schemas.openxmlformats.org/officeDocument/2006/relationships/header" Target="header35.xml"/><Relationship Id="rId98" Type="http://schemas.openxmlformats.org/officeDocument/2006/relationships/image" Target="media/image3.png"/><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2.xml"/><Relationship Id="rId46" Type="http://schemas.openxmlformats.org/officeDocument/2006/relationships/footer" Target="footer17.xml"/><Relationship Id="rId59" Type="http://schemas.openxmlformats.org/officeDocument/2006/relationships/footer" Target="footer23.xml"/><Relationship Id="rId67" Type="http://schemas.openxmlformats.org/officeDocument/2006/relationships/header" Target="header26.xml"/><Relationship Id="rId103" Type="http://schemas.openxmlformats.org/officeDocument/2006/relationships/footer" Target="footer42.xml"/><Relationship Id="rId108" Type="http://schemas.microsoft.com/office/2007/relationships/diagramDrawing" Target="diagrams/drawing1.xml"/><Relationship Id="rId116" Type="http://schemas.openxmlformats.org/officeDocument/2006/relationships/footer" Target="footer45.xml"/><Relationship Id="rId20" Type="http://schemas.openxmlformats.org/officeDocument/2006/relationships/footer" Target="footer5.xml"/><Relationship Id="rId41" Type="http://schemas.openxmlformats.org/officeDocument/2006/relationships/header" Target="header13.xml"/><Relationship Id="rId54" Type="http://schemas.openxmlformats.org/officeDocument/2006/relationships/header" Target="header19.xml"/><Relationship Id="rId62" Type="http://schemas.openxmlformats.org/officeDocument/2006/relationships/footer" Target="footer24.xml"/><Relationship Id="rId70" Type="http://schemas.openxmlformats.org/officeDocument/2006/relationships/header" Target="header27.xml"/><Relationship Id="rId75" Type="http://schemas.openxmlformats.org/officeDocument/2006/relationships/image" Target="media/image2.png"/><Relationship Id="rId83" Type="http://schemas.openxmlformats.org/officeDocument/2006/relationships/footer" Target="footer33.xml"/><Relationship Id="rId88" Type="http://schemas.openxmlformats.org/officeDocument/2006/relationships/footer" Target="footer35.xml"/><Relationship Id="rId91" Type="http://schemas.openxmlformats.org/officeDocument/2006/relationships/hyperlink" Target="https://content.vic.gov.au/system/files/secure/2024-10/AASB-10-Control-Analysis-for-Victorian-Public-Sector-Entities.docx" TargetMode="External"/><Relationship Id="rId96" Type="http://schemas.openxmlformats.org/officeDocument/2006/relationships/footer" Target="footer38.xml"/><Relationship Id="rId111" Type="http://schemas.openxmlformats.org/officeDocument/2006/relationships/hyperlink" Target="http://www.dtf.vic.gov.au/financial-reporting-policy/financial-reporting-directions-and-guidance"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footer" Target="footer22.xml"/><Relationship Id="rId106" Type="http://schemas.openxmlformats.org/officeDocument/2006/relationships/diagramQuickStyle" Target="diagrams/quickStyle1.xml"/><Relationship Id="rId114" Type="http://schemas.openxmlformats.org/officeDocument/2006/relationships/footer" Target="footer43.xml"/><Relationship Id="rId119" Type="http://schemas.openxmlformats.org/officeDocument/2006/relationships/header" Target="header41.xml"/><Relationship Id="rId10" Type="http://schemas.openxmlformats.org/officeDocument/2006/relationships/webSettings" Target="webSettings.xml"/><Relationship Id="rId31" Type="http://schemas.openxmlformats.org/officeDocument/2006/relationships/footer" Target="footer11.xml"/><Relationship Id="rId44" Type="http://schemas.openxmlformats.org/officeDocument/2006/relationships/header" Target="header14.xml"/><Relationship Id="rId52" Type="http://schemas.openxmlformats.org/officeDocument/2006/relationships/hyperlink" Target="https://www.dtf.vic.gov.au/financial-reporting-policy/annual-leave-and-long-service-leave-arrangements" TargetMode="External"/><Relationship Id="rId60" Type="http://schemas.openxmlformats.org/officeDocument/2006/relationships/header" Target="header22.xml"/><Relationship Id="rId65" Type="http://schemas.openxmlformats.org/officeDocument/2006/relationships/footer" Target="footer26.xml"/><Relationship Id="rId73" Type="http://schemas.openxmlformats.org/officeDocument/2006/relationships/hyperlink" Target="http://www.gazette.vic.gov.au/" TargetMode="External"/><Relationship Id="rId78" Type="http://schemas.openxmlformats.org/officeDocument/2006/relationships/footer" Target="footer30.xml"/><Relationship Id="rId81" Type="http://schemas.openxmlformats.org/officeDocument/2006/relationships/footer" Target="footer32.xml"/><Relationship Id="rId86" Type="http://schemas.openxmlformats.org/officeDocument/2006/relationships/header" Target="header33.xml"/><Relationship Id="rId94" Type="http://schemas.openxmlformats.org/officeDocument/2006/relationships/header" Target="header36.xml"/><Relationship Id="rId99" Type="http://schemas.openxmlformats.org/officeDocument/2006/relationships/footer" Target="footer40.xml"/><Relationship Id="rId101" Type="http://schemas.openxmlformats.org/officeDocument/2006/relationships/header" Target="header38.xm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footer" Target="footer14.xml"/><Relationship Id="rId109" Type="http://schemas.openxmlformats.org/officeDocument/2006/relationships/image" Target="media/image4.emf"/><Relationship Id="rId34" Type="http://schemas.openxmlformats.org/officeDocument/2006/relationships/hyperlink" Target="https://content.vic.gov.au/system/files/secure/2024-10/AASB-10-Control-Analysis-for-Victorian-Public-Sector-Entities.docx" TargetMode="External"/><Relationship Id="rId50" Type="http://schemas.openxmlformats.org/officeDocument/2006/relationships/header" Target="header17.xml"/><Relationship Id="rId55" Type="http://schemas.openxmlformats.org/officeDocument/2006/relationships/header" Target="header20.xml"/><Relationship Id="rId76" Type="http://schemas.openxmlformats.org/officeDocument/2006/relationships/header" Target="header28.xml"/><Relationship Id="rId97" Type="http://schemas.openxmlformats.org/officeDocument/2006/relationships/footer" Target="footer39.xml"/><Relationship Id="rId104" Type="http://schemas.openxmlformats.org/officeDocument/2006/relationships/diagramData" Target="diagrams/data1.xml"/><Relationship Id="rId120" Type="http://schemas.openxmlformats.org/officeDocument/2006/relationships/footer" Target="footer46.xml"/><Relationship Id="rId7" Type="http://schemas.openxmlformats.org/officeDocument/2006/relationships/numbering" Target="numbering.xml"/><Relationship Id="rId71" Type="http://schemas.openxmlformats.org/officeDocument/2006/relationships/footer" Target="footer29.xml"/><Relationship Id="rId92" Type="http://schemas.openxmlformats.org/officeDocument/2006/relationships/hyperlink" Target="https://content.vic.gov.au/system/files/secure/2024-10/AASB-12-Interests-in-Subsidiary-and-unconsolidated-structured-entities.docx" TargetMode="Externa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5.xml"/><Relationship Id="rId66" Type="http://schemas.openxmlformats.org/officeDocument/2006/relationships/header" Target="header25.xml"/><Relationship Id="rId87" Type="http://schemas.openxmlformats.org/officeDocument/2006/relationships/header" Target="header34.xml"/><Relationship Id="rId110" Type="http://schemas.openxmlformats.org/officeDocument/2006/relationships/package" Target="embeddings/Microsoft_PowerPoint_Slide.sldx"/><Relationship Id="rId115" Type="http://schemas.openxmlformats.org/officeDocument/2006/relationships/footer" Target="footer4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108B51-9711-404C-8F7D-70C960C0666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000E0A43-924E-4D99-BECC-D41E865012B6}">
      <dgm:prSet phldrT="[Text]" custT="1"/>
      <dgm:spPr>
        <a:solidFill>
          <a:schemeClr val="accent3">
            <a:lumMod val="50000"/>
          </a:schemeClr>
        </a:solidFill>
        <a:ln>
          <a:noFill/>
        </a:ln>
      </dgm:spPr>
      <dgm:t>
        <a:bodyPr/>
        <a:lstStyle/>
        <a:p>
          <a:pPr algn="ctr"/>
          <a:r>
            <a:rPr lang="en-AU" sz="800" i="0"/>
            <a:t>Financial</a:t>
          </a:r>
          <a:r>
            <a:rPr lang="en-AU" sz="900" i="0"/>
            <a:t> </a:t>
          </a:r>
          <a:br>
            <a:rPr lang="en-AU" sz="900" i="0"/>
          </a:br>
          <a:r>
            <a:rPr lang="en-AU" sz="800" i="0"/>
            <a:t>risks</a:t>
          </a:r>
        </a:p>
      </dgm:t>
    </dgm:pt>
    <dgm:pt modelId="{111F253D-831F-434B-BCDA-3CC2A6584E9D}" type="parTrans" cxnId="{EF691D93-B264-49EC-B0F0-95C5E64D4A25}">
      <dgm:prSet/>
      <dgm:spPr/>
      <dgm:t>
        <a:bodyPr/>
        <a:lstStyle/>
        <a:p>
          <a:pPr algn="ctr"/>
          <a:endParaRPr lang="en-AU" i="1"/>
        </a:p>
      </dgm:t>
    </dgm:pt>
    <dgm:pt modelId="{2EF6506B-5110-4091-9744-FA4B6CFF31B3}" type="sibTrans" cxnId="{EF691D93-B264-49EC-B0F0-95C5E64D4A25}">
      <dgm:prSet/>
      <dgm:spPr/>
      <dgm:t>
        <a:bodyPr/>
        <a:lstStyle/>
        <a:p>
          <a:pPr algn="ctr"/>
          <a:endParaRPr lang="en-AU" i="1"/>
        </a:p>
      </dgm:t>
    </dgm:pt>
    <dgm:pt modelId="{0D601A43-5546-4EB9-862D-4578610B0096}">
      <dgm:prSet phldrT="[Text]" custT="1"/>
      <dgm:spPr>
        <a:solidFill>
          <a:schemeClr val="accent3">
            <a:lumMod val="50000"/>
          </a:schemeClr>
        </a:solidFill>
        <a:ln>
          <a:noFill/>
        </a:ln>
      </dgm:spPr>
      <dgm:t>
        <a:bodyPr/>
        <a:lstStyle/>
        <a:p>
          <a:pPr algn="ctr"/>
          <a:r>
            <a:rPr lang="en-AU" sz="800" i="0"/>
            <a:t>Credit risk</a:t>
          </a:r>
        </a:p>
      </dgm:t>
    </dgm:pt>
    <dgm:pt modelId="{ACCA4044-824D-4560-BFDA-3609010FCA60}" type="parTrans" cxnId="{1381F698-D7A1-482C-A4EF-608E8DAAF00A}">
      <dgm:prSet/>
      <dgm:spPr>
        <a:noFill/>
        <a:ln w="19050">
          <a:solidFill>
            <a:schemeClr val="accent6">
              <a:lumMod val="50000"/>
            </a:schemeClr>
          </a:solidFill>
        </a:ln>
      </dgm:spPr>
      <dgm:t>
        <a:bodyPr/>
        <a:lstStyle/>
        <a:p>
          <a:pPr algn="ctr"/>
          <a:endParaRPr lang="en-AU" i="1"/>
        </a:p>
      </dgm:t>
    </dgm:pt>
    <dgm:pt modelId="{B355A12B-6A2C-469E-8A30-A6A8026D0AE1}" type="sibTrans" cxnId="{1381F698-D7A1-482C-A4EF-608E8DAAF00A}">
      <dgm:prSet/>
      <dgm:spPr/>
      <dgm:t>
        <a:bodyPr/>
        <a:lstStyle/>
        <a:p>
          <a:pPr algn="ctr"/>
          <a:endParaRPr lang="en-AU" i="1"/>
        </a:p>
      </dgm:t>
    </dgm:pt>
    <dgm:pt modelId="{1B32C497-D2AD-4BC6-A9FD-6971E200C5DD}">
      <dgm:prSet phldrT="[Text]" custT="1"/>
      <dgm:spPr>
        <a:solidFill>
          <a:schemeClr val="accent3">
            <a:lumMod val="50000"/>
          </a:schemeClr>
        </a:solidFill>
        <a:ln>
          <a:noFill/>
        </a:ln>
      </dgm:spPr>
      <dgm:t>
        <a:bodyPr/>
        <a:lstStyle/>
        <a:p>
          <a:pPr algn="ctr"/>
          <a:r>
            <a:rPr lang="en-AU" sz="800" i="0"/>
            <a:t>Liquidity risk</a:t>
          </a:r>
        </a:p>
      </dgm:t>
    </dgm:pt>
    <dgm:pt modelId="{42E7197C-3C7A-4AF8-838F-A9D97E3F3DB5}" type="parTrans" cxnId="{98A80563-2A3F-4F80-8FB5-B6D1BA312865}">
      <dgm:prSet/>
      <dgm:spPr>
        <a:ln w="19050">
          <a:solidFill>
            <a:schemeClr val="accent6">
              <a:lumMod val="50000"/>
            </a:schemeClr>
          </a:solidFill>
        </a:ln>
      </dgm:spPr>
      <dgm:t>
        <a:bodyPr/>
        <a:lstStyle/>
        <a:p>
          <a:pPr algn="ctr"/>
          <a:endParaRPr lang="en-AU" i="1"/>
        </a:p>
      </dgm:t>
    </dgm:pt>
    <dgm:pt modelId="{A8E4AB93-6579-4776-A6AA-D5ADA765F47C}" type="sibTrans" cxnId="{98A80563-2A3F-4F80-8FB5-B6D1BA312865}">
      <dgm:prSet/>
      <dgm:spPr/>
      <dgm:t>
        <a:bodyPr/>
        <a:lstStyle/>
        <a:p>
          <a:pPr algn="ctr"/>
          <a:endParaRPr lang="en-AU" i="1"/>
        </a:p>
      </dgm:t>
    </dgm:pt>
    <dgm:pt modelId="{FE23C7D8-08C4-44EC-B82F-00BF348BBB1D}">
      <dgm:prSet phldrT="[Text]" custT="1"/>
      <dgm:spPr>
        <a:solidFill>
          <a:schemeClr val="accent3">
            <a:lumMod val="50000"/>
          </a:schemeClr>
        </a:solidFill>
        <a:ln>
          <a:noFill/>
        </a:ln>
      </dgm:spPr>
      <dgm:t>
        <a:bodyPr/>
        <a:lstStyle/>
        <a:p>
          <a:pPr algn="ctr"/>
          <a:r>
            <a:rPr lang="en-AU" sz="800" i="0"/>
            <a:t>Market risk</a:t>
          </a:r>
        </a:p>
      </dgm:t>
    </dgm:pt>
    <dgm:pt modelId="{04C19B8C-79E8-4B4F-98D0-A1732D1AFE5A}" type="parTrans" cxnId="{B438D2F4-100C-466D-9BD0-2A48BA0CFC97}">
      <dgm:prSet/>
      <dgm:spPr>
        <a:noFill/>
        <a:ln w="19050">
          <a:solidFill>
            <a:schemeClr val="accent6">
              <a:lumMod val="50000"/>
            </a:schemeClr>
          </a:solidFill>
        </a:ln>
      </dgm:spPr>
      <dgm:t>
        <a:bodyPr/>
        <a:lstStyle/>
        <a:p>
          <a:pPr algn="ctr"/>
          <a:endParaRPr lang="en-AU" i="1"/>
        </a:p>
      </dgm:t>
    </dgm:pt>
    <dgm:pt modelId="{62962670-2AE1-4E2A-B4C6-583BB788F26E}" type="sibTrans" cxnId="{B438D2F4-100C-466D-9BD0-2A48BA0CFC97}">
      <dgm:prSet/>
      <dgm:spPr/>
      <dgm:t>
        <a:bodyPr/>
        <a:lstStyle/>
        <a:p>
          <a:pPr algn="ctr"/>
          <a:endParaRPr lang="en-AU" i="1"/>
        </a:p>
      </dgm:t>
    </dgm:pt>
    <dgm:pt modelId="{30B46815-3ED7-4148-8FD9-DE748840D896}">
      <dgm:prSet custT="1"/>
      <dgm:spPr>
        <a:solidFill>
          <a:schemeClr val="accent3">
            <a:lumMod val="50000"/>
          </a:schemeClr>
        </a:solidFill>
        <a:ln>
          <a:noFill/>
        </a:ln>
      </dgm:spPr>
      <dgm:t>
        <a:bodyPr/>
        <a:lstStyle/>
        <a:p>
          <a:pPr algn="ctr"/>
          <a:r>
            <a:rPr lang="en-AU" sz="800" i="0"/>
            <a:t>Interest rate risk</a:t>
          </a:r>
        </a:p>
      </dgm:t>
    </dgm:pt>
    <dgm:pt modelId="{22F30268-D84B-43FA-A587-E640AE1D9A05}" type="parTrans" cxnId="{0636F55B-4E30-4EA2-B43A-8F55DCF1160D}">
      <dgm:prSet/>
      <dgm:spPr>
        <a:ln w="19050">
          <a:solidFill>
            <a:schemeClr val="accent6">
              <a:lumMod val="50000"/>
            </a:schemeClr>
          </a:solidFill>
        </a:ln>
      </dgm:spPr>
      <dgm:t>
        <a:bodyPr/>
        <a:lstStyle/>
        <a:p>
          <a:pPr algn="ctr"/>
          <a:endParaRPr lang="en-AU" i="1"/>
        </a:p>
      </dgm:t>
    </dgm:pt>
    <dgm:pt modelId="{26BE35FE-F44F-4267-A14B-FD6E4E8A5409}" type="sibTrans" cxnId="{0636F55B-4E30-4EA2-B43A-8F55DCF1160D}">
      <dgm:prSet/>
      <dgm:spPr/>
      <dgm:t>
        <a:bodyPr/>
        <a:lstStyle/>
        <a:p>
          <a:pPr algn="ctr"/>
          <a:endParaRPr lang="en-AU" i="1"/>
        </a:p>
      </dgm:t>
    </dgm:pt>
    <dgm:pt modelId="{0D2BF681-D351-407B-A2AC-A67096570515}">
      <dgm:prSet custT="1"/>
      <dgm:spPr>
        <a:solidFill>
          <a:schemeClr val="accent3">
            <a:lumMod val="50000"/>
          </a:schemeClr>
        </a:solidFill>
        <a:ln>
          <a:noFill/>
        </a:ln>
      </dgm:spPr>
      <dgm:t>
        <a:bodyPr/>
        <a:lstStyle/>
        <a:p>
          <a:pPr algn="ctr"/>
          <a:r>
            <a:rPr lang="en-AU" sz="800" i="0"/>
            <a:t>Foreign currency risk</a:t>
          </a:r>
        </a:p>
      </dgm:t>
    </dgm:pt>
    <dgm:pt modelId="{7E0A9A4C-D7DE-4405-814A-AD66FC9C8AFB}" type="parTrans" cxnId="{78ADC94C-CDDC-4AF0-BAE1-E6DBD73E39AE}">
      <dgm:prSet/>
      <dgm:spPr>
        <a:ln w="19050">
          <a:solidFill>
            <a:schemeClr val="accent6">
              <a:lumMod val="50000"/>
            </a:schemeClr>
          </a:solidFill>
        </a:ln>
      </dgm:spPr>
      <dgm:t>
        <a:bodyPr/>
        <a:lstStyle/>
        <a:p>
          <a:pPr algn="ctr"/>
          <a:endParaRPr lang="en-AU" i="1"/>
        </a:p>
      </dgm:t>
    </dgm:pt>
    <dgm:pt modelId="{2FC48F28-3115-408F-8BA8-A4412C755320}" type="sibTrans" cxnId="{78ADC94C-CDDC-4AF0-BAE1-E6DBD73E39AE}">
      <dgm:prSet/>
      <dgm:spPr/>
      <dgm:t>
        <a:bodyPr/>
        <a:lstStyle/>
        <a:p>
          <a:pPr algn="ctr"/>
          <a:endParaRPr lang="en-AU" i="1"/>
        </a:p>
      </dgm:t>
    </dgm:pt>
    <dgm:pt modelId="{66E63331-79BB-4165-91AB-CA2C6B53757F}">
      <dgm:prSet custT="1"/>
      <dgm:spPr>
        <a:solidFill>
          <a:schemeClr val="accent3">
            <a:lumMod val="50000"/>
          </a:schemeClr>
        </a:solidFill>
        <a:ln>
          <a:noFill/>
        </a:ln>
      </dgm:spPr>
      <dgm:t>
        <a:bodyPr/>
        <a:lstStyle/>
        <a:p>
          <a:pPr algn="ctr"/>
          <a:r>
            <a:rPr lang="en-AU" sz="800" i="0"/>
            <a:t>Equity price risk</a:t>
          </a:r>
        </a:p>
      </dgm:t>
    </dgm:pt>
    <dgm:pt modelId="{3403720D-E72D-497C-8D5D-373E75C88EEF}" type="parTrans" cxnId="{452C5905-F968-4A99-A612-DAC15DF84BFD}">
      <dgm:prSet/>
      <dgm:spPr>
        <a:ln w="19050">
          <a:solidFill>
            <a:schemeClr val="accent6">
              <a:lumMod val="50000"/>
            </a:schemeClr>
          </a:solidFill>
        </a:ln>
      </dgm:spPr>
      <dgm:t>
        <a:bodyPr/>
        <a:lstStyle/>
        <a:p>
          <a:pPr algn="ctr"/>
          <a:endParaRPr lang="en-AU" i="1"/>
        </a:p>
      </dgm:t>
    </dgm:pt>
    <dgm:pt modelId="{BDC49E44-AFC9-44C1-A00D-9A5F539753A4}" type="sibTrans" cxnId="{452C5905-F968-4A99-A612-DAC15DF84BFD}">
      <dgm:prSet/>
      <dgm:spPr/>
      <dgm:t>
        <a:bodyPr/>
        <a:lstStyle/>
        <a:p>
          <a:pPr algn="ctr"/>
          <a:endParaRPr lang="en-AU" i="1"/>
        </a:p>
      </dgm:t>
    </dgm:pt>
    <dgm:pt modelId="{9D85C7BB-97B7-466E-8155-0DD475D88B2A}" type="pres">
      <dgm:prSet presAssocID="{6C108B51-9711-404C-8F7D-70C960C0666C}" presName="hierChild1" presStyleCnt="0">
        <dgm:presLayoutVars>
          <dgm:orgChart val="1"/>
          <dgm:chPref val="1"/>
          <dgm:dir/>
          <dgm:animOne val="branch"/>
          <dgm:animLvl val="lvl"/>
          <dgm:resizeHandles/>
        </dgm:presLayoutVars>
      </dgm:prSet>
      <dgm:spPr/>
    </dgm:pt>
    <dgm:pt modelId="{EA5FBB3E-7928-4761-8EDB-ED46C63B3FA5}" type="pres">
      <dgm:prSet presAssocID="{000E0A43-924E-4D99-BECC-D41E865012B6}" presName="hierRoot1" presStyleCnt="0">
        <dgm:presLayoutVars>
          <dgm:hierBranch val="init"/>
        </dgm:presLayoutVars>
      </dgm:prSet>
      <dgm:spPr/>
    </dgm:pt>
    <dgm:pt modelId="{ECB35C8B-82FE-4FC3-8A56-10EEF67C802D}" type="pres">
      <dgm:prSet presAssocID="{000E0A43-924E-4D99-BECC-D41E865012B6}" presName="rootComposite1" presStyleCnt="0"/>
      <dgm:spPr/>
    </dgm:pt>
    <dgm:pt modelId="{B48E2CF8-E088-4C1D-B72C-CC848FDD5BEE}" type="pres">
      <dgm:prSet presAssocID="{000E0A43-924E-4D99-BECC-D41E865012B6}" presName="rootText1" presStyleLbl="node0" presStyleIdx="0" presStyleCnt="1" custScaleX="133542" custLinFactNeighborY="7444">
        <dgm:presLayoutVars>
          <dgm:chPref val="3"/>
        </dgm:presLayoutVars>
      </dgm:prSet>
      <dgm:spPr/>
    </dgm:pt>
    <dgm:pt modelId="{74FE4CAD-E710-4296-ABCD-E520321701F1}" type="pres">
      <dgm:prSet presAssocID="{000E0A43-924E-4D99-BECC-D41E865012B6}" presName="rootConnector1" presStyleLbl="node1" presStyleIdx="0" presStyleCnt="0"/>
      <dgm:spPr/>
    </dgm:pt>
    <dgm:pt modelId="{9AD9FEDB-D31B-4868-878A-BF63EB51BDCC}" type="pres">
      <dgm:prSet presAssocID="{000E0A43-924E-4D99-BECC-D41E865012B6}" presName="hierChild2" presStyleCnt="0"/>
      <dgm:spPr/>
    </dgm:pt>
    <dgm:pt modelId="{DF9D247E-15D9-4B5D-8615-675B32ABDF1E}" type="pres">
      <dgm:prSet presAssocID="{ACCA4044-824D-4560-BFDA-3609010FCA60}" presName="Name37" presStyleLbl="parChTrans1D2" presStyleIdx="0" presStyleCnt="3"/>
      <dgm:spPr/>
    </dgm:pt>
    <dgm:pt modelId="{CFDDF759-8B8C-4B89-BB57-13F389627C10}" type="pres">
      <dgm:prSet presAssocID="{0D601A43-5546-4EB9-862D-4578610B0096}" presName="hierRoot2" presStyleCnt="0">
        <dgm:presLayoutVars>
          <dgm:hierBranch val="init"/>
        </dgm:presLayoutVars>
      </dgm:prSet>
      <dgm:spPr/>
    </dgm:pt>
    <dgm:pt modelId="{CD9CE157-1C10-47B6-AF22-7C67BA8AF89C}" type="pres">
      <dgm:prSet presAssocID="{0D601A43-5546-4EB9-862D-4578610B0096}" presName="rootComposite" presStyleCnt="0"/>
      <dgm:spPr/>
    </dgm:pt>
    <dgm:pt modelId="{84040EBD-6A13-4CC9-8058-65BE9646BAA0}" type="pres">
      <dgm:prSet presAssocID="{0D601A43-5546-4EB9-862D-4578610B0096}" presName="rootText" presStyleLbl="node2" presStyleIdx="0" presStyleCnt="3" custScaleX="133542">
        <dgm:presLayoutVars>
          <dgm:chPref val="3"/>
        </dgm:presLayoutVars>
      </dgm:prSet>
      <dgm:spPr/>
    </dgm:pt>
    <dgm:pt modelId="{9FEDAC78-CE31-4ABF-A4E8-ED75644388E7}" type="pres">
      <dgm:prSet presAssocID="{0D601A43-5546-4EB9-862D-4578610B0096}" presName="rootConnector" presStyleLbl="node2" presStyleIdx="0" presStyleCnt="3"/>
      <dgm:spPr/>
    </dgm:pt>
    <dgm:pt modelId="{02C23E8E-A057-4575-B6BB-EB25466E6846}" type="pres">
      <dgm:prSet presAssocID="{0D601A43-5546-4EB9-862D-4578610B0096}" presName="hierChild4" presStyleCnt="0"/>
      <dgm:spPr/>
    </dgm:pt>
    <dgm:pt modelId="{CFD9EC9F-B952-409D-ABA8-5E0C3D29AC0C}" type="pres">
      <dgm:prSet presAssocID="{0D601A43-5546-4EB9-862D-4578610B0096}" presName="hierChild5" presStyleCnt="0"/>
      <dgm:spPr/>
    </dgm:pt>
    <dgm:pt modelId="{72F62C39-D602-474D-9815-21345247CE41}" type="pres">
      <dgm:prSet presAssocID="{42E7197C-3C7A-4AF8-838F-A9D97E3F3DB5}" presName="Name37" presStyleLbl="parChTrans1D2" presStyleIdx="1" presStyleCnt="3"/>
      <dgm:spPr/>
    </dgm:pt>
    <dgm:pt modelId="{386843BB-8BD8-4481-BD1A-7B535FA8A635}" type="pres">
      <dgm:prSet presAssocID="{1B32C497-D2AD-4BC6-A9FD-6971E200C5DD}" presName="hierRoot2" presStyleCnt="0">
        <dgm:presLayoutVars>
          <dgm:hierBranch val="init"/>
        </dgm:presLayoutVars>
      </dgm:prSet>
      <dgm:spPr/>
    </dgm:pt>
    <dgm:pt modelId="{F87F9ADE-DF0B-422A-BDB9-63916BA652BB}" type="pres">
      <dgm:prSet presAssocID="{1B32C497-D2AD-4BC6-A9FD-6971E200C5DD}" presName="rootComposite" presStyleCnt="0"/>
      <dgm:spPr/>
    </dgm:pt>
    <dgm:pt modelId="{8E7EEAFB-04F4-444D-8879-0E46AFC6532E}" type="pres">
      <dgm:prSet presAssocID="{1B32C497-D2AD-4BC6-A9FD-6971E200C5DD}" presName="rootText" presStyleLbl="node2" presStyleIdx="1" presStyleCnt="3" custScaleX="133542">
        <dgm:presLayoutVars>
          <dgm:chPref val="3"/>
        </dgm:presLayoutVars>
      </dgm:prSet>
      <dgm:spPr/>
    </dgm:pt>
    <dgm:pt modelId="{5A8E8AA8-CAED-4243-AD2C-0412916253FE}" type="pres">
      <dgm:prSet presAssocID="{1B32C497-D2AD-4BC6-A9FD-6971E200C5DD}" presName="rootConnector" presStyleLbl="node2" presStyleIdx="1" presStyleCnt="3"/>
      <dgm:spPr/>
    </dgm:pt>
    <dgm:pt modelId="{265E1270-C335-46C3-B9F5-F46EC2C72303}" type="pres">
      <dgm:prSet presAssocID="{1B32C497-D2AD-4BC6-A9FD-6971E200C5DD}" presName="hierChild4" presStyleCnt="0"/>
      <dgm:spPr/>
    </dgm:pt>
    <dgm:pt modelId="{58517E2C-C170-4A54-B580-C507FD2F8AF7}" type="pres">
      <dgm:prSet presAssocID="{1B32C497-D2AD-4BC6-A9FD-6971E200C5DD}" presName="hierChild5" presStyleCnt="0"/>
      <dgm:spPr/>
    </dgm:pt>
    <dgm:pt modelId="{D5789983-9F11-46FC-97F3-A8C5ECA7FEF2}" type="pres">
      <dgm:prSet presAssocID="{04C19B8C-79E8-4B4F-98D0-A1732D1AFE5A}" presName="Name37" presStyleLbl="parChTrans1D2" presStyleIdx="2" presStyleCnt="3"/>
      <dgm:spPr/>
    </dgm:pt>
    <dgm:pt modelId="{D772CAC9-A619-4541-9193-F6D026BE72ED}" type="pres">
      <dgm:prSet presAssocID="{FE23C7D8-08C4-44EC-B82F-00BF348BBB1D}" presName="hierRoot2" presStyleCnt="0">
        <dgm:presLayoutVars>
          <dgm:hierBranch val="init"/>
        </dgm:presLayoutVars>
      </dgm:prSet>
      <dgm:spPr/>
    </dgm:pt>
    <dgm:pt modelId="{41A097EE-9137-40B4-B758-E16A6CB6CFEE}" type="pres">
      <dgm:prSet presAssocID="{FE23C7D8-08C4-44EC-B82F-00BF348BBB1D}" presName="rootComposite" presStyleCnt="0"/>
      <dgm:spPr/>
    </dgm:pt>
    <dgm:pt modelId="{0EA51102-9A7D-43D7-9925-B8F842D2DC8B}" type="pres">
      <dgm:prSet presAssocID="{FE23C7D8-08C4-44EC-B82F-00BF348BBB1D}" presName="rootText" presStyleLbl="node2" presStyleIdx="2" presStyleCnt="3" custScaleX="133542">
        <dgm:presLayoutVars>
          <dgm:chPref val="3"/>
        </dgm:presLayoutVars>
      </dgm:prSet>
      <dgm:spPr/>
    </dgm:pt>
    <dgm:pt modelId="{C191A6B2-3A11-49E4-B08E-543AB083E89C}" type="pres">
      <dgm:prSet presAssocID="{FE23C7D8-08C4-44EC-B82F-00BF348BBB1D}" presName="rootConnector" presStyleLbl="node2" presStyleIdx="2" presStyleCnt="3"/>
      <dgm:spPr/>
    </dgm:pt>
    <dgm:pt modelId="{6ED2DE74-3E09-4598-B6E9-83C2402AF007}" type="pres">
      <dgm:prSet presAssocID="{FE23C7D8-08C4-44EC-B82F-00BF348BBB1D}" presName="hierChild4" presStyleCnt="0"/>
      <dgm:spPr/>
    </dgm:pt>
    <dgm:pt modelId="{4CAD4A0A-3035-4198-82A7-94BA5CC201C9}" type="pres">
      <dgm:prSet presAssocID="{22F30268-D84B-43FA-A587-E640AE1D9A05}" presName="Name37" presStyleLbl="parChTrans1D3" presStyleIdx="0" presStyleCnt="3"/>
      <dgm:spPr/>
    </dgm:pt>
    <dgm:pt modelId="{885FF897-3D55-4DE0-B3E1-66500EDBCCEF}" type="pres">
      <dgm:prSet presAssocID="{30B46815-3ED7-4148-8FD9-DE748840D896}" presName="hierRoot2" presStyleCnt="0">
        <dgm:presLayoutVars>
          <dgm:hierBranch val="init"/>
        </dgm:presLayoutVars>
      </dgm:prSet>
      <dgm:spPr/>
    </dgm:pt>
    <dgm:pt modelId="{528BA893-9235-415B-81A5-1B60FA5E86A3}" type="pres">
      <dgm:prSet presAssocID="{30B46815-3ED7-4148-8FD9-DE748840D896}" presName="rootComposite" presStyleCnt="0"/>
      <dgm:spPr/>
    </dgm:pt>
    <dgm:pt modelId="{2B531A73-1C7C-4B2C-B51D-E85F691D5520}" type="pres">
      <dgm:prSet presAssocID="{30B46815-3ED7-4148-8FD9-DE748840D896}" presName="rootText" presStyleLbl="node3" presStyleIdx="0" presStyleCnt="3" custScaleX="180282">
        <dgm:presLayoutVars>
          <dgm:chPref val="3"/>
        </dgm:presLayoutVars>
      </dgm:prSet>
      <dgm:spPr/>
    </dgm:pt>
    <dgm:pt modelId="{4053AF82-2FFF-4E13-BE0F-D6360E221659}" type="pres">
      <dgm:prSet presAssocID="{30B46815-3ED7-4148-8FD9-DE748840D896}" presName="rootConnector" presStyleLbl="node3" presStyleIdx="0" presStyleCnt="3"/>
      <dgm:spPr/>
    </dgm:pt>
    <dgm:pt modelId="{5ED59970-67FF-4F9E-852E-473DB8872742}" type="pres">
      <dgm:prSet presAssocID="{30B46815-3ED7-4148-8FD9-DE748840D896}" presName="hierChild4" presStyleCnt="0"/>
      <dgm:spPr/>
    </dgm:pt>
    <dgm:pt modelId="{BE0DA805-FCDC-4395-AC18-1DC4F4F8AACF}" type="pres">
      <dgm:prSet presAssocID="{30B46815-3ED7-4148-8FD9-DE748840D896}" presName="hierChild5" presStyleCnt="0"/>
      <dgm:spPr/>
    </dgm:pt>
    <dgm:pt modelId="{DA40D798-317C-45FD-8067-EB02C280A485}" type="pres">
      <dgm:prSet presAssocID="{7E0A9A4C-D7DE-4405-814A-AD66FC9C8AFB}" presName="Name37" presStyleLbl="parChTrans1D3" presStyleIdx="1" presStyleCnt="3"/>
      <dgm:spPr/>
    </dgm:pt>
    <dgm:pt modelId="{18F6150C-55D9-4665-96D6-97723507DEE1}" type="pres">
      <dgm:prSet presAssocID="{0D2BF681-D351-407B-A2AC-A67096570515}" presName="hierRoot2" presStyleCnt="0">
        <dgm:presLayoutVars>
          <dgm:hierBranch val="init"/>
        </dgm:presLayoutVars>
      </dgm:prSet>
      <dgm:spPr/>
    </dgm:pt>
    <dgm:pt modelId="{42BC6C2A-8E72-4F77-9683-E83124BA8C0A}" type="pres">
      <dgm:prSet presAssocID="{0D2BF681-D351-407B-A2AC-A67096570515}" presName="rootComposite" presStyleCnt="0"/>
      <dgm:spPr/>
    </dgm:pt>
    <dgm:pt modelId="{A4CC5C13-8A10-4B8E-A099-DBBAB056B881}" type="pres">
      <dgm:prSet presAssocID="{0D2BF681-D351-407B-A2AC-A67096570515}" presName="rootText" presStyleLbl="node3" presStyleIdx="1" presStyleCnt="3" custScaleX="180282">
        <dgm:presLayoutVars>
          <dgm:chPref val="3"/>
        </dgm:presLayoutVars>
      </dgm:prSet>
      <dgm:spPr/>
    </dgm:pt>
    <dgm:pt modelId="{F0C10C8E-5F72-4873-84ED-7424BD25B729}" type="pres">
      <dgm:prSet presAssocID="{0D2BF681-D351-407B-A2AC-A67096570515}" presName="rootConnector" presStyleLbl="node3" presStyleIdx="1" presStyleCnt="3"/>
      <dgm:spPr/>
    </dgm:pt>
    <dgm:pt modelId="{8375B996-A664-410E-8BEB-7E96013FDDF2}" type="pres">
      <dgm:prSet presAssocID="{0D2BF681-D351-407B-A2AC-A67096570515}" presName="hierChild4" presStyleCnt="0"/>
      <dgm:spPr/>
    </dgm:pt>
    <dgm:pt modelId="{71BED334-38DC-42EE-8E74-134F77D46C42}" type="pres">
      <dgm:prSet presAssocID="{0D2BF681-D351-407B-A2AC-A67096570515}" presName="hierChild5" presStyleCnt="0"/>
      <dgm:spPr/>
    </dgm:pt>
    <dgm:pt modelId="{1B558BCD-B7CB-40DD-BF07-1278E45B7E1A}" type="pres">
      <dgm:prSet presAssocID="{3403720D-E72D-497C-8D5D-373E75C88EEF}" presName="Name37" presStyleLbl="parChTrans1D3" presStyleIdx="2" presStyleCnt="3"/>
      <dgm:spPr/>
    </dgm:pt>
    <dgm:pt modelId="{FBDD4882-A20A-4C4A-9D1C-D7B5E8BDCED9}" type="pres">
      <dgm:prSet presAssocID="{66E63331-79BB-4165-91AB-CA2C6B53757F}" presName="hierRoot2" presStyleCnt="0">
        <dgm:presLayoutVars>
          <dgm:hierBranch val="init"/>
        </dgm:presLayoutVars>
      </dgm:prSet>
      <dgm:spPr/>
    </dgm:pt>
    <dgm:pt modelId="{784B017B-6EAA-471A-A9FA-90D2316EFB77}" type="pres">
      <dgm:prSet presAssocID="{66E63331-79BB-4165-91AB-CA2C6B53757F}" presName="rootComposite" presStyleCnt="0"/>
      <dgm:spPr/>
    </dgm:pt>
    <dgm:pt modelId="{06449079-0CD7-4A11-927F-65754B9DAC51}" type="pres">
      <dgm:prSet presAssocID="{66E63331-79BB-4165-91AB-CA2C6B53757F}" presName="rootText" presStyleLbl="node3" presStyleIdx="2" presStyleCnt="3" custScaleX="180282">
        <dgm:presLayoutVars>
          <dgm:chPref val="3"/>
        </dgm:presLayoutVars>
      </dgm:prSet>
      <dgm:spPr/>
    </dgm:pt>
    <dgm:pt modelId="{99CF1E7D-42E6-4C5C-8D91-275A1CC1F1A6}" type="pres">
      <dgm:prSet presAssocID="{66E63331-79BB-4165-91AB-CA2C6B53757F}" presName="rootConnector" presStyleLbl="node3" presStyleIdx="2" presStyleCnt="3"/>
      <dgm:spPr/>
    </dgm:pt>
    <dgm:pt modelId="{2F16FD62-119F-499C-8C71-BD843C394FA2}" type="pres">
      <dgm:prSet presAssocID="{66E63331-79BB-4165-91AB-CA2C6B53757F}" presName="hierChild4" presStyleCnt="0"/>
      <dgm:spPr/>
    </dgm:pt>
    <dgm:pt modelId="{A9D5C663-7D72-4D18-9610-81B2A50BE3C7}" type="pres">
      <dgm:prSet presAssocID="{66E63331-79BB-4165-91AB-CA2C6B53757F}" presName="hierChild5" presStyleCnt="0"/>
      <dgm:spPr/>
    </dgm:pt>
    <dgm:pt modelId="{9B00DF90-EAAE-435B-9820-110F12512F59}" type="pres">
      <dgm:prSet presAssocID="{FE23C7D8-08C4-44EC-B82F-00BF348BBB1D}" presName="hierChild5" presStyleCnt="0"/>
      <dgm:spPr/>
    </dgm:pt>
    <dgm:pt modelId="{6BCC068D-69D9-4018-A965-7628C7AF59D6}" type="pres">
      <dgm:prSet presAssocID="{000E0A43-924E-4D99-BECC-D41E865012B6}" presName="hierChild3" presStyleCnt="0"/>
      <dgm:spPr/>
    </dgm:pt>
  </dgm:ptLst>
  <dgm:cxnLst>
    <dgm:cxn modelId="{9BFEAD03-2A94-4AC1-85BE-E37EEF952FC9}" type="presOf" srcId="{42E7197C-3C7A-4AF8-838F-A9D97E3F3DB5}" destId="{72F62C39-D602-474D-9815-21345247CE41}" srcOrd="0" destOrd="0" presId="urn:microsoft.com/office/officeart/2005/8/layout/orgChart1"/>
    <dgm:cxn modelId="{452C5905-F968-4A99-A612-DAC15DF84BFD}" srcId="{FE23C7D8-08C4-44EC-B82F-00BF348BBB1D}" destId="{66E63331-79BB-4165-91AB-CA2C6B53757F}" srcOrd="2" destOrd="0" parTransId="{3403720D-E72D-497C-8D5D-373E75C88EEF}" sibTransId="{BDC49E44-AFC9-44C1-A00D-9A5F539753A4}"/>
    <dgm:cxn modelId="{DB2BB416-0E0A-49E8-87E4-2F455995E3D1}" type="presOf" srcId="{66E63331-79BB-4165-91AB-CA2C6B53757F}" destId="{06449079-0CD7-4A11-927F-65754B9DAC51}" srcOrd="0" destOrd="0" presId="urn:microsoft.com/office/officeart/2005/8/layout/orgChart1"/>
    <dgm:cxn modelId="{33D5E118-8F5F-45AE-A85E-77BF16842E19}" type="presOf" srcId="{1B32C497-D2AD-4BC6-A9FD-6971E200C5DD}" destId="{8E7EEAFB-04F4-444D-8879-0E46AFC6532E}" srcOrd="0" destOrd="0" presId="urn:microsoft.com/office/officeart/2005/8/layout/orgChart1"/>
    <dgm:cxn modelId="{5D1F6A1F-621A-42FD-814F-E7AF8091A0DE}" type="presOf" srcId="{ACCA4044-824D-4560-BFDA-3609010FCA60}" destId="{DF9D247E-15D9-4B5D-8615-675B32ABDF1E}" srcOrd="0" destOrd="0" presId="urn:microsoft.com/office/officeart/2005/8/layout/orgChart1"/>
    <dgm:cxn modelId="{2667BC28-6A71-4EF1-B1AE-D9C881BF8207}" type="presOf" srcId="{3403720D-E72D-497C-8D5D-373E75C88EEF}" destId="{1B558BCD-B7CB-40DD-BF07-1278E45B7E1A}" srcOrd="0" destOrd="0" presId="urn:microsoft.com/office/officeart/2005/8/layout/orgChart1"/>
    <dgm:cxn modelId="{2063CD2D-22C3-437D-8964-31E6BB810864}" type="presOf" srcId="{6C108B51-9711-404C-8F7D-70C960C0666C}" destId="{9D85C7BB-97B7-466E-8155-0DD475D88B2A}" srcOrd="0" destOrd="0" presId="urn:microsoft.com/office/officeart/2005/8/layout/orgChart1"/>
    <dgm:cxn modelId="{572A1B3D-2FE6-4EAF-80C6-F21F5EAB21C0}" type="presOf" srcId="{7E0A9A4C-D7DE-4405-814A-AD66FC9C8AFB}" destId="{DA40D798-317C-45FD-8067-EB02C280A485}" srcOrd="0" destOrd="0" presId="urn:microsoft.com/office/officeart/2005/8/layout/orgChart1"/>
    <dgm:cxn modelId="{7F61763D-8937-4BC2-8308-3D75B8558495}" type="presOf" srcId="{66E63331-79BB-4165-91AB-CA2C6B53757F}" destId="{99CF1E7D-42E6-4C5C-8D91-275A1CC1F1A6}" srcOrd="1" destOrd="0" presId="urn:microsoft.com/office/officeart/2005/8/layout/orgChart1"/>
    <dgm:cxn modelId="{C135DC3F-53CD-4F2F-BBDF-E3B0B710F29B}" type="presOf" srcId="{30B46815-3ED7-4148-8FD9-DE748840D896}" destId="{4053AF82-2FFF-4E13-BE0F-D6360E221659}" srcOrd="1" destOrd="0" presId="urn:microsoft.com/office/officeart/2005/8/layout/orgChart1"/>
    <dgm:cxn modelId="{0636F55B-4E30-4EA2-B43A-8F55DCF1160D}" srcId="{FE23C7D8-08C4-44EC-B82F-00BF348BBB1D}" destId="{30B46815-3ED7-4148-8FD9-DE748840D896}" srcOrd="0" destOrd="0" parTransId="{22F30268-D84B-43FA-A587-E640AE1D9A05}" sibTransId="{26BE35FE-F44F-4267-A14B-FD6E4E8A5409}"/>
    <dgm:cxn modelId="{98A80563-2A3F-4F80-8FB5-B6D1BA312865}" srcId="{000E0A43-924E-4D99-BECC-D41E865012B6}" destId="{1B32C497-D2AD-4BC6-A9FD-6971E200C5DD}" srcOrd="1" destOrd="0" parTransId="{42E7197C-3C7A-4AF8-838F-A9D97E3F3DB5}" sibTransId="{A8E4AB93-6579-4776-A6AA-D5ADA765F47C}"/>
    <dgm:cxn modelId="{42A25847-5724-48E3-A677-80B3B81D67AB}" type="presOf" srcId="{0D601A43-5546-4EB9-862D-4578610B0096}" destId="{84040EBD-6A13-4CC9-8058-65BE9646BAA0}" srcOrd="0" destOrd="0" presId="urn:microsoft.com/office/officeart/2005/8/layout/orgChart1"/>
    <dgm:cxn modelId="{2C7E2348-CB90-46A0-A7BC-43E53EDE4938}" type="presOf" srcId="{04C19B8C-79E8-4B4F-98D0-A1732D1AFE5A}" destId="{D5789983-9F11-46FC-97F3-A8C5ECA7FEF2}" srcOrd="0" destOrd="0" presId="urn:microsoft.com/office/officeart/2005/8/layout/orgChart1"/>
    <dgm:cxn modelId="{78ADC94C-CDDC-4AF0-BAE1-E6DBD73E39AE}" srcId="{FE23C7D8-08C4-44EC-B82F-00BF348BBB1D}" destId="{0D2BF681-D351-407B-A2AC-A67096570515}" srcOrd="1" destOrd="0" parTransId="{7E0A9A4C-D7DE-4405-814A-AD66FC9C8AFB}" sibTransId="{2FC48F28-3115-408F-8BA8-A4412C755320}"/>
    <dgm:cxn modelId="{EF691D93-B264-49EC-B0F0-95C5E64D4A25}" srcId="{6C108B51-9711-404C-8F7D-70C960C0666C}" destId="{000E0A43-924E-4D99-BECC-D41E865012B6}" srcOrd="0" destOrd="0" parTransId="{111F253D-831F-434B-BCDA-3CC2A6584E9D}" sibTransId="{2EF6506B-5110-4091-9744-FA4B6CFF31B3}"/>
    <dgm:cxn modelId="{39C4D897-19AE-4456-B4AE-4F0D6123EDC6}" type="presOf" srcId="{000E0A43-924E-4D99-BECC-D41E865012B6}" destId="{B48E2CF8-E088-4C1D-B72C-CC848FDD5BEE}" srcOrd="0" destOrd="0" presId="urn:microsoft.com/office/officeart/2005/8/layout/orgChart1"/>
    <dgm:cxn modelId="{1381F698-D7A1-482C-A4EF-608E8DAAF00A}" srcId="{000E0A43-924E-4D99-BECC-D41E865012B6}" destId="{0D601A43-5546-4EB9-862D-4578610B0096}" srcOrd="0" destOrd="0" parTransId="{ACCA4044-824D-4560-BFDA-3609010FCA60}" sibTransId="{B355A12B-6A2C-469E-8A30-A6A8026D0AE1}"/>
    <dgm:cxn modelId="{EAB21A8A-8F1E-4F90-98A1-4198B1719AED}" type="presOf" srcId="{30B46815-3ED7-4148-8FD9-DE748840D896}" destId="{2B531A73-1C7C-4B2C-B51D-E85F691D5520}" srcOrd="0" destOrd="0" presId="urn:microsoft.com/office/officeart/2005/8/layout/orgChart1"/>
    <dgm:cxn modelId="{658AB9A1-4E16-4C23-99A7-AB752DDB8E19}" type="presOf" srcId="{FE23C7D8-08C4-44EC-B82F-00BF348BBB1D}" destId="{0EA51102-9A7D-43D7-9925-B8F842D2DC8B}" srcOrd="0" destOrd="0" presId="urn:microsoft.com/office/officeart/2005/8/layout/orgChart1"/>
    <dgm:cxn modelId="{FF6078AC-53A3-4D94-A6A2-A0665E7DDCCD}" type="presOf" srcId="{0D2BF681-D351-407B-A2AC-A67096570515}" destId="{F0C10C8E-5F72-4873-84ED-7424BD25B729}" srcOrd="1" destOrd="0" presId="urn:microsoft.com/office/officeart/2005/8/layout/orgChart1"/>
    <dgm:cxn modelId="{24B684B4-E51D-42B6-B58E-D6B22E3E4CFC}" type="presOf" srcId="{22F30268-D84B-43FA-A587-E640AE1D9A05}" destId="{4CAD4A0A-3035-4198-82A7-94BA5CC201C9}" srcOrd="0" destOrd="0" presId="urn:microsoft.com/office/officeart/2005/8/layout/orgChart1"/>
    <dgm:cxn modelId="{0D6D43CA-BCE1-4F8B-826E-56BF015555DC}" type="presOf" srcId="{0D2BF681-D351-407B-A2AC-A67096570515}" destId="{A4CC5C13-8A10-4B8E-A099-DBBAB056B881}" srcOrd="0" destOrd="0" presId="urn:microsoft.com/office/officeart/2005/8/layout/orgChart1"/>
    <dgm:cxn modelId="{B438D2F4-100C-466D-9BD0-2A48BA0CFC97}" srcId="{000E0A43-924E-4D99-BECC-D41E865012B6}" destId="{FE23C7D8-08C4-44EC-B82F-00BF348BBB1D}" srcOrd="2" destOrd="0" parTransId="{04C19B8C-79E8-4B4F-98D0-A1732D1AFE5A}" sibTransId="{62962670-2AE1-4E2A-B4C6-583BB788F26E}"/>
    <dgm:cxn modelId="{5AEE9CDC-0AE7-40D6-99DB-45BA63E68432}" type="presOf" srcId="{0D601A43-5546-4EB9-862D-4578610B0096}" destId="{9FEDAC78-CE31-4ABF-A4E8-ED75644388E7}" srcOrd="1" destOrd="0" presId="urn:microsoft.com/office/officeart/2005/8/layout/orgChart1"/>
    <dgm:cxn modelId="{0C40EFDD-115F-4568-BB72-2993F7CD9EC2}" type="presOf" srcId="{000E0A43-924E-4D99-BECC-D41E865012B6}" destId="{74FE4CAD-E710-4296-ABCD-E520321701F1}" srcOrd="1" destOrd="0" presId="urn:microsoft.com/office/officeart/2005/8/layout/orgChart1"/>
    <dgm:cxn modelId="{D53AC4FE-B1D7-4975-92BE-A1079012858E}" type="presOf" srcId="{1B32C497-D2AD-4BC6-A9FD-6971E200C5DD}" destId="{5A8E8AA8-CAED-4243-AD2C-0412916253FE}" srcOrd="1" destOrd="0" presId="urn:microsoft.com/office/officeart/2005/8/layout/orgChart1"/>
    <dgm:cxn modelId="{7157BEFF-4E0F-4BA4-98BD-F9D76A269330}" type="presOf" srcId="{FE23C7D8-08C4-44EC-B82F-00BF348BBB1D}" destId="{C191A6B2-3A11-49E4-B08E-543AB083E89C}" srcOrd="1" destOrd="0" presId="urn:microsoft.com/office/officeart/2005/8/layout/orgChart1"/>
    <dgm:cxn modelId="{8E7084AB-E63B-49C4-8908-447BC40666CE}" type="presParOf" srcId="{9D85C7BB-97B7-466E-8155-0DD475D88B2A}" destId="{EA5FBB3E-7928-4761-8EDB-ED46C63B3FA5}" srcOrd="0" destOrd="0" presId="urn:microsoft.com/office/officeart/2005/8/layout/orgChart1"/>
    <dgm:cxn modelId="{F35B3BBA-3544-4FB6-AE1F-4D2FDD28D801}" type="presParOf" srcId="{EA5FBB3E-7928-4761-8EDB-ED46C63B3FA5}" destId="{ECB35C8B-82FE-4FC3-8A56-10EEF67C802D}" srcOrd="0" destOrd="0" presId="urn:microsoft.com/office/officeart/2005/8/layout/orgChart1"/>
    <dgm:cxn modelId="{FF748810-064E-4A58-86C4-899C6BAA384A}" type="presParOf" srcId="{ECB35C8B-82FE-4FC3-8A56-10EEF67C802D}" destId="{B48E2CF8-E088-4C1D-B72C-CC848FDD5BEE}" srcOrd="0" destOrd="0" presId="urn:microsoft.com/office/officeart/2005/8/layout/orgChart1"/>
    <dgm:cxn modelId="{08F7C50D-15C7-479B-A946-6124AC30A9D7}" type="presParOf" srcId="{ECB35C8B-82FE-4FC3-8A56-10EEF67C802D}" destId="{74FE4CAD-E710-4296-ABCD-E520321701F1}" srcOrd="1" destOrd="0" presId="urn:microsoft.com/office/officeart/2005/8/layout/orgChart1"/>
    <dgm:cxn modelId="{1DBCC57F-9DA2-4055-A975-1A183FA200FF}" type="presParOf" srcId="{EA5FBB3E-7928-4761-8EDB-ED46C63B3FA5}" destId="{9AD9FEDB-D31B-4868-878A-BF63EB51BDCC}" srcOrd="1" destOrd="0" presId="urn:microsoft.com/office/officeart/2005/8/layout/orgChart1"/>
    <dgm:cxn modelId="{6BCACF03-7A85-49D9-A0A7-6E469F8093BA}" type="presParOf" srcId="{9AD9FEDB-D31B-4868-878A-BF63EB51BDCC}" destId="{DF9D247E-15D9-4B5D-8615-675B32ABDF1E}" srcOrd="0" destOrd="0" presId="urn:microsoft.com/office/officeart/2005/8/layout/orgChart1"/>
    <dgm:cxn modelId="{B772C8AB-0583-465F-A7C4-09199D5F04DC}" type="presParOf" srcId="{9AD9FEDB-D31B-4868-878A-BF63EB51BDCC}" destId="{CFDDF759-8B8C-4B89-BB57-13F389627C10}" srcOrd="1" destOrd="0" presId="urn:microsoft.com/office/officeart/2005/8/layout/orgChart1"/>
    <dgm:cxn modelId="{B9E55E11-D414-4E88-8159-EB8075F95F11}" type="presParOf" srcId="{CFDDF759-8B8C-4B89-BB57-13F389627C10}" destId="{CD9CE157-1C10-47B6-AF22-7C67BA8AF89C}" srcOrd="0" destOrd="0" presId="urn:microsoft.com/office/officeart/2005/8/layout/orgChart1"/>
    <dgm:cxn modelId="{315DB80F-734D-4204-BA7E-CE1850179A1B}" type="presParOf" srcId="{CD9CE157-1C10-47B6-AF22-7C67BA8AF89C}" destId="{84040EBD-6A13-4CC9-8058-65BE9646BAA0}" srcOrd="0" destOrd="0" presId="urn:microsoft.com/office/officeart/2005/8/layout/orgChart1"/>
    <dgm:cxn modelId="{71663F56-A019-4FD8-8DE4-FF7F7A0B3A71}" type="presParOf" srcId="{CD9CE157-1C10-47B6-AF22-7C67BA8AF89C}" destId="{9FEDAC78-CE31-4ABF-A4E8-ED75644388E7}" srcOrd="1" destOrd="0" presId="urn:microsoft.com/office/officeart/2005/8/layout/orgChart1"/>
    <dgm:cxn modelId="{F213F832-D57E-4955-8F26-516D19F999C2}" type="presParOf" srcId="{CFDDF759-8B8C-4B89-BB57-13F389627C10}" destId="{02C23E8E-A057-4575-B6BB-EB25466E6846}" srcOrd="1" destOrd="0" presId="urn:microsoft.com/office/officeart/2005/8/layout/orgChart1"/>
    <dgm:cxn modelId="{BA3C08AA-F294-475E-BD71-E7514362B69C}" type="presParOf" srcId="{CFDDF759-8B8C-4B89-BB57-13F389627C10}" destId="{CFD9EC9F-B952-409D-ABA8-5E0C3D29AC0C}" srcOrd="2" destOrd="0" presId="urn:microsoft.com/office/officeart/2005/8/layout/orgChart1"/>
    <dgm:cxn modelId="{65096D69-493B-4867-BDD1-F23B559DB7E0}" type="presParOf" srcId="{9AD9FEDB-D31B-4868-878A-BF63EB51BDCC}" destId="{72F62C39-D602-474D-9815-21345247CE41}" srcOrd="2" destOrd="0" presId="urn:microsoft.com/office/officeart/2005/8/layout/orgChart1"/>
    <dgm:cxn modelId="{BACC9A2E-BF0E-49A8-B4B1-6AA14BE6FC17}" type="presParOf" srcId="{9AD9FEDB-D31B-4868-878A-BF63EB51BDCC}" destId="{386843BB-8BD8-4481-BD1A-7B535FA8A635}" srcOrd="3" destOrd="0" presId="urn:microsoft.com/office/officeart/2005/8/layout/orgChart1"/>
    <dgm:cxn modelId="{B735DBFE-91AF-4BD4-A54F-BB1575B44D77}" type="presParOf" srcId="{386843BB-8BD8-4481-BD1A-7B535FA8A635}" destId="{F87F9ADE-DF0B-422A-BDB9-63916BA652BB}" srcOrd="0" destOrd="0" presId="urn:microsoft.com/office/officeart/2005/8/layout/orgChart1"/>
    <dgm:cxn modelId="{182A2F70-C15F-43D4-B42E-A5AF355D7F34}" type="presParOf" srcId="{F87F9ADE-DF0B-422A-BDB9-63916BA652BB}" destId="{8E7EEAFB-04F4-444D-8879-0E46AFC6532E}" srcOrd="0" destOrd="0" presId="urn:microsoft.com/office/officeart/2005/8/layout/orgChart1"/>
    <dgm:cxn modelId="{3D87D070-12D9-4746-9592-3E789EFB7B8E}" type="presParOf" srcId="{F87F9ADE-DF0B-422A-BDB9-63916BA652BB}" destId="{5A8E8AA8-CAED-4243-AD2C-0412916253FE}" srcOrd="1" destOrd="0" presId="urn:microsoft.com/office/officeart/2005/8/layout/orgChart1"/>
    <dgm:cxn modelId="{2F6FF7EC-7DB1-4A36-BB38-3FC9BA579494}" type="presParOf" srcId="{386843BB-8BD8-4481-BD1A-7B535FA8A635}" destId="{265E1270-C335-46C3-B9F5-F46EC2C72303}" srcOrd="1" destOrd="0" presId="urn:microsoft.com/office/officeart/2005/8/layout/orgChart1"/>
    <dgm:cxn modelId="{90BD4883-6637-4D40-873F-DD41C6D00B8D}" type="presParOf" srcId="{386843BB-8BD8-4481-BD1A-7B535FA8A635}" destId="{58517E2C-C170-4A54-B580-C507FD2F8AF7}" srcOrd="2" destOrd="0" presId="urn:microsoft.com/office/officeart/2005/8/layout/orgChart1"/>
    <dgm:cxn modelId="{147B7B06-ACE4-4F37-A62A-518B60C9E5C1}" type="presParOf" srcId="{9AD9FEDB-D31B-4868-878A-BF63EB51BDCC}" destId="{D5789983-9F11-46FC-97F3-A8C5ECA7FEF2}" srcOrd="4" destOrd="0" presId="urn:microsoft.com/office/officeart/2005/8/layout/orgChart1"/>
    <dgm:cxn modelId="{2E782AC2-C0ED-4BD5-A568-18E2B694A0FC}" type="presParOf" srcId="{9AD9FEDB-D31B-4868-878A-BF63EB51BDCC}" destId="{D772CAC9-A619-4541-9193-F6D026BE72ED}" srcOrd="5" destOrd="0" presId="urn:microsoft.com/office/officeart/2005/8/layout/orgChart1"/>
    <dgm:cxn modelId="{C33AB1D6-0F59-4DB3-8D31-0FCB2E1F8315}" type="presParOf" srcId="{D772CAC9-A619-4541-9193-F6D026BE72ED}" destId="{41A097EE-9137-40B4-B758-E16A6CB6CFEE}" srcOrd="0" destOrd="0" presId="urn:microsoft.com/office/officeart/2005/8/layout/orgChart1"/>
    <dgm:cxn modelId="{E9501C6E-64C3-4582-9AB9-DA50FD59BDBC}" type="presParOf" srcId="{41A097EE-9137-40B4-B758-E16A6CB6CFEE}" destId="{0EA51102-9A7D-43D7-9925-B8F842D2DC8B}" srcOrd="0" destOrd="0" presId="urn:microsoft.com/office/officeart/2005/8/layout/orgChart1"/>
    <dgm:cxn modelId="{75EE1F32-5239-4C3F-BC42-49CEA43AA76D}" type="presParOf" srcId="{41A097EE-9137-40B4-B758-E16A6CB6CFEE}" destId="{C191A6B2-3A11-49E4-B08E-543AB083E89C}" srcOrd="1" destOrd="0" presId="urn:microsoft.com/office/officeart/2005/8/layout/orgChart1"/>
    <dgm:cxn modelId="{2D9D41DC-B193-4CAE-B82F-0DDF4F385926}" type="presParOf" srcId="{D772CAC9-A619-4541-9193-F6D026BE72ED}" destId="{6ED2DE74-3E09-4598-B6E9-83C2402AF007}" srcOrd="1" destOrd="0" presId="urn:microsoft.com/office/officeart/2005/8/layout/orgChart1"/>
    <dgm:cxn modelId="{3B61EBF3-D24F-479E-AD9D-76DD38B094D9}" type="presParOf" srcId="{6ED2DE74-3E09-4598-B6E9-83C2402AF007}" destId="{4CAD4A0A-3035-4198-82A7-94BA5CC201C9}" srcOrd="0" destOrd="0" presId="urn:microsoft.com/office/officeart/2005/8/layout/orgChart1"/>
    <dgm:cxn modelId="{609E5D8F-730C-462C-BF49-B85AA48B41D9}" type="presParOf" srcId="{6ED2DE74-3E09-4598-B6E9-83C2402AF007}" destId="{885FF897-3D55-4DE0-B3E1-66500EDBCCEF}" srcOrd="1" destOrd="0" presId="urn:microsoft.com/office/officeart/2005/8/layout/orgChart1"/>
    <dgm:cxn modelId="{93AD357A-5542-429E-A83E-6441536D98D7}" type="presParOf" srcId="{885FF897-3D55-4DE0-B3E1-66500EDBCCEF}" destId="{528BA893-9235-415B-81A5-1B60FA5E86A3}" srcOrd="0" destOrd="0" presId="urn:microsoft.com/office/officeart/2005/8/layout/orgChart1"/>
    <dgm:cxn modelId="{827A892A-B316-4152-B517-B4CAD015A194}" type="presParOf" srcId="{528BA893-9235-415B-81A5-1B60FA5E86A3}" destId="{2B531A73-1C7C-4B2C-B51D-E85F691D5520}" srcOrd="0" destOrd="0" presId="urn:microsoft.com/office/officeart/2005/8/layout/orgChart1"/>
    <dgm:cxn modelId="{12EEB8FC-F313-412A-B976-65CAB5F9172C}" type="presParOf" srcId="{528BA893-9235-415B-81A5-1B60FA5E86A3}" destId="{4053AF82-2FFF-4E13-BE0F-D6360E221659}" srcOrd="1" destOrd="0" presId="urn:microsoft.com/office/officeart/2005/8/layout/orgChart1"/>
    <dgm:cxn modelId="{6F4E36DA-A093-460B-B8E5-E05704089DED}" type="presParOf" srcId="{885FF897-3D55-4DE0-B3E1-66500EDBCCEF}" destId="{5ED59970-67FF-4F9E-852E-473DB8872742}" srcOrd="1" destOrd="0" presId="urn:microsoft.com/office/officeart/2005/8/layout/orgChart1"/>
    <dgm:cxn modelId="{ACBB819C-423A-4405-802C-032B5B9FFB57}" type="presParOf" srcId="{885FF897-3D55-4DE0-B3E1-66500EDBCCEF}" destId="{BE0DA805-FCDC-4395-AC18-1DC4F4F8AACF}" srcOrd="2" destOrd="0" presId="urn:microsoft.com/office/officeart/2005/8/layout/orgChart1"/>
    <dgm:cxn modelId="{F8CA0AE9-132B-4EE9-A2D5-2C555E228E15}" type="presParOf" srcId="{6ED2DE74-3E09-4598-B6E9-83C2402AF007}" destId="{DA40D798-317C-45FD-8067-EB02C280A485}" srcOrd="2" destOrd="0" presId="urn:microsoft.com/office/officeart/2005/8/layout/orgChart1"/>
    <dgm:cxn modelId="{09D2ED2B-DAE6-49F4-9E6C-AF9BECEF9CA0}" type="presParOf" srcId="{6ED2DE74-3E09-4598-B6E9-83C2402AF007}" destId="{18F6150C-55D9-4665-96D6-97723507DEE1}" srcOrd="3" destOrd="0" presId="urn:microsoft.com/office/officeart/2005/8/layout/orgChart1"/>
    <dgm:cxn modelId="{B9CE0D0D-491E-48C9-B0EF-4B4379FB6341}" type="presParOf" srcId="{18F6150C-55D9-4665-96D6-97723507DEE1}" destId="{42BC6C2A-8E72-4F77-9683-E83124BA8C0A}" srcOrd="0" destOrd="0" presId="urn:microsoft.com/office/officeart/2005/8/layout/orgChart1"/>
    <dgm:cxn modelId="{FF6AE547-F3BE-499C-B077-E0897B769F0C}" type="presParOf" srcId="{42BC6C2A-8E72-4F77-9683-E83124BA8C0A}" destId="{A4CC5C13-8A10-4B8E-A099-DBBAB056B881}" srcOrd="0" destOrd="0" presId="urn:microsoft.com/office/officeart/2005/8/layout/orgChart1"/>
    <dgm:cxn modelId="{E1563D3D-604F-4771-9AA8-F737C4D75C8B}" type="presParOf" srcId="{42BC6C2A-8E72-4F77-9683-E83124BA8C0A}" destId="{F0C10C8E-5F72-4873-84ED-7424BD25B729}" srcOrd="1" destOrd="0" presId="urn:microsoft.com/office/officeart/2005/8/layout/orgChart1"/>
    <dgm:cxn modelId="{28C70E23-1CC1-4988-8CF5-273598A44A39}" type="presParOf" srcId="{18F6150C-55D9-4665-96D6-97723507DEE1}" destId="{8375B996-A664-410E-8BEB-7E96013FDDF2}" srcOrd="1" destOrd="0" presId="urn:microsoft.com/office/officeart/2005/8/layout/orgChart1"/>
    <dgm:cxn modelId="{C607FDD3-607F-43A2-82AC-10FA3C25C900}" type="presParOf" srcId="{18F6150C-55D9-4665-96D6-97723507DEE1}" destId="{71BED334-38DC-42EE-8E74-134F77D46C42}" srcOrd="2" destOrd="0" presId="urn:microsoft.com/office/officeart/2005/8/layout/orgChart1"/>
    <dgm:cxn modelId="{66078299-AB75-4F8C-878D-448E32A27A4B}" type="presParOf" srcId="{6ED2DE74-3E09-4598-B6E9-83C2402AF007}" destId="{1B558BCD-B7CB-40DD-BF07-1278E45B7E1A}" srcOrd="4" destOrd="0" presId="urn:microsoft.com/office/officeart/2005/8/layout/orgChart1"/>
    <dgm:cxn modelId="{EDB4D36E-9B37-488B-A64C-C4CFFCF0607B}" type="presParOf" srcId="{6ED2DE74-3E09-4598-B6E9-83C2402AF007}" destId="{FBDD4882-A20A-4C4A-9D1C-D7B5E8BDCED9}" srcOrd="5" destOrd="0" presId="urn:microsoft.com/office/officeart/2005/8/layout/orgChart1"/>
    <dgm:cxn modelId="{73863388-7DB7-4C95-9FD7-BA3FB6A7E2D4}" type="presParOf" srcId="{FBDD4882-A20A-4C4A-9D1C-D7B5E8BDCED9}" destId="{784B017B-6EAA-471A-A9FA-90D2316EFB77}" srcOrd="0" destOrd="0" presId="urn:microsoft.com/office/officeart/2005/8/layout/orgChart1"/>
    <dgm:cxn modelId="{F4ED9446-2D50-4C3B-A5D4-B47BFC74B893}" type="presParOf" srcId="{784B017B-6EAA-471A-A9FA-90D2316EFB77}" destId="{06449079-0CD7-4A11-927F-65754B9DAC51}" srcOrd="0" destOrd="0" presId="urn:microsoft.com/office/officeart/2005/8/layout/orgChart1"/>
    <dgm:cxn modelId="{1DDC1E67-A5CC-4A7E-A6D1-B276C573A6DE}" type="presParOf" srcId="{784B017B-6EAA-471A-A9FA-90D2316EFB77}" destId="{99CF1E7D-42E6-4C5C-8D91-275A1CC1F1A6}" srcOrd="1" destOrd="0" presId="urn:microsoft.com/office/officeart/2005/8/layout/orgChart1"/>
    <dgm:cxn modelId="{ABE90416-43F3-47B5-BD2E-C7E26E75C5E2}" type="presParOf" srcId="{FBDD4882-A20A-4C4A-9D1C-D7B5E8BDCED9}" destId="{2F16FD62-119F-499C-8C71-BD843C394FA2}" srcOrd="1" destOrd="0" presId="urn:microsoft.com/office/officeart/2005/8/layout/orgChart1"/>
    <dgm:cxn modelId="{89F85CDA-0610-4D2F-A937-AC21CD7D02A3}" type="presParOf" srcId="{FBDD4882-A20A-4C4A-9D1C-D7B5E8BDCED9}" destId="{A9D5C663-7D72-4D18-9610-81B2A50BE3C7}" srcOrd="2" destOrd="0" presId="urn:microsoft.com/office/officeart/2005/8/layout/orgChart1"/>
    <dgm:cxn modelId="{769A4DF9-9DAE-4993-AC66-A83FAC047CAB}" type="presParOf" srcId="{D772CAC9-A619-4541-9193-F6D026BE72ED}" destId="{9B00DF90-EAAE-435B-9820-110F12512F59}" srcOrd="2" destOrd="0" presId="urn:microsoft.com/office/officeart/2005/8/layout/orgChart1"/>
    <dgm:cxn modelId="{ED081322-79F4-429C-9D65-6EDCEE9AA6FC}" type="presParOf" srcId="{EA5FBB3E-7928-4761-8EDB-ED46C63B3FA5}" destId="{6BCC068D-69D9-4018-A965-7628C7AF59D6}" srcOrd="2" destOrd="0" presId="urn:microsoft.com/office/officeart/2005/8/layout/orgChart1"/>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558BCD-B7CB-40DD-BF07-1278E45B7E1A}">
      <dsp:nvSpPr>
        <dsp:cNvPr id="0" name=""/>
        <dsp:cNvSpPr/>
      </dsp:nvSpPr>
      <dsp:spPr>
        <a:xfrm>
          <a:off x="1856849" y="619327"/>
          <a:ext cx="102524" cy="962221"/>
        </a:xfrm>
        <a:custGeom>
          <a:avLst/>
          <a:gdLst/>
          <a:ahLst/>
          <a:cxnLst/>
          <a:rect l="0" t="0" r="0" b="0"/>
          <a:pathLst>
            <a:path>
              <a:moveTo>
                <a:pt x="0" y="0"/>
              </a:moveTo>
              <a:lnTo>
                <a:pt x="0" y="962221"/>
              </a:lnTo>
              <a:lnTo>
                <a:pt x="102524" y="962221"/>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A40D798-317C-45FD-8067-EB02C280A485}">
      <dsp:nvSpPr>
        <dsp:cNvPr id="0" name=""/>
        <dsp:cNvSpPr/>
      </dsp:nvSpPr>
      <dsp:spPr>
        <a:xfrm>
          <a:off x="1856849" y="619327"/>
          <a:ext cx="102524" cy="598829"/>
        </a:xfrm>
        <a:custGeom>
          <a:avLst/>
          <a:gdLst/>
          <a:ahLst/>
          <a:cxnLst/>
          <a:rect l="0" t="0" r="0" b="0"/>
          <a:pathLst>
            <a:path>
              <a:moveTo>
                <a:pt x="0" y="0"/>
              </a:moveTo>
              <a:lnTo>
                <a:pt x="0" y="598829"/>
              </a:lnTo>
              <a:lnTo>
                <a:pt x="102524" y="598829"/>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4CAD4A0A-3035-4198-82A7-94BA5CC201C9}">
      <dsp:nvSpPr>
        <dsp:cNvPr id="0" name=""/>
        <dsp:cNvSpPr/>
      </dsp:nvSpPr>
      <dsp:spPr>
        <a:xfrm>
          <a:off x="1856849" y="619327"/>
          <a:ext cx="102524" cy="235437"/>
        </a:xfrm>
        <a:custGeom>
          <a:avLst/>
          <a:gdLst/>
          <a:ahLst/>
          <a:cxnLst/>
          <a:rect l="0" t="0" r="0" b="0"/>
          <a:pathLst>
            <a:path>
              <a:moveTo>
                <a:pt x="0" y="0"/>
              </a:moveTo>
              <a:lnTo>
                <a:pt x="0" y="235437"/>
              </a:lnTo>
              <a:lnTo>
                <a:pt x="102524" y="235437"/>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5789983-9F11-46FC-97F3-A8C5ECA7FEF2}">
      <dsp:nvSpPr>
        <dsp:cNvPr id="0" name=""/>
        <dsp:cNvSpPr/>
      </dsp:nvSpPr>
      <dsp:spPr>
        <a:xfrm>
          <a:off x="1339270" y="229265"/>
          <a:ext cx="790976" cy="91440"/>
        </a:xfrm>
        <a:custGeom>
          <a:avLst/>
          <a:gdLst/>
          <a:ahLst/>
          <a:cxnLst/>
          <a:rect l="0" t="0" r="0" b="0"/>
          <a:pathLst>
            <a:path>
              <a:moveTo>
                <a:pt x="0" y="45720"/>
              </a:moveTo>
              <a:lnTo>
                <a:pt x="0" y="80411"/>
              </a:lnTo>
              <a:lnTo>
                <a:pt x="790976" y="80411"/>
              </a:lnTo>
              <a:lnTo>
                <a:pt x="790976"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72F62C39-D602-474D-9815-21345247CE41}">
      <dsp:nvSpPr>
        <dsp:cNvPr id="0" name=""/>
        <dsp:cNvSpPr/>
      </dsp:nvSpPr>
      <dsp:spPr>
        <a:xfrm>
          <a:off x="1293550" y="229265"/>
          <a:ext cx="91440" cy="91440"/>
        </a:xfrm>
        <a:custGeom>
          <a:avLst/>
          <a:gdLst/>
          <a:ahLst/>
          <a:cxnLst/>
          <a:rect l="0" t="0" r="0" b="0"/>
          <a:pathLst>
            <a:path>
              <a:moveTo>
                <a:pt x="45720" y="45720"/>
              </a:moveTo>
              <a:lnTo>
                <a:pt x="45720"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F9D247E-15D9-4B5D-8615-675B32ABDF1E}">
      <dsp:nvSpPr>
        <dsp:cNvPr id="0" name=""/>
        <dsp:cNvSpPr/>
      </dsp:nvSpPr>
      <dsp:spPr>
        <a:xfrm>
          <a:off x="548294" y="229265"/>
          <a:ext cx="790976" cy="91440"/>
        </a:xfrm>
        <a:custGeom>
          <a:avLst/>
          <a:gdLst/>
          <a:ahLst/>
          <a:cxnLst/>
          <a:rect l="0" t="0" r="0" b="0"/>
          <a:pathLst>
            <a:path>
              <a:moveTo>
                <a:pt x="790976" y="45720"/>
              </a:moveTo>
              <a:lnTo>
                <a:pt x="790976" y="80411"/>
              </a:lnTo>
              <a:lnTo>
                <a:pt x="0" y="80411"/>
              </a:lnTo>
              <a:lnTo>
                <a:pt x="0" y="134152"/>
              </a:lnTo>
            </a:path>
          </a:pathLst>
        </a:custGeom>
        <a:noFill/>
        <a:ln w="1905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B48E2CF8-E088-4C1D-B72C-CC848FDD5BEE}">
      <dsp:nvSpPr>
        <dsp:cNvPr id="0" name=""/>
        <dsp:cNvSpPr/>
      </dsp:nvSpPr>
      <dsp:spPr>
        <a:xfrm>
          <a:off x="997523" y="19075"/>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Financial</a:t>
          </a:r>
          <a:r>
            <a:rPr lang="en-AU" sz="900" i="0" kern="1200"/>
            <a:t> </a:t>
          </a:r>
          <a:br>
            <a:rPr lang="en-AU" sz="900" i="0" kern="1200"/>
          </a:br>
          <a:r>
            <a:rPr lang="en-AU" sz="800" i="0" kern="1200"/>
            <a:t>risks</a:t>
          </a:r>
        </a:p>
      </dsp:txBody>
      <dsp:txXfrm>
        <a:off x="997523" y="19075"/>
        <a:ext cx="683494" cy="255909"/>
      </dsp:txXfrm>
    </dsp:sp>
    <dsp:sp modelId="{84040EBD-6A13-4CC9-8058-65BE9646BAA0}">
      <dsp:nvSpPr>
        <dsp:cNvPr id="0" name=""/>
        <dsp:cNvSpPr/>
      </dsp:nvSpPr>
      <dsp:spPr>
        <a:xfrm>
          <a:off x="206546"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Credit risk</a:t>
          </a:r>
        </a:p>
      </dsp:txBody>
      <dsp:txXfrm>
        <a:off x="206546" y="363417"/>
        <a:ext cx="683494" cy="255909"/>
      </dsp:txXfrm>
    </dsp:sp>
    <dsp:sp modelId="{8E7EEAFB-04F4-444D-8879-0E46AFC6532E}">
      <dsp:nvSpPr>
        <dsp:cNvPr id="0" name=""/>
        <dsp:cNvSpPr/>
      </dsp:nvSpPr>
      <dsp:spPr>
        <a:xfrm>
          <a:off x="997523"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Liquidity risk</a:t>
          </a:r>
        </a:p>
      </dsp:txBody>
      <dsp:txXfrm>
        <a:off x="997523" y="363417"/>
        <a:ext cx="683494" cy="255909"/>
      </dsp:txXfrm>
    </dsp:sp>
    <dsp:sp modelId="{0EA51102-9A7D-43D7-9925-B8F842D2DC8B}">
      <dsp:nvSpPr>
        <dsp:cNvPr id="0" name=""/>
        <dsp:cNvSpPr/>
      </dsp:nvSpPr>
      <dsp:spPr>
        <a:xfrm>
          <a:off x="1788500" y="363417"/>
          <a:ext cx="683494"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Market risk</a:t>
          </a:r>
        </a:p>
      </dsp:txBody>
      <dsp:txXfrm>
        <a:off x="1788500" y="363417"/>
        <a:ext cx="683494" cy="255909"/>
      </dsp:txXfrm>
    </dsp:sp>
    <dsp:sp modelId="{2B531A73-1C7C-4B2C-B51D-E85F691D5520}">
      <dsp:nvSpPr>
        <dsp:cNvPr id="0" name=""/>
        <dsp:cNvSpPr/>
      </dsp:nvSpPr>
      <dsp:spPr>
        <a:xfrm>
          <a:off x="1959373" y="726810"/>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Interest rate risk</a:t>
          </a:r>
        </a:p>
      </dsp:txBody>
      <dsp:txXfrm>
        <a:off x="1959373" y="726810"/>
        <a:ext cx="922719" cy="255909"/>
      </dsp:txXfrm>
    </dsp:sp>
    <dsp:sp modelId="{A4CC5C13-8A10-4B8E-A099-DBBAB056B881}">
      <dsp:nvSpPr>
        <dsp:cNvPr id="0" name=""/>
        <dsp:cNvSpPr/>
      </dsp:nvSpPr>
      <dsp:spPr>
        <a:xfrm>
          <a:off x="1959373" y="1090202"/>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Foreign currency risk</a:t>
          </a:r>
        </a:p>
      </dsp:txBody>
      <dsp:txXfrm>
        <a:off x="1959373" y="1090202"/>
        <a:ext cx="922719" cy="255909"/>
      </dsp:txXfrm>
    </dsp:sp>
    <dsp:sp modelId="{06449079-0CD7-4A11-927F-65754B9DAC51}">
      <dsp:nvSpPr>
        <dsp:cNvPr id="0" name=""/>
        <dsp:cNvSpPr/>
      </dsp:nvSpPr>
      <dsp:spPr>
        <a:xfrm>
          <a:off x="1959373" y="1453594"/>
          <a:ext cx="922719" cy="255909"/>
        </a:xfrm>
        <a:prstGeom prst="rect">
          <a:avLst/>
        </a:prstGeom>
        <a:solidFill>
          <a:schemeClr val="accent3">
            <a:lumMod val="5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i="0" kern="1200"/>
            <a:t>Equity price risk</a:t>
          </a:r>
        </a:p>
      </dsp:txBody>
      <dsp:txXfrm>
        <a:off x="1959373" y="1453594"/>
        <a:ext cx="922719" cy="2559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30785ec2a10f2bae1604613d54f6d78e">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c1983676ec05362d9dffe7d3ddea16a8"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b6e3d215-38fc-4294-ac6f-e1813d9666dd" xsi:nil="true"/>
    <_dlc_DocId xmlns="b6e3d215-38fc-4294-ac6f-e1813d9666dd">63PAK4U6Z4MQ-1289146740-72510</_dlc_DocId>
    <_dlc_DocIdUrl xmlns="b6e3d215-38fc-4294-ac6f-e1813d9666dd">
      <Url>https://vicgov.sharepoint.com/sites/DTFStrategicCommunications/_layouts/15/DocIdRedir.aspx?ID=63PAK4U6Z4MQ-1289146740-72510</Url>
      <Description>63PAK4U6Z4MQ-1289146740-72510</Description>
    </_dlc_DocIdUrl>
    <lcf76f155ced4ddcb4097134ff3c332f xmlns="e1efcbdc-f8f0-4bac-929e-ffe707bb6387">
      <Terms xmlns="http://schemas.microsoft.com/office/infopath/2007/PartnerControls"/>
    </lcf76f155ced4ddcb4097134ff3c332f>
  </documentManagement>
</p:properties>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E5523708-5273-4F62-99F7-D8993E1E0A82}">
  <ds:schemaRefs>
    <ds:schemaRef ds:uri="http://schemas.microsoft.com/sharepoint/v3/contenttype/forms"/>
  </ds:schemaRefs>
</ds:datastoreItem>
</file>

<file path=customXml/itemProps2.xml><?xml version="1.0" encoding="utf-8"?>
<ds:datastoreItem xmlns:ds="http://schemas.openxmlformats.org/officeDocument/2006/customXml" ds:itemID="{45C3BCEC-57EC-4661-ABDE-CF75D9982DE2}">
  <ds:schemaRefs>
    <ds:schemaRef ds:uri="http://schemas.microsoft.com/sharepoint/events"/>
  </ds:schemaRefs>
</ds:datastoreItem>
</file>

<file path=customXml/itemProps3.xml><?xml version="1.0" encoding="utf-8"?>
<ds:datastoreItem xmlns:ds="http://schemas.openxmlformats.org/officeDocument/2006/customXml" ds:itemID="{67F922A1-25B2-45FE-AF38-70EDD186C907}">
  <ds:schemaRefs>
    <ds:schemaRef ds:uri="http://schemas.openxmlformats.org/officeDocument/2006/bibliography"/>
  </ds:schemaRefs>
</ds:datastoreItem>
</file>

<file path=customXml/itemProps4.xml><?xml version="1.0" encoding="utf-8"?>
<ds:datastoreItem xmlns:ds="http://schemas.openxmlformats.org/officeDocument/2006/customXml" ds:itemID="{37C7D1D3-7444-4003-8BF3-991C760C9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4A257D-5A4C-4D61-B339-C474CCEA6661}">
  <ds:schemaRefs>
    <ds:schemaRef ds:uri="b6e3d215-38fc-4294-ac6f-e1813d9666d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1efcbdc-f8f0-4bac-929e-ffe707bb6387"/>
    <ds:schemaRef ds:uri="http://purl.org/dc/elements/1.1/"/>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4134E11C-0977-425A-AA94-C2A1844B4C8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187</Pages>
  <Words>91160</Words>
  <Characters>494089</Characters>
  <Application>Microsoft Office Word</Application>
  <DocSecurity>0</DocSecurity>
  <Lines>16469</Lines>
  <Paragraphs>12192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Anlezark</dc:creator>
  <cp:keywords/>
  <dc:description/>
  <cp:lastModifiedBy>Natalie Maroki (DTF)</cp:lastModifiedBy>
  <cp:revision>2</cp:revision>
  <cp:lastPrinted>2025-05-26T05:10:00Z</cp:lastPrinted>
  <dcterms:created xsi:type="dcterms:W3CDTF">2025-05-26T06:59:00Z</dcterms:created>
  <dcterms:modified xsi:type="dcterms:W3CDTF">2025-05-26T06:59:00Z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Current">
    <vt:lpwstr>20X2</vt:lpwstr>
  </property>
  <property fmtid="{D5CDD505-2E9C-101B-9397-08002B2CF9AE}" pid="3" name="YearPrevious">
    <vt:lpwstr>20X1</vt:lpwstr>
  </property>
  <property fmtid="{D5CDD505-2E9C-101B-9397-08002B2CF9AE}" pid="4" name="FinYearPrevious">
    <vt:lpwstr>20X0‑X1</vt:lpwstr>
  </property>
  <property fmtid="{D5CDD505-2E9C-101B-9397-08002B2CF9AE}" pid="5" name="FinYearCurrent">
    <vt:lpwstr>20X1‑X2</vt:lpwstr>
  </property>
  <property fmtid="{D5CDD505-2E9C-101B-9397-08002B2CF9AE}" pid="6" name="FinYearNext">
    <vt:lpwstr>20X2‑X3</vt:lpwstr>
  </property>
  <property fmtid="{D5CDD505-2E9C-101B-9397-08002B2CF9AE}" pid="7" name="YearNext">
    <vt:lpwstr>20X3</vt:lpwstr>
  </property>
  <property fmtid="{D5CDD505-2E9C-101B-9397-08002B2CF9AE}" pid="8" name="FinYear-2">
    <vt:lpwstr>2018‑19</vt:lpwstr>
  </property>
  <property fmtid="{D5CDD505-2E9C-101B-9397-08002B2CF9AE}" pid="9" name="FinYear-3">
    <vt:lpwstr>2017‑18</vt:lpwstr>
  </property>
  <property fmtid="{D5CDD505-2E9C-101B-9397-08002B2CF9AE}" pid="10" name="ContentTypeId">
    <vt:lpwstr>0x010100E2859DFB47952C4E911DE9714EC95DB1</vt:lpwstr>
  </property>
  <property fmtid="{D5CDD505-2E9C-101B-9397-08002B2CF9AE}" pid="11" name="MediaServiceImageTags">
    <vt:lpwstr/>
  </property>
  <property fmtid="{D5CDD505-2E9C-101B-9397-08002B2CF9AE}" pid="12" name="GrammarlyDocumentId">
    <vt:lpwstr>19b66f0d15c8b9632472c6b211f103f5966708ee335a81c6a0c4797eee2db62a</vt:lpwstr>
  </property>
  <property fmtid="{D5CDD505-2E9C-101B-9397-08002B2CF9AE}" pid="13" name="MSIP_Label_7158ebbd-6c5e-441f-bfc9-4eb8c11e3978_Enabled">
    <vt:lpwstr>true</vt:lpwstr>
  </property>
  <property fmtid="{D5CDD505-2E9C-101B-9397-08002B2CF9AE}" pid="14" name="MSIP_Label_7158ebbd-6c5e-441f-bfc9-4eb8c11e3978_SetDate">
    <vt:lpwstr>2023-08-31T03:32:24Z</vt:lpwstr>
  </property>
  <property fmtid="{D5CDD505-2E9C-101B-9397-08002B2CF9AE}" pid="15" name="MSIP_Label_7158ebbd-6c5e-441f-bfc9-4eb8c11e3978_Method">
    <vt:lpwstr>Privileged</vt:lpwstr>
  </property>
  <property fmtid="{D5CDD505-2E9C-101B-9397-08002B2CF9AE}" pid="16" name="MSIP_Label_7158ebbd-6c5e-441f-bfc9-4eb8c11e3978_Name">
    <vt:lpwstr>7158ebbd-6c5e-441f-bfc9-4eb8c11e3978</vt:lpwstr>
  </property>
  <property fmtid="{D5CDD505-2E9C-101B-9397-08002B2CF9AE}" pid="17" name="MSIP_Label_7158ebbd-6c5e-441f-bfc9-4eb8c11e3978_SiteId">
    <vt:lpwstr>722ea0be-3e1c-4b11-ad6f-9401d6856e24</vt:lpwstr>
  </property>
  <property fmtid="{D5CDD505-2E9C-101B-9397-08002B2CF9AE}" pid="18" name="MSIP_Label_7158ebbd-6c5e-441f-bfc9-4eb8c11e3978_ActionId">
    <vt:lpwstr>ac8d5219-233e-432c-ac79-551ce3c6cd93</vt:lpwstr>
  </property>
  <property fmtid="{D5CDD505-2E9C-101B-9397-08002B2CF9AE}" pid="19" name="MSIP_Label_7158ebbd-6c5e-441f-bfc9-4eb8c11e3978_ContentBits">
    <vt:lpwstr>2</vt:lpwstr>
  </property>
  <property fmtid="{D5CDD505-2E9C-101B-9397-08002B2CF9AE}" pid="20" name="_dlc_DocIdItemGuid">
    <vt:lpwstr>55802b3d-a60d-4365-ace6-85c70e6a9ba8</vt:lpwstr>
  </property>
  <property fmtid="{D5CDD505-2E9C-101B-9397-08002B2CF9AE}" pid="21" name="AssignedTo">
    <vt:lpwstr/>
  </property>
  <property fmtid="{D5CDD505-2E9C-101B-9397-08002B2CF9AE}" pid="22" name="Status">
    <vt:lpwstr>Unallocated</vt:lpwstr>
  </property>
</Properties>
</file>